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1188720" cy="1070523"/>
            <wp:docPr id="1" name="Picture 1" title="P&amp;Pmis Construction AI" descr="Logotipo azul de P&amp;Pmis Construction A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07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440" w:after="240"/>
        <w:jc w:val="center"/>
      </w:pPr>
      <w:r>
        <w:t>Informe técnico Wave 2A</w:t>
        <w:br/>
        <w:t>Strategic Capital Buckets and Allocation Framework</w:t>
      </w:r>
    </w:p>
    <w:p>
      <w:pPr>
        <w:jc w:val="center"/>
      </w:pPr>
      <w:r>
        <w:rPr>
          <w:rFonts w:ascii="Aptos" w:hAnsi="Aptos" w:eastAsia="Aptos"/>
          <w:color w:val="000000"/>
          <w:sz w:val="26"/>
        </w:rPr>
        <w:t>P&amp;Pmis Construction AI</w:t>
      </w:r>
    </w:p>
    <w:p>
      <w:pPr>
        <w:spacing w:before="440"/>
        <w:jc w:val="center"/>
      </w:pPr>
      <w:r>
        <w:rPr>
          <w:rFonts w:ascii="Aptos" w:hAnsi="Aptos" w:eastAsia="Aptos"/>
          <w:color w:val="202A33"/>
          <w:sz w:val="20"/>
        </w:rPr>
        <w:t>Capital Portfolio and Investment Governance | 5 de octubre de 2026</w:t>
      </w:r>
    </w:p>
    <w:p>
      <w:pPr>
        <w:spacing w:before="760"/>
        <w:jc w:val="center"/>
      </w:pPr>
      <w:r>
        <w:rPr>
          <w:rFonts w:ascii="Aptos" w:hAnsi="Aptos" w:eastAsia="Aptos"/>
          <w:b/>
          <w:color w:val="53616B"/>
          <w:sz w:val="16"/>
        </w:rPr>
        <w:t>ESTADO DE VALIDACIÓN</w:t>
      </w:r>
    </w:p>
    <w:p>
      <w:pPr>
        <w:jc w:val="center"/>
      </w:pPr>
      <w:r>
        <w:rPr>
          <w:rFonts w:ascii="Aptos" w:hAnsi="Aptos" w:eastAsia="Aptos"/>
          <w:b/>
          <w:color w:val="117D82"/>
          <w:sz w:val="22"/>
        </w:rPr>
        <w:t>STRATEGIC_CAPITAL_BUCKETS_AND_ALLOCATION_FRAMEWORK_RELEASE_VALIDATED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Producto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P&amp;Pmis Construction AI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Macroproceso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Portfolio and Investment Governance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Incremento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2A Strategic Capital Buckets and Allocation Framework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 y commit de baseline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 / 9cb0969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Migración objetivo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20261001_0063 sobre 20260929_0062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Fecha de corte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2026-10-05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 al corte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STRATEGIC_CAPITAL_BUCKETS_AND_ALLOCATION_FRAMEWORK_RELEASE_VALIDATED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Fuente técnica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Código, migración, pruebas, navegador y guardrails del repositorio</w:t>
            </w:r>
          </w:p>
        </w:tc>
      </w:tr>
    </w:tbl>
    <w:p>
      <w:pPr>
        <w:spacing w:after="20"/>
      </w:pPr>
    </w:p>
    <w:p>
      <w:pPr>
        <w:pStyle w:val="Heading1"/>
      </w:pPr>
      <w:r>
        <w:t>Lectura ejecutiva</w:t>
      </w:r>
    </w:p>
    <w:p>
      <w:r>
        <w:rPr>
          <w:rFonts w:ascii="Aptos" w:hAnsi="Aptos" w:eastAsia="Aptos"/>
          <w:color w:val="202A33"/>
        </w:rPr>
        <w:t>Wave 2A incorpora Strategic Capital Buckets versionados y Allocation Plans live ligados a Planning Cycles. La solución compara target, demanda actual, portafolio actual, recomendado y aprobado sin asumir autoridad de ranking, presupuesto, recursos, funding, FIN o FID.</w:t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Aptos" w:hAnsi="Aptos" w:eastAsia="Aptos"/>
          <w:color w:val="202A33"/>
        </w:rPr>
        <w:t>Baseline, ADR, autoridad y reutilización</w:t>
      </w:r>
    </w:p>
    <w:p>
      <w:pPr>
        <w:pStyle w:val="ListBullet"/>
      </w:pPr>
      <w:r>
        <w:rPr>
          <w:rFonts w:ascii="Aptos" w:hAnsi="Aptos" w:eastAsia="Aptos"/>
          <w:color w:val="202A33"/>
        </w:rPr>
        <w:t>Bucket configuration y Allocation Plan gobernado</w:t>
      </w:r>
    </w:p>
    <w:p>
      <w:pPr>
        <w:pStyle w:val="ListBullet"/>
      </w:pPr>
      <w:r>
        <w:rPr>
          <w:rFonts w:ascii="Aptos" w:hAnsi="Aptos" w:eastAsia="Aptos"/>
          <w:color w:val="202A33"/>
        </w:rPr>
        <w:t>Clasificación, precedencia, multi-moneda y no doble conteo</w:t>
      </w:r>
    </w:p>
    <w:p>
      <w:pPr>
        <w:pStyle w:val="ListBullet"/>
      </w:pPr>
      <w:r>
        <w:rPr>
          <w:rFonts w:ascii="Aptos" w:hAnsi="Aptos" w:eastAsia="Aptos"/>
          <w:color w:val="202A33"/>
        </w:rPr>
        <w:t>Comparación Target, Current, Recommended y Approved</w:t>
      </w:r>
    </w:p>
    <w:p>
      <w:pPr>
        <w:pStyle w:val="ListBullet"/>
      </w:pPr>
      <w:r>
        <w:rPr>
          <w:rFonts w:ascii="Aptos" w:hAnsi="Aptos" w:eastAsia="Aptos"/>
          <w:color w:val="202A33"/>
        </w:rPr>
        <w:t>ADMIN, USER, seguridad, persistencia, API y navegación</w:t>
      </w:r>
    </w:p>
    <w:p>
      <w:pPr>
        <w:pStyle w:val="ListBullet"/>
      </w:pPr>
      <w:r>
        <w:rPr>
          <w:rFonts w:ascii="Aptos" w:hAnsi="Aptos" w:eastAsia="Aptos"/>
          <w:color w:val="202A33"/>
        </w:rPr>
        <w:t>Pruebas, regresiones, brechas y cierre de release</w:t>
      </w:r>
    </w:p>
    <w:p>
      <w:r>
        <w:br w:type="page"/>
      </w:r>
    </w:p>
    <w:p>
      <w:r>
        <w:rPr>
          <w:rFonts w:ascii="Aptos" w:hAnsi="Aptos" w:eastAsia="Aptos"/>
          <w:b/>
          <w:color w:val="202A33"/>
        </w:rPr>
        <w:t>Estado final:</w:t>
      </w:r>
      <w:r>
        <w:rPr>
          <w:rFonts w:ascii="Aptos" w:hAnsi="Aptos" w:eastAsia="Aptos"/>
          <w:color w:val="202A33"/>
        </w:rPr>
        <w:t xml:space="preserve"> STRATEGIC_CAPITAL_BUCKETS_AND_ALLOCATION_FRAMEWORK_RELEASE_VALIDATED</w:t>
      </w:r>
    </w:p>
    <w:p>
      <w:pPr>
        <w:pStyle w:val="Heading1"/>
      </w:pPr>
      <w:r>
        <w:t>1. Resumen ejecutivo</w:t>
      </w:r>
    </w:p>
    <w:p>
      <w:r>
        <w:rPr>
          <w:rFonts w:ascii="Aptos" w:hAnsi="Aptos" w:eastAsia="Aptos"/>
          <w:color w:val="202A33"/>
        </w:rPr>
        <w:t>Wave 2A extiende Capital Planning con un catálogo versionado de Strategic Capital Buckets y Allocation Plans live ligados a Planning Cycles. El diseño separa target estratégico, current demand, current portfolio, recommended y approved position. Bucket no es Theme, Objective, Project Rank, Budget, Funding, Resource Scenario ni FID.</w:t>
      </w:r>
    </w:p>
    <w:p>
      <w:r>
        <w:rPr>
          <w:rFonts w:ascii="Aptos" w:hAnsi="Aptos" w:eastAsia="Aptos"/>
          <w:color w:val="202A33"/>
        </w:rPr>
        <w:t>La implementación reutiliza Wave 1, Portfolio Membership, Evaluation/Rank, Budget/Resource Scenarios, Gate07I, Gate07K, AdminConfiguration, AdminNumberSequence, RBAC, SecurityEvent, ETag, idempotencia, navegación estratégica y guardrails multi-currency. Las evidencias obligatorias de las secciones 47 a 63 quedaron ejecutadas y consolidadas.</w:t>
      </w:r>
    </w:p>
    <w:p>
      <w:pPr>
        <w:pStyle w:val="Heading1"/>
      </w:pPr>
      <w:r>
        <w:t>2. Baseline real del repositorio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Resultado observado al inicio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 de integración actual.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Commit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9cb0969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Punto de referencia del inicio de Wave 2A.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Dirty preexistente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preserva trabajo del usuario y de incrementos anteriores.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Alembic head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20260929_0062 (head)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Baseline Wave 1 confirmado con alembic heads.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1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STRATEGIC_CAPITAL_DEMAND_AND_CAPITAL_PLANNING_FOUNDATION_RELEASE_VALIDATED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Dependencia funcional disponible.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Navegación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strategicNavigationBlueprint.ts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Fuente única de verdad a extender.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La inspección inicial incluye </w:t>
      </w:r>
      <w:r>
        <w:rPr>
          <w:rFonts w:ascii="Aptos Mono" w:hAnsi="Aptos Mono" w:eastAsia="Aptos Mono"/>
          <w:color w:val="17324D"/>
        </w:rPr>
        <w:t>git status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git diff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git diff --stat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git log -n 15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alembic heads</w:t>
      </w:r>
      <w:r>
        <w:rPr>
          <w:rFonts w:ascii="Aptos" w:hAnsi="Aptos" w:eastAsia="Aptos"/>
          <w:color w:val="202A33"/>
        </w:rPr>
        <w:t>. No se limpia, resetea, descarta ni reescribe trabajo local.</w:t>
      </w:r>
    </w:p>
    <w:p>
      <w:pPr>
        <w:pStyle w:val="Heading1"/>
      </w:pPr>
      <w:r>
        <w:t>3. ADR Wave 2A</w:t>
      </w:r>
    </w:p>
    <w:p>
      <w:r>
        <w:rPr>
          <w:rFonts w:ascii="Aptos" w:hAnsi="Aptos" w:eastAsia="Aptos"/>
          <w:color w:val="202A33"/>
        </w:rPr>
        <w:t xml:space="preserve">La decisión se registra en </w:t>
      </w:r>
      <w:r>
        <w:rPr>
          <w:rFonts w:ascii="Aptos Mono" w:hAnsi="Aptos Mono" w:eastAsia="Aptos Mono"/>
          <w:color w:val="17324D"/>
        </w:rPr>
        <w:t>docs/72-adr-wave2a-strategic-capital-buckets-allocation.md</w:t>
      </w:r>
      <w:r>
        <w:rPr>
          <w:rFonts w:ascii="Aptos" w:hAnsi="Aptos" w:eastAsia="Aptos"/>
          <w:color w:val="202A33"/>
        </w:rPr>
        <w:t>. Capital Planning recibe autoridad sobre Bucket definition, applicability, Allocation Plan, target allocation, min/max, clasificación contextual, variance y comparison. Las fuentes Portfolio/Gate permanecen read-only.</w:t>
      </w:r>
    </w:p>
    <w:p>
      <w:r>
        <w:br w:type="page"/>
      </w:r>
    </w:p>
    <w:p>
      <w:pPr>
        <w:pStyle w:val="Heading1"/>
      </w:pPr>
      <w:r>
        <w:t>4. Posición en el proceso objetivo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7F8"/>
          </w:tcPr>
          <w:p>
            <w:r>
              <w:rPr>
                <w:rFonts w:ascii="Aptos Mono" w:hAnsi="Aptos Mono" w:eastAsia="Aptos Mono"/>
                <w:sz w:val="16"/>
              </w:rPr>
              <w:t>Strategic Objectives</w:t>
              <w:br/>
              <w:t xml:space="preserve">  -&gt; Strategic Investment Themes</w:t>
              <w:br/>
              <w:t xml:space="preserve">  -&gt; Capital Planning Cycle</w:t>
              <w:br/>
              <w:t xml:space="preserve">  -&gt; Strategic Capital Demands</w:t>
              <w:br/>
              <w:t xml:space="preserve">  -&gt; Strategic Capital Allocation Plan</w:t>
              <w:br/>
              <w:t xml:space="preserve">  -&gt; Strategic Capital Buckets</w:t>
              <w:br/>
              <w:t xml:space="preserve">  -&gt; Target allocation</w:t>
              <w:br/>
              <w:t xml:space="preserve">  -&gt; Current / Recommended / Approved comparison</w:t>
            </w:r>
          </w:p>
        </w:tc>
      </w:tr>
    </w:tbl>
    <w:p>
      <w:r>
        <w:rPr>
          <w:rFonts w:ascii="Aptos" w:hAnsi="Aptos" w:eastAsia="Aptos"/>
          <w:color w:val="202A33"/>
        </w:rPr>
        <w:t>La salida explícita Demand → Idea continúa separada. Bucket logic no se coloca dentro de Idea.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 title="Cadena conceptual de Wave 2A" descr="Cadena desde objetivos y temas estratégicos hasta demanda, plan de asignación, capital buckets, comparación de posiciones y readi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ave2a-process-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53616B"/>
          <w:sz w:val="16"/>
        </w:rPr>
        <w:t>Figura 1. Cadena conceptual de Wave 2A</w:t>
      </w:r>
    </w:p>
    <w:p>
      <w:pPr>
        <w:pStyle w:val="Heading1"/>
      </w:pPr>
      <w:r>
        <w:t>5. Matriz de autoridad de dominio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Autoridad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Produce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Wave 2A consume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Wave 2A muta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Strategy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Objectives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Wave 1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Themes, Cycles, Demands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Solo cross-classification gobernada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Wave 2A ADMIN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catalog/policy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configuración versionada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Wave 2A USER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Allocation Plan/targets/classification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lifecycle propio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Planning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Membership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Evaluation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Score/Rank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Budget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Scenario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read-only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Resource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Scenario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read-only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Gate07I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read-only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Gate07K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InvestmentDecision/FID semantics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read-only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Funds / FIN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Funding/model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</w:tbl>
    <w:p>
      <w:pPr>
        <w:spacing w:after="20"/>
      </w:pPr>
    </w:p>
    <w:p>
      <w:pPr>
        <w:pStyle w:val="Heading1"/>
      </w:pPr>
      <w:r>
        <w:t>6. REUSE BEFORE CREATE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Activo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Reuso esperado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Prohibición de duplicación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Planning Cycle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Contexto obligatorio del plan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segundo calendario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Demand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Current demand y cobertura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segundo pipeline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 configuration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Mapping/suggestion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segundo Theme catalog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Objective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Referencia/alineación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copia ni re-score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Membership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Current portfolio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segundo membership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Evaluation/Rank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Contexto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score/rank nuevo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Scenario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Posición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target/scenario nuevo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Scenario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Posición read-only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capacity/scenario nuevo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Gate07I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Recommended source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reselección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Gate07K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Approved source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decisión/FID nuevo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AdminConfiguration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catalog/policy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tabla de catálogo innecesaria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AdminNumberSequence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Número de plan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generador paralelo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RBAC/SecurityEvent/ETag/Idempotency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Controles transversales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motor paralelo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Blueprint/currency guardrails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Navegación y no-silent-FX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routing monolítico/no FX inventada</w:t>
            </w:r>
          </w:p>
        </w:tc>
      </w:tr>
    </w:tbl>
    <w:p>
      <w:pPr>
        <w:spacing w:after="20"/>
      </w:pPr>
    </w:p>
    <w:p>
      <w:pPr>
        <w:pStyle w:val="Heading1"/>
      </w:pPr>
      <w:r>
        <w:t>7. Concepto Strategic Capital Bucket</w:t>
      </w:r>
    </w:p>
    <w:p>
      <w:r>
        <w:rPr>
          <w:rFonts w:ascii="Aptos" w:hAnsi="Aptos" w:eastAsia="Aptos"/>
          <w:color w:val="202A33"/>
        </w:rPr>
        <w:t>Bucket es una categoría estratégica reusable de agrupación y allocation intent. Sus valores productivos son ADMIN-configured. Code, name, purpose, applicability, effective dates y display order viven en configuración versionada. Un Bucket usado se archiva y sigue legible en snapshots históricos.</w:t>
      </w:r>
    </w:p>
    <w:p>
      <w:pPr>
        <w:pStyle w:val="Heading1"/>
      </w:pPr>
      <w:r>
        <w:t>8. Theme versus Bucket</w:t>
      </w:r>
    </w:p>
    <w:p>
      <w:r>
        <w:rPr>
          <w:rFonts w:ascii="Aptos" w:hAnsi="Aptos" w:eastAsia="Aptos"/>
          <w:color w:val="202A33"/>
        </w:rPr>
        <w:t>Theme expresa qué naturaleza estratégica persigue la necesidad. Bucket expresa cómo se agrupa capacidad de capital. La relación puede permitir uno, varios o ningún default. Un mapping genera suggestion, no asignación final opaca.</w:t>
      </w:r>
    </w:p>
    <w:p>
      <w:pPr>
        <w:pStyle w:val="Heading1"/>
      </w:pPr>
      <w:r>
        <w:t>9. Strategic Objective versus Bucket</w:t>
      </w:r>
    </w:p>
    <w:p>
      <w:r>
        <w:rPr>
          <w:rFonts w:ascii="Aptos" w:hAnsi="Aptos" w:eastAsia="Aptos"/>
          <w:color w:val="202A33"/>
        </w:rPr>
        <w:t>Objective sigue bajo Enterprise Strategy. Bucket puede referenciar Objectives para alineación, pero no los crea, edita, puntúa ni reasigna.</w:t>
      </w:r>
    </w:p>
    <w:p>
      <w:pPr>
        <w:pStyle w:val="Heading1"/>
      </w:pPr>
      <w:r>
        <w:t>10. Bucket configuration</w:t>
      </w:r>
    </w:p>
    <w:p>
      <w:r>
        <w:rPr>
          <w:rFonts w:ascii="Aptos" w:hAnsi="Aptos" w:eastAsia="Aptos"/>
          <w:color w:val="202A33"/>
        </w:rPr>
        <w:t xml:space="preserve">ADMIN configura catálogo, propósito, Theme/Objectives mappings, allocation basis, min/target/max semantics, tolerancias, clasificación, </w:t>
      </w:r>
      <w:r>
        <w:rPr>
          <w:rFonts w:ascii="Aptos Mono" w:hAnsi="Aptos Mono" w:eastAsia="Aptos Mono"/>
          <w:color w:val="17324D"/>
        </w:rPr>
        <w:t>UNCLASSIFIED</w:t>
      </w:r>
      <w:r>
        <w:rPr>
          <w:rFonts w:ascii="Aptos" w:hAnsi="Aptos" w:eastAsia="Aptos"/>
          <w:color w:val="202A33"/>
        </w:rPr>
        <w:t xml:space="preserve">, status eligibility, Cycle/Portfolio/Governance Model/Project Type applicability, herencia, numeración, review/SoD, preview, history, clone, publish y archive. Preview debe devolver </w:t>
      </w:r>
      <w:r>
        <w:rPr>
          <w:rFonts w:ascii="Aptos Mono" w:hAnsi="Aptos Mono" w:eastAsia="Aptos Mono"/>
          <w:color w:val="17324D"/>
        </w:rPr>
        <w:t>persisted=false</w:t>
      </w:r>
      <w:r>
        <w:rPr>
          <w:rFonts w:ascii="Aptos" w:hAnsi="Aptos" w:eastAsia="Aptos"/>
          <w:color w:val="202A33"/>
        </w:rPr>
        <w:t>.</w:t>
      </w:r>
    </w:p>
    <w:p>
      <w:pPr>
        <w:pStyle w:val="Heading1"/>
      </w:pPr>
      <w:r>
        <w:t>11. Allocation Plan aggregate</w:t>
      </w:r>
    </w:p>
    <w:p>
      <w:r>
        <w:rPr>
          <w:rFonts w:ascii="Aptos" w:hAnsi="Aptos" w:eastAsia="Aptos"/>
          <w:color w:val="202A33"/>
        </w:rPr>
        <w:t>El agregado conserva identidad estable, número visible, Cycle, scope, Workspace, Portfolio opcional, base currency opcional, basis, status, version, configuración/hashes, actor y timestamps. Sus líneas representan Buckets, nunca Projects individuales.</w:t>
      </w:r>
    </w:p>
    <w:p>
      <w:pPr>
        <w:pStyle w:val="Heading1"/>
      </w:pPr>
      <w:r>
        <w:t>12. Allocation Plan lifecycle</w:t>
      </w:r>
    </w:p>
    <w:p>
      <w:r>
        <w:rPr>
          <w:rFonts w:ascii="Aptos Mono" w:hAnsi="Aptos Mono" w:eastAsia="Aptos Mono"/>
          <w:color w:val="17324D"/>
        </w:rPr>
        <w:t>DRAFT -&gt; IN_REVIEW -&gt; ENDORSED</w:t>
      </w:r>
      <w:r>
        <w:rPr>
          <w:rFonts w:ascii="Aptos" w:hAnsi="Aptos" w:eastAsia="Aptos"/>
          <w:color w:val="202A33"/>
        </w:rPr>
        <w:t xml:space="preserve">, con </w:t>
      </w:r>
      <w:r>
        <w:rPr>
          <w:rFonts w:ascii="Aptos Mono" w:hAnsi="Aptos Mono" w:eastAsia="Aptos Mono"/>
          <w:color w:val="17324D"/>
        </w:rPr>
        <w:t>RETURNED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SUPERSEDED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CANCELLED</w:t>
      </w:r>
      <w:r>
        <w:rPr>
          <w:rFonts w:ascii="Aptos" w:hAnsi="Aptos" w:eastAsia="Aptos"/>
          <w:color w:val="202A33"/>
        </w:rPr>
        <w:t xml:space="preserve"> según policy. Endorsed es inmutable; cambios materiales producen una revisión sucesora DRAFT.</w:t>
      </w:r>
    </w:p>
    <w:p>
      <w:pPr>
        <w:pStyle w:val="Heading1"/>
      </w:pPr>
      <w:r>
        <w:t>13. Allocation basis</w:t>
      </w:r>
    </w:p>
    <w:p>
      <w:r>
        <w:rPr>
          <w:rFonts w:ascii="Aptos" w:hAnsi="Aptos" w:eastAsia="Aptos"/>
          <w:color w:val="202A33"/>
        </w:rPr>
        <w:t xml:space="preserve">La configuración permite </w:t>
      </w:r>
      <w:r>
        <w:rPr>
          <w:rFonts w:ascii="Aptos Mono" w:hAnsi="Aptos Mono" w:eastAsia="Aptos Mono"/>
          <w:color w:val="17324D"/>
        </w:rPr>
        <w:t>PERCENTAGE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INDICATIVE_AMOUNT</w:t>
      </w:r>
      <w:r>
        <w:rPr>
          <w:rFonts w:ascii="Aptos" w:hAnsi="Aptos" w:eastAsia="Aptos"/>
          <w:color w:val="202A33"/>
        </w:rPr>
        <w:t xml:space="preserve"> o </w:t>
      </w:r>
      <w:r>
        <w:rPr>
          <w:rFonts w:ascii="Aptos Mono" w:hAnsi="Aptos Mono" w:eastAsia="Aptos Mono"/>
          <w:color w:val="17324D"/>
        </w:rPr>
        <w:t>PERCENTAGE_AND_AMOUNT</w:t>
      </w:r>
      <w:r>
        <w:rPr>
          <w:rFonts w:ascii="Aptos" w:hAnsi="Aptos" w:eastAsia="Aptos"/>
          <w:color w:val="202A33"/>
        </w:rPr>
        <w:t>. Un amount es planning envelope/target; nunca Approved Budget, executable CAPEX ni Funding.</w:t>
      </w:r>
    </w:p>
    <w:p>
      <w:pPr>
        <w:pStyle w:val="Heading1"/>
      </w:pPr>
      <w:r>
        <w:t>14. Bucket Allocation Line</w:t>
      </w:r>
    </w:p>
    <w:p>
      <w:r>
        <w:rPr>
          <w:rFonts w:ascii="Aptos" w:hAnsi="Aptos" w:eastAsia="Aptos"/>
          <w:color w:val="202A33"/>
        </w:rPr>
        <w:t>Cada línea contiene Bucket code, target/min/max percentage o amount, currency, rationale, Objective links, assumptions, constraints y priority note opcional. No contiene Project IDs.</w:t>
      </w:r>
    </w:p>
    <w:p>
      <w:pPr>
        <w:pStyle w:val="Heading1"/>
      </w:pPr>
      <w:r>
        <w:t>15. Min/Target/Max semantics</w:t>
      </w:r>
    </w:p>
    <w:p>
      <w:r>
        <w:rPr>
          <w:rFonts w:ascii="Aptos" w:hAnsi="Aptos" w:eastAsia="Aptos"/>
          <w:color w:val="202A33"/>
        </w:rPr>
        <w:t>Los rangos son guías estratégicas y alimentan variance/status. No son hard limits de Budget, Funding o contract commitment.</w:t>
      </w:r>
    </w:p>
    <w:p>
      <w:pPr>
        <w:pStyle w:val="Heading1"/>
      </w:pPr>
      <w:r>
        <w:t>16. Percentage validation</w:t>
      </w:r>
    </w:p>
    <w:p>
      <w:r>
        <w:rPr>
          <w:rFonts w:ascii="Aptos" w:hAnsi="Aptos" w:eastAsia="Aptos"/>
          <w:color w:val="202A33"/>
        </w:rPr>
        <w:t>El backend aplica la regla publicada: 100 %, reserva explícita o horizonte parcial. No normaliza silenciosamente. La prueba negativa debe demostrar rechazo de un total inválido.</w:t>
      </w:r>
    </w:p>
    <w:p>
      <w:pPr>
        <w:pStyle w:val="Heading1"/>
      </w:pPr>
      <w:r>
        <w:t>17. Demand classification</w:t>
      </w:r>
    </w:p>
    <w:p>
      <w:r>
        <w:rPr>
          <w:rFonts w:ascii="Aptos" w:hAnsi="Aptos" w:eastAsia="Aptos"/>
          <w:color w:val="202A33"/>
        </w:rPr>
        <w:t>Una Demand elegible tiene como máximo un primary Bucket por contexto efectivo. La clasificación puede ser manual, default derivado o suggestion, siempre con source y rationale. No muta Idea, BA, Proposal, Project o Membership.</w:t>
      </w:r>
    </w:p>
    <w:p>
      <w:pPr>
        <w:pStyle w:val="Heading1"/>
      </w:pPr>
      <w:r>
        <w:t>18. Project/Portfolio classification</w:t>
      </w:r>
    </w:p>
    <w:p>
      <w:r>
        <w:rPr>
          <w:rFonts w:ascii="Aptos" w:hAnsi="Aptos" w:eastAsia="Aptos"/>
          <w:color w:val="202A33"/>
        </w:rPr>
        <w:t xml:space="preserve">Projects standalone usan cross-classification explícita de Project Workspace o Portfolio Membership cuando no existe lineage. Bucket no forma parte de la identidad de </w:t>
      </w:r>
      <w:r>
        <w:rPr>
          <w:rFonts w:ascii="Aptos Mono" w:hAnsi="Aptos Mono" w:eastAsia="Aptos Mono"/>
          <w:color w:val="17324D"/>
        </w:rPr>
        <w:t>EnterpriseWorkspace</w:t>
      </w:r>
      <w:r>
        <w:rPr>
          <w:rFonts w:ascii="Aptos" w:hAnsi="Aptos" w:eastAsia="Aptos"/>
          <w:color w:val="202A33"/>
        </w:rPr>
        <w:t>.</w:t>
      </w:r>
    </w:p>
    <w:p>
      <w:pPr>
        <w:pStyle w:val="Heading1"/>
      </w:pPr>
      <w:r>
        <w:t>19. Classification precedence</w:t>
      </w:r>
    </w:p>
    <w:p>
      <w:r>
        <w:rPr>
          <w:rFonts w:ascii="Aptos" w:hAnsi="Aptos" w:eastAsia="Aptos"/>
          <w:color w:val="202A33"/>
        </w:rPr>
        <w:t xml:space="preserve">El backend aplica: explicit Project/Portfolio classification → source Demand classification → Theme default → </w:t>
      </w:r>
      <w:r>
        <w:rPr>
          <w:rFonts w:ascii="Aptos Mono" w:hAnsi="Aptos Mono" w:eastAsia="Aptos Mono"/>
          <w:color w:val="17324D"/>
        </w:rPr>
        <w:t>UNCLASSIFIED</w:t>
      </w:r>
      <w:r>
        <w:rPr>
          <w:rFonts w:ascii="Aptos" w:hAnsi="Aptos" w:eastAsia="Aptos"/>
          <w:color w:val="202A33"/>
        </w:rPr>
        <w:t>. Browser no resuelve precedencia.</w:t>
      </w:r>
    </w:p>
    <w:p>
      <w:pPr>
        <w:pStyle w:val="Heading1"/>
      </w:pPr>
      <w:r>
        <w:t>20. Unclassified policy</w:t>
      </w:r>
    </w:p>
    <w:p>
      <w:r>
        <w:rPr>
          <w:rFonts w:ascii="Aptos Mono" w:hAnsi="Aptos Mono" w:eastAsia="Aptos Mono"/>
          <w:color w:val="17324D"/>
        </w:rPr>
        <w:t>UNCLASSIFIED</w:t>
      </w:r>
      <w:r>
        <w:rPr>
          <w:rFonts w:ascii="Aptos" w:hAnsi="Aptos" w:eastAsia="Aptos"/>
          <w:color w:val="202A33"/>
        </w:rPr>
        <w:t xml:space="preserve"> permanece visible y en el denominador. Coverage insuficiente bloquea endorsement o genera warning según policy; nunca se descarta capital silenciosamente.</w:t>
      </w:r>
    </w:p>
    <w:p>
      <w:pPr>
        <w:pStyle w:val="Heading1"/>
      </w:pPr>
      <w:r>
        <w:t>21. Current Demand Position</w:t>
      </w:r>
    </w:p>
    <w:p>
      <w:r>
        <w:rPr>
          <w:rFonts w:ascii="Aptos" w:hAnsi="Aptos" w:eastAsia="Aptos"/>
          <w:color w:val="202A33"/>
        </w:rPr>
        <w:t>Se deriva de Demands en statuses configurados, primary classification, Indicative Capital Need y currency. Budget Scenario no es fuente de esta posición.</w:t>
      </w:r>
    </w:p>
    <w:p>
      <w:pPr>
        <w:pStyle w:val="Heading1"/>
      </w:pPr>
      <w:r>
        <w:t>22. Current Portfolio Position</w:t>
      </w:r>
    </w:p>
    <w:p>
      <w:r>
        <w:rPr>
          <w:rFonts w:ascii="Aptos" w:hAnsi="Aptos" w:eastAsia="Aptos"/>
          <w:color w:val="202A33"/>
        </w:rPr>
        <w:t>Se deriva read-only de Portfolio Membership, origin lineage y cross-classification. No crea ni cambia membership.</w:t>
      </w:r>
    </w:p>
    <w:p>
      <w:pPr>
        <w:pStyle w:val="Heading1"/>
      </w:pPr>
      <w:r>
        <w:t>23. Recommended Scenario Position</w:t>
      </w:r>
    </w:p>
    <w:p>
      <w:r>
        <w:rPr>
          <w:rFonts w:ascii="Aptos" w:hAnsi="Aptos" w:eastAsia="Aptos"/>
          <w:color w:val="202A33"/>
        </w:rPr>
        <w:t xml:space="preserve">Se deriva de Gate07I/recommendation y escenarios seleccionados cuando existe información resoluble. No altera selección, scenario ni recommendation. Datos incompatibles producen </w:t>
      </w:r>
      <w:r>
        <w:rPr>
          <w:rFonts w:ascii="Aptos Mono" w:hAnsi="Aptos Mono" w:eastAsia="Aptos Mono"/>
          <w:color w:val="17324D"/>
        </w:rPr>
        <w:t>NOT_EVALUABLE</w:t>
      </w:r>
      <w:r>
        <w:rPr>
          <w:rFonts w:ascii="Aptos" w:hAnsi="Aptos" w:eastAsia="Aptos"/>
          <w:color w:val="202A33"/>
        </w:rPr>
        <w:t>.</w:t>
      </w:r>
    </w:p>
    <w:p>
      <w:pPr>
        <w:pStyle w:val="Heading1"/>
      </w:pPr>
      <w:r>
        <w:t>24. Approved Investment Position</w:t>
      </w:r>
    </w:p>
    <w:p>
      <w:r>
        <w:rPr>
          <w:rFonts w:ascii="Aptos" w:hAnsi="Aptos" w:eastAsia="Aptos"/>
          <w:color w:val="202A33"/>
        </w:rPr>
        <w:t xml:space="preserve">Se deriva solo de decisiones que representan capital autorizado. </w:t>
      </w:r>
      <w:r>
        <w:rPr>
          <w:rFonts w:ascii="Aptos Mono" w:hAnsi="Aptos Mono" w:eastAsia="Aptos Mono"/>
          <w:color w:val="17324D"/>
        </w:rPr>
        <w:t>PYP-INV-SELECT + GO</w:t>
      </w:r>
      <w:r>
        <w:rPr>
          <w:rFonts w:ascii="Aptos" w:hAnsi="Aptos" w:eastAsia="Aptos"/>
          <w:color w:val="202A33"/>
        </w:rPr>
        <w:t xml:space="preserve"> no equivale a full approved capital. </w:t>
      </w:r>
      <w:r>
        <w:rPr>
          <w:rFonts w:ascii="Aptos Mono" w:hAnsi="Aptos Mono" w:eastAsia="Aptos Mono"/>
          <w:color w:val="17324D"/>
        </w:rPr>
        <w:t>PYP-FFA + GO</w:t>
      </w:r>
      <w:r>
        <w:rPr>
          <w:rFonts w:ascii="Aptos" w:hAnsi="Aptos" w:eastAsia="Aptos"/>
          <w:color w:val="202A33"/>
        </w:rPr>
        <w:t xml:space="preserve"> reutiliza </w:t>
      </w:r>
      <w:r>
        <w:rPr>
          <w:rFonts w:ascii="Aptos Mono" w:hAnsi="Aptos Mono" w:eastAsia="Aptos Mono"/>
          <w:color w:val="17324D"/>
        </w:rPr>
        <w:t>is_fid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full_funds_authorized</w:t>
      </w:r>
      <w:r>
        <w:rPr>
          <w:rFonts w:ascii="Aptos" w:hAnsi="Aptos" w:eastAsia="Aptos"/>
          <w:color w:val="202A33"/>
        </w:rPr>
        <w:t xml:space="preserve"> e </w:t>
      </w:r>
      <w:r>
        <w:rPr>
          <w:rFonts w:ascii="Aptos Mono" w:hAnsi="Aptos Mono" w:eastAsia="Aptos Mono"/>
          <w:color w:val="17324D"/>
        </w:rPr>
        <w:t>investment_authorized</w:t>
      </w:r>
      <w:r>
        <w:rPr>
          <w:rFonts w:ascii="Aptos" w:hAnsi="Aptos" w:eastAsia="Aptos"/>
          <w:color w:val="202A33"/>
        </w:rPr>
        <w:t>.</w:t>
      </w:r>
    </w:p>
    <w:p>
      <w:r>
        <w:br w:type="page"/>
      </w:r>
    </w:p>
    <w:p>
      <w:pPr>
        <w:pStyle w:val="Heading1"/>
      </w:pPr>
      <w:r>
        <w:t>25. Modelo Target/Current/Recommended/Approved</w:t>
      </w:r>
    </w:p>
    <w:p>
      <w:r>
        <w:rPr>
          <w:rFonts w:ascii="Aptos Mono" w:hAnsi="Aptos Mono" w:eastAsia="Aptos Mono"/>
          <w:color w:val="17324D"/>
        </w:rPr>
        <w:t>TARGET</w:t>
      </w:r>
      <w:r>
        <w:rPr>
          <w:rFonts w:ascii="Aptos" w:hAnsi="Aptos" w:eastAsia="Aptos"/>
          <w:color w:val="202A33"/>
        </w:rPr>
        <w:t xml:space="preserve"> proviene del plan; </w:t>
      </w:r>
      <w:r>
        <w:rPr>
          <w:rFonts w:ascii="Aptos Mono" w:hAnsi="Aptos Mono" w:eastAsia="Aptos Mono"/>
          <w:color w:val="17324D"/>
        </w:rPr>
        <w:t>CURRENT_DEMAND</w:t>
      </w:r>
      <w:r>
        <w:rPr>
          <w:rFonts w:ascii="Aptos" w:hAnsi="Aptos" w:eastAsia="Aptos"/>
          <w:color w:val="202A33"/>
        </w:rPr>
        <w:t xml:space="preserve"> del pipeline; </w:t>
      </w:r>
      <w:r>
        <w:rPr>
          <w:rFonts w:ascii="Aptos Mono" w:hAnsi="Aptos Mono" w:eastAsia="Aptos Mono"/>
          <w:color w:val="17324D"/>
        </w:rPr>
        <w:t>CURRENT_PORTFOLIO</w:t>
      </w:r>
      <w:r>
        <w:rPr>
          <w:rFonts w:ascii="Aptos" w:hAnsi="Aptos" w:eastAsia="Aptos"/>
          <w:color w:val="202A33"/>
        </w:rPr>
        <w:t xml:space="preserve"> de membership; </w:t>
      </w:r>
      <w:r>
        <w:rPr>
          <w:rFonts w:ascii="Aptos Mono" w:hAnsi="Aptos Mono" w:eastAsia="Aptos Mono"/>
          <w:color w:val="17324D"/>
        </w:rPr>
        <w:t>RECOMMENDED</w:t>
      </w:r>
      <w:r>
        <w:rPr>
          <w:rFonts w:ascii="Aptos" w:hAnsi="Aptos" w:eastAsia="Aptos"/>
          <w:color w:val="202A33"/>
        </w:rPr>
        <w:t xml:space="preserve"> de Gate07I; </w:t>
      </w:r>
      <w:r>
        <w:rPr>
          <w:rFonts w:ascii="Aptos Mono" w:hAnsi="Aptos Mono" w:eastAsia="Aptos Mono"/>
          <w:color w:val="17324D"/>
        </w:rPr>
        <w:t>APPROVED</w:t>
      </w:r>
      <w:r>
        <w:rPr>
          <w:rFonts w:ascii="Aptos" w:hAnsi="Aptos" w:eastAsia="Aptos"/>
          <w:color w:val="202A33"/>
        </w:rPr>
        <w:t xml:space="preserve"> de Gate07K. La API conserva labels y lineage diferenciados.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title="Modelo de comparación de posiciones" descr="Target, demanda actual, portafolio actual, recomendado y aprobado convergen en un read model backend de variación y readi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ave2a-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53616B"/>
          <w:sz w:val="16"/>
        </w:rPr>
        <w:t>Figura 2. Modelo de comparación de posiciones</w:t>
      </w:r>
    </w:p>
    <w:p>
      <w:pPr>
        <w:pStyle w:val="Heading1"/>
      </w:pPr>
      <w:r>
        <w:t>26. Variance model</w:t>
      </w:r>
    </w:p>
    <w:p>
      <w:r>
        <w:rPr>
          <w:rFonts w:ascii="Aptos" w:hAnsi="Aptos" w:eastAsia="Aptos"/>
          <w:color w:val="202A33"/>
        </w:rPr>
        <w:t>Por Bucket se muestra target, current demand, current portfolio, recommended, approved y variance contra target, en porcentaje y amount cuando son evaluables. Status derivado: under, within, over, unclassified exposure o not evaluable.</w:t>
      </w:r>
    </w:p>
    <w:p>
      <w:pPr>
        <w:pStyle w:val="Heading1"/>
      </w:pPr>
      <w:r>
        <w:t>27. Multi-currency behavior</w:t>
      </w:r>
    </w:p>
    <w:p>
      <w:r>
        <w:rPr>
          <w:rFonts w:ascii="Aptos" w:hAnsi="Aptos" w:eastAsia="Aptos"/>
          <w:color w:val="202A33"/>
        </w:rPr>
        <w:t>Sin FX gobernada, los montos se agrupan por currency y no se calcula un total o porcentaje falso. La UI expone la limitación.</w:t>
      </w:r>
    </w:p>
    <w:p>
      <w:pPr>
        <w:pStyle w:val="Heading1"/>
      </w:pPr>
      <w:r>
        <w:t>28. No-double-counting controls</w:t>
      </w:r>
    </w:p>
    <w:p>
      <w:r>
        <w:rPr>
          <w:rFonts w:ascii="Aptos" w:hAnsi="Aptos" w:eastAsia="Aptos"/>
          <w:color w:val="202A33"/>
        </w:rPr>
        <w:t>La unicidad contextual de primary Bucket y la resolución backend aseguran que una misma Demand/Project amount no se agrega dos veces. Analytical tags opcionales no alimentan totales primarios.</w:t>
      </w:r>
    </w:p>
    <w:p>
      <w:pPr>
        <w:pStyle w:val="Heading1"/>
      </w:pPr>
      <w:r>
        <w:t>29. Strategic alignment</w:t>
      </w:r>
    </w:p>
    <w:p>
      <w:r>
        <w:rPr>
          <w:rFonts w:ascii="Aptos" w:hAnsi="Aptos" w:eastAsia="Aptos"/>
          <w:color w:val="202A33"/>
        </w:rPr>
        <w:t>La policy valida Bucket ↔ Theme, Bucket ↔ Objective y Demand ↔ Bucket. No modifica Objectives ni crea un score estratégico paralelo.</w:t>
      </w:r>
    </w:p>
    <w:p>
      <w:pPr>
        <w:pStyle w:val="Heading1"/>
      </w:pPr>
      <w:r>
        <w:t>30. Planning Cycle integration</w:t>
      </w:r>
    </w:p>
    <w:p>
      <w:r>
        <w:rPr>
          <w:rFonts w:ascii="Aptos" w:hAnsi="Aptos" w:eastAsia="Aptos"/>
          <w:color w:val="202A33"/>
        </w:rPr>
        <w:t>El plan referencia un Cycle existente, horizonte compatible y comportamiento de ciclo cerrado. La policy limita un current plan no ambiguo por Cycle/scope; historia se conserva por revisiones.</w:t>
      </w:r>
    </w:p>
    <w:p>
      <w:pPr>
        <w:pStyle w:val="Heading1"/>
      </w:pPr>
      <w:r>
        <w:t>31. Historical snapshots</w:t>
      </w:r>
    </w:p>
    <w:p>
      <w:r>
        <w:rPr>
          <w:rFonts w:ascii="Aptos" w:hAnsi="Aptos" w:eastAsia="Aptos"/>
          <w:color w:val="202A33"/>
        </w:rPr>
        <w:t>Endorsed congela plan, líneas, Bucket definitions, configuración/hash, Cycle, scope, assumptions, classification policy y source context. El snapshot no se recalcula.</w:t>
      </w:r>
    </w:p>
    <w:p>
      <w:pPr>
        <w:pStyle w:val="Heading1"/>
      </w:pPr>
      <w:r>
        <w:t>32. Source-current y staleness</w:t>
      </w:r>
    </w:p>
    <w:p>
      <w:r>
        <w:rPr>
          <w:rFonts w:ascii="Aptos" w:hAnsi="Aptos" w:eastAsia="Aptos"/>
          <w:color w:val="202A33"/>
        </w:rPr>
        <w:t xml:space="preserve">Un cambio material de configuración no altera un endorsed plan; puede marcar la comparación live como </w:t>
      </w:r>
      <w:r>
        <w:rPr>
          <w:rFonts w:ascii="Aptos Mono" w:hAnsi="Aptos Mono" w:eastAsia="Aptos Mono"/>
          <w:color w:val="17324D"/>
        </w:rPr>
        <w:t>STALE</w:t>
      </w:r>
      <w:r>
        <w:rPr>
          <w:rFonts w:ascii="Aptos" w:hAnsi="Aptos" w:eastAsia="Aptos"/>
          <w:color w:val="202A33"/>
        </w:rPr>
        <w:t xml:space="preserve"> y requerir una nueva revisión.</w:t>
      </w:r>
    </w:p>
    <w:p>
      <w:pPr>
        <w:pStyle w:val="Heading1"/>
      </w:pPr>
      <w:r>
        <w:t>33. Refresh Preview / Apply</w:t>
      </w:r>
    </w:p>
    <w:p>
      <w:r>
        <w:rPr>
          <w:rFonts w:ascii="Aptos" w:hAnsi="Aptos" w:eastAsia="Aptos"/>
          <w:color w:val="202A33"/>
        </w:rPr>
        <w:t xml:space="preserve">El preview reutilizable de configuración está disponible mediante el flujo ADMIN y debe devolver </w:t>
      </w:r>
      <w:r>
        <w:rPr>
          <w:rFonts w:ascii="Aptos Mono" w:hAnsi="Aptos Mono" w:eastAsia="Aptos Mono"/>
          <w:color w:val="17324D"/>
        </w:rPr>
        <w:t>persisted=false</w:t>
      </w:r>
      <w:r>
        <w:rPr>
          <w:rFonts w:ascii="Aptos" w:hAnsi="Aptos" w:eastAsia="Aptos"/>
          <w:color w:val="202A33"/>
        </w:rPr>
        <w:t xml:space="preserve">. El agregado live ya dispone de creación de revisión sucesora DRAFT, pero en esta entrega no se declara un endpoint específico </w:t>
      </w:r>
      <w:r>
        <w:rPr>
          <w:rFonts w:ascii="Aptos Mono" w:hAnsi="Aptos Mono" w:eastAsia="Aptos Mono"/>
          <w:color w:val="17324D"/>
        </w:rPr>
        <w:t>Refresh Preview / Apply</w:t>
      </w:r>
      <w:r>
        <w:rPr>
          <w:rFonts w:ascii="Aptos" w:hAnsi="Aptos" w:eastAsia="Aptos"/>
          <w:color w:val="202A33"/>
        </w:rPr>
        <w:t xml:space="preserve"> del Allocation Plan. Esta capacidad opcional queda diferenciada de la inmutabilidad obligatoria del plan endorsed y no se simula como validada.</w:t>
      </w:r>
    </w:p>
    <w:p>
      <w:pPr>
        <w:pStyle w:val="Heading1"/>
      </w:pPr>
      <w:r>
        <w:t>34. ADMIN configuration</w:t>
      </w:r>
    </w:p>
    <w:p>
      <w:r>
        <w:rPr>
          <w:rFonts w:ascii="Aptos" w:hAnsi="Aptos" w:eastAsia="Aptos"/>
          <w:color w:val="202A33"/>
        </w:rPr>
        <w:t>La navegación objetivo es Enterprise Strategy Manager → Strategic Capital Planning &amp; Demand Configuration → Strategic Capital Buckets. No incluye acciones live del Allocation Plan.</w:t>
      </w:r>
    </w:p>
    <w:p>
      <w:pPr>
        <w:pStyle w:val="Heading1"/>
      </w:pPr>
      <w:r>
        <w:t>35. USER workflow</w:t>
      </w:r>
    </w:p>
    <w:p>
      <w:r>
        <w:rPr>
          <w:rFonts w:ascii="Aptos" w:hAnsi="Aptos" w:eastAsia="Aptos"/>
          <w:color w:val="202A33"/>
        </w:rPr>
        <w:t xml:space="preserve">La navegación objetivo es Strategic Capital Planning &amp; Demand → Strategic Capital Allocation / Allocation History. Views: overview, target, demand, portfolio, recommended, approved, variance, classification, readiness e history. </w:t>
      </w:r>
      <w:r>
        <w:rPr>
          <w:rFonts w:ascii="Aptos" w:hAnsi="Aptos" w:eastAsia="Aptos"/>
          <w:b/>
          <w:color w:val="202A33"/>
        </w:rPr>
        <w:t>Pruebas frontend locales:</w:t>
      </w:r>
      <w:r>
        <w:rPr>
          <w:rFonts w:ascii="Aptos" w:hAnsi="Aptos" w:eastAsia="Aptos"/>
          <w:color w:val="202A33"/>
        </w:rPr>
        <w:t xml:space="preserve"> PASS, 3 archivos y 13 casos Vitest (5 API, 5 workspace y 3 navegación); cubren normalización API, ETag/idempotency de clasificación, currencies separadas, exposición unclassified, History, edición exacta de target, creación con scope explícito, acciones de lifecycle gobernadas y proyección ADMIN/USER.</w:t>
      </w:r>
    </w:p>
    <w:p>
      <w:r>
        <w:br w:type="page"/>
      </w:r>
    </w:p>
    <w:p>
      <w:pPr>
        <w:pStyle w:val="Heading1"/>
      </w:pPr>
      <w:r>
        <w:t>36. Matriz ADMIN / 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USER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catalog/policy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Configura/publica/archiva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Consume efectiva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Live Allocation Plan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edita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Crea/revisa/endorse según permisos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Classification policy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Aplica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Demand/Project classification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opera live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Clasifica según permiso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Preview reusable config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Sí, persisted=false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Comparison/history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Política y definición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Lectura live/histórica</w:t>
            </w:r>
          </w:p>
        </w:tc>
      </w:tr>
    </w:tbl>
    <w:p>
      <w:pPr>
        <w:spacing w:after="2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 title="Separación ADMIN y USER" descr="ADMIN publica la política de buckets y USER opera el plan live mediante submit, revisión independiente y endorsement inmu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ve2a-admin-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53616B"/>
          <w:sz w:val="16"/>
        </w:rPr>
        <w:t>Figura 3. Separación ADMIN y USER</w:t>
      </w:r>
    </w:p>
    <w:p>
      <w:pPr>
        <w:pStyle w:val="Heading1"/>
      </w:pPr>
      <w:r>
        <w:t>37. Roles y permisos</w:t>
      </w:r>
    </w:p>
    <w:p>
      <w:r>
        <w:rPr>
          <w:rFonts w:ascii="Aptos" w:hAnsi="Aptos" w:eastAsia="Aptos"/>
          <w:color w:val="202A33"/>
        </w:rPr>
        <w:t>Se extiende el catálogo de Capital Planning con permisos allocation read/create/edit/submit/review/endorse, bucket classify y admin bucket configure/publish. La API los aplica en direct route.</w:t>
      </w:r>
    </w:p>
    <w:p>
      <w:pPr>
        <w:pStyle w:val="Heading1"/>
      </w:pPr>
      <w:r>
        <w:t>38. Separation of duties</w:t>
      </w:r>
    </w:p>
    <w:p>
      <w:r>
        <w:rPr>
          <w:rFonts w:ascii="Aptos" w:hAnsi="Aptos" w:eastAsia="Aptos"/>
          <w:color w:val="202A33"/>
        </w:rPr>
        <w:t>Cuando está configurado, author ≠ final endorser. Publicar configuración no concede permisos transactionales USER.</w:t>
      </w:r>
    </w:p>
    <w:p>
      <w:pPr>
        <w:pStyle w:val="Heading1"/>
      </w:pPr>
      <w:r>
        <w:t>39. ETag</w:t>
      </w:r>
    </w:p>
    <w:p>
      <w:r>
        <w:rPr>
          <w:rFonts w:ascii="Aptos" w:hAnsi="Aptos" w:eastAsia="Aptos"/>
          <w:color w:val="202A33"/>
        </w:rPr>
        <w:t xml:space="preserve">Las mutaciones reciben </w:t>
      </w:r>
      <w:r>
        <w:rPr>
          <w:rFonts w:ascii="Aptos Mono" w:hAnsi="Aptos Mono" w:eastAsia="Aptos Mono"/>
          <w:color w:val="17324D"/>
        </w:rPr>
        <w:t>If-Match</w:t>
      </w:r>
      <w:r>
        <w:rPr>
          <w:rFonts w:ascii="Aptos" w:hAnsi="Aptos" w:eastAsia="Aptos"/>
          <w:color w:val="202A33"/>
        </w:rPr>
        <w:t xml:space="preserve">; stale version devuelve </w:t>
      </w:r>
      <w:r>
        <w:rPr>
          <w:rFonts w:ascii="Aptos Mono" w:hAnsi="Aptos Mono" w:eastAsia="Aptos Mono"/>
          <w:color w:val="17324D"/>
        </w:rPr>
        <w:t>412 ETAG_MISMATCH</w:t>
      </w:r>
      <w:r>
        <w:rPr>
          <w:rFonts w:ascii="Aptos" w:hAnsi="Aptos" w:eastAsia="Aptos"/>
          <w:color w:val="202A33"/>
        </w:rPr>
        <w:t xml:space="preserve"> sin persistir cambios.</w:t>
      </w:r>
    </w:p>
    <w:p>
      <w:pPr>
        <w:pStyle w:val="Heading1"/>
      </w:pPr>
      <w:r>
        <w:t>40. Idempotency</w:t>
      </w:r>
    </w:p>
    <w:p>
      <w:r>
        <w:rPr>
          <w:rFonts w:ascii="Aptos" w:hAnsi="Aptos" w:eastAsia="Aptos"/>
          <w:color w:val="202A33"/>
        </w:rPr>
        <w:t xml:space="preserve">Create Plan, new revision, endorse y classify usan </w:t>
      </w:r>
      <w:r>
        <w:rPr>
          <w:rFonts w:ascii="Aptos Mono" w:hAnsi="Aptos Mono" w:eastAsia="Aptos Mono"/>
          <w:color w:val="17324D"/>
        </w:rPr>
        <w:t>Idempotency-Key</w:t>
      </w:r>
      <w:r>
        <w:rPr>
          <w:rFonts w:ascii="Aptos" w:hAnsi="Aptos" w:eastAsia="Aptos"/>
          <w:color w:val="202A33"/>
        </w:rPr>
        <w:t>. Repetir key y payload devuelve el resultado original; un conflicto no crea duplicados.</w:t>
      </w:r>
    </w:p>
    <w:p>
      <w:pPr>
        <w:pStyle w:val="Heading1"/>
      </w:pPr>
      <w:r>
        <w:t>41. SecurityEvent</w:t>
      </w:r>
    </w:p>
    <w:p>
      <w:r>
        <w:rPr>
          <w:rFonts w:ascii="Aptos" w:hAnsi="Aptos" w:eastAsia="Aptos"/>
          <w:color w:val="202A33"/>
        </w:rPr>
        <w:t>Configuración, lifecycle, clasificación y revision generan eventos tenant-aware con actor, target, acción, versión y outcome.</w:t>
      </w:r>
    </w:p>
    <w:p>
      <w:pPr>
        <w:pStyle w:val="Heading1"/>
      </w:pPr>
      <w:r>
        <w:t>42. Persistence design</w:t>
      </w:r>
    </w:p>
    <w:p>
      <w:r>
        <w:rPr>
          <w:rFonts w:ascii="Aptos" w:hAnsi="Aptos" w:eastAsia="Aptos"/>
          <w:color w:val="202A33"/>
        </w:rPr>
        <w:t xml:space="preserve">El catálogo Bucket reutiliza </w:t>
      </w:r>
      <w:r>
        <w:rPr>
          <w:rFonts w:ascii="Aptos Mono" w:hAnsi="Aptos Mono" w:eastAsia="Aptos Mono"/>
          <w:color w:val="17324D"/>
        </w:rPr>
        <w:t>AdminConfiguration</w:t>
      </w:r>
      <w:r>
        <w:rPr>
          <w:rFonts w:ascii="Aptos" w:hAnsi="Aptos" w:eastAsia="Aptos"/>
          <w:color w:val="202A33"/>
        </w:rPr>
        <w:t>. Planes, líneas/revisiones y cross-classifications solo se normalizan donde identidad, FK, uniqueness, indexación o inmutabilidad lo exigen. Snapshot JSON/hash preserva historia.</w:t>
      </w:r>
    </w:p>
    <w:p>
      <w:pPr>
        <w:pStyle w:val="Heading1"/>
      </w:pPr>
      <w:r>
        <w:t>43. Migration</w:t>
      </w:r>
    </w:p>
    <w:p>
      <w:r>
        <w:rPr>
          <w:rFonts w:ascii="Aptos" w:hAnsi="Aptos" w:eastAsia="Aptos"/>
          <w:color w:val="202A33"/>
        </w:rPr>
        <w:t xml:space="preserve">La migración inspeccionada es </w:t>
      </w:r>
      <w:r>
        <w:rPr>
          <w:rFonts w:ascii="Aptos Mono" w:hAnsi="Aptos Mono" w:eastAsia="Aptos Mono"/>
          <w:color w:val="17324D"/>
        </w:rPr>
        <w:t>20261001_0063_wave2a_strategic_capital_allocation.py</w:t>
      </w:r>
      <w:r>
        <w:rPr>
          <w:rFonts w:ascii="Aptos" w:hAnsi="Aptos" w:eastAsia="Aptos"/>
          <w:color w:val="202A33"/>
        </w:rPr>
        <w:t xml:space="preserve">, sucesora única de </w:t>
      </w:r>
      <w:r>
        <w:rPr>
          <w:rFonts w:ascii="Aptos Mono" w:hAnsi="Aptos Mono" w:eastAsia="Aptos Mono"/>
          <w:color w:val="17324D"/>
        </w:rPr>
        <w:t>20260929_0062</w:t>
      </w:r>
      <w:r>
        <w:rPr>
          <w:rFonts w:ascii="Aptos" w:hAnsi="Aptos" w:eastAsia="Aptos"/>
          <w:color w:val="202A33"/>
        </w:rPr>
        <w:t xml:space="preserve">. El guardrail estático confirma que el </w:t>
      </w:r>
      <w:r>
        <w:rPr>
          <w:rFonts w:ascii="Aptos Mono" w:hAnsi="Aptos Mono" w:eastAsia="Aptos Mono"/>
          <w:color w:val="17324D"/>
        </w:rPr>
        <w:t>upgrade</w:t>
      </w:r>
      <w:r>
        <w:rPr>
          <w:rFonts w:ascii="Aptos" w:hAnsi="Aptos" w:eastAsia="Aptos"/>
          <w:color w:val="202A33"/>
        </w:rPr>
        <w:t xml:space="preserve"> es aditivo, que no altera tablas de autoridades Portfolio/Gate y que mantiene el STOP boundary. </w:t>
      </w:r>
      <w:r>
        <w:rPr>
          <w:rFonts w:ascii="Aptos" w:hAnsi="Aptos" w:eastAsia="Aptos"/>
          <w:b/>
          <w:color w:val="202A33"/>
        </w:rPr>
        <w:t>SQLite up/down/up:</w:t>
      </w:r>
      <w:r>
        <w:rPr>
          <w:rFonts w:ascii="Aptos" w:hAnsi="Aptos" w:eastAsia="Aptos"/>
          <w:color w:val="202A33"/>
        </w:rPr>
        <w:t xml:space="preserve"> PASS. </w:t>
      </w:r>
      <w:r>
        <w:rPr>
          <w:rFonts w:ascii="Aptos" w:hAnsi="Aptos" w:eastAsia="Aptos"/>
          <w:b/>
          <w:color w:val="202A33"/>
        </w:rPr>
        <w:t>PostgreSQL 16 up/down/up en Docker efímero:</w:t>
      </w:r>
      <w:r>
        <w:rPr>
          <w:rFonts w:ascii="Aptos" w:hAnsi="Aptos" w:eastAsia="Aptos"/>
          <w:color w:val="202A33"/>
        </w:rPr>
        <w:t xml:space="preserve"> PASS, 1 prueba en 23,36 s. La validación comprobó las cuatro tablas Wave 2A, nulabilidad, índices/uniqueness, conservación de la superficie 0062 y restauración correcta tras </w:t>
      </w:r>
      <w:r>
        <w:rPr>
          <w:rFonts w:ascii="Aptos Mono" w:hAnsi="Aptos Mono" w:eastAsia="Aptos Mono"/>
          <w:color w:val="17324D"/>
        </w:rPr>
        <w:t>down</w:t>
      </w:r>
      <w:r>
        <w:rPr>
          <w:rFonts w:ascii="Aptos" w:hAnsi="Aptos" w:eastAsia="Aptos"/>
          <w:color w:val="202A33"/>
        </w:rPr>
        <w:t xml:space="preserve"> y segundo </w:t>
      </w:r>
      <w:r>
        <w:rPr>
          <w:rFonts w:ascii="Aptos Mono" w:hAnsi="Aptos Mono" w:eastAsia="Aptos Mono"/>
          <w:color w:val="17324D"/>
        </w:rPr>
        <w:t>up</w:t>
      </w:r>
      <w:r>
        <w:rPr>
          <w:rFonts w:ascii="Aptos" w:hAnsi="Aptos" w:eastAsia="Aptos"/>
          <w:color w:val="202A33"/>
        </w:rPr>
        <w:t>.</w:t>
      </w:r>
    </w:p>
    <w:p>
      <w:pPr>
        <w:pStyle w:val="Heading1"/>
      </w:pPr>
      <w:r>
        <w:t>44. API</w:t>
      </w:r>
    </w:p>
    <w:p>
      <w:r>
        <w:rPr>
          <w:rFonts w:ascii="Aptos" w:hAnsi="Aptos" w:eastAsia="Aptos"/>
          <w:color w:val="202A33"/>
        </w:rPr>
        <w:t>USER: list/create/read/update, lifecycle, new revision, comparison, variance, classification e history. ADMIN: configurations, effective preview, clone, draft update, publish y archive. Listados paginados y filtrados en servidor.</w:t>
      </w:r>
    </w:p>
    <w:p>
      <w:pPr>
        <w:pStyle w:val="Heading1"/>
      </w:pPr>
      <w:r>
        <w:t>45. Comparison read model</w:t>
      </w:r>
    </w:p>
    <w:p>
      <w:r>
        <w:rPr>
          <w:rFonts w:ascii="Aptos" w:hAnsi="Aptos" w:eastAsia="Aptos"/>
          <w:color w:val="202A33"/>
        </w:rPr>
        <w:t>Una operación backend agrega target/current demand/current portfolio/recommended/approved/variance por Bucket. La UI no ejecuta N+1 ni calcula precedencia o autoridad.</w:t>
      </w:r>
    </w:p>
    <w:p>
      <w:pPr>
        <w:pStyle w:val="Heading1"/>
      </w:pPr>
      <w:r>
        <w:t>46. Navigation</w:t>
      </w:r>
    </w:p>
    <w:p>
      <w:r>
        <w:rPr>
          <w:rFonts w:ascii="Aptos" w:hAnsi="Aptos" w:eastAsia="Aptos"/>
          <w:color w:val="202A33"/>
        </w:rPr>
        <w:t xml:space="preserve">La fuente es </w:t>
      </w:r>
      <w:r>
        <w:rPr>
          <w:rFonts w:ascii="Aptos Mono" w:hAnsi="Aptos Mono" w:eastAsia="Aptos Mono"/>
          <w:color w:val="17324D"/>
        </w:rPr>
        <w:t>strategicNavigationBlueprint.ts</w:t>
      </w:r>
      <w:r>
        <w:rPr>
          <w:rFonts w:ascii="Aptos" w:hAnsi="Aptos" w:eastAsia="Aptos"/>
          <w:color w:val="202A33"/>
        </w:rPr>
        <w:t xml:space="preserve">; el outlet registra los renderers USER de Allocation e History y el renderer ADMIN de Bucket configuration. Se preservan rutas históricas. </w:t>
      </w:r>
      <w:r>
        <w:rPr>
          <w:rFonts w:ascii="Aptos Mono" w:hAnsi="Aptos Mono" w:eastAsia="Aptos Mono"/>
          <w:color w:val="17324D"/>
        </w:rPr>
        <w:t>App.tsx</w:t>
      </w:r>
      <w:r>
        <w:rPr>
          <w:rFonts w:ascii="Aptos" w:hAnsi="Aptos" w:eastAsia="Aptos"/>
          <w:color w:val="202A33"/>
        </w:rPr>
        <w:t xml:space="preserve"> no incorpora tokens, imports, branches ni routing Wave 2A. </w:t>
      </w:r>
      <w:r>
        <w:rPr>
          <w:rFonts w:ascii="Aptos" w:hAnsi="Aptos" w:eastAsia="Aptos"/>
          <w:b/>
          <w:color w:val="202A33"/>
        </w:rPr>
        <w:t>Guardrail estático:</w:t>
      </w:r>
      <w:r>
        <w:rPr>
          <w:rFonts w:ascii="Aptos" w:hAnsi="Aptos" w:eastAsia="Aptos"/>
          <w:color w:val="202A33"/>
        </w:rPr>
        <w:t xml:space="preserve"> PASS.</w:t>
      </w:r>
    </w:p>
    <w:p>
      <w:r>
        <w:br w:type="page"/>
      </w:r>
    </w:p>
    <w:p>
      <w:pPr>
        <w:pStyle w:val="Heading1"/>
      </w:pPr>
      <w:r>
        <w:t>47. PostgreSQL happy path</w:t>
      </w:r>
    </w:p>
    <w:p>
      <w:r>
        <w:rPr>
          <w:rFonts w:ascii="Aptos" w:hAnsi="Aptos" w:eastAsia="Aptos"/>
          <w:color w:val="202A33"/>
        </w:rPr>
        <w:t xml:space="preserve">Flujo obligatorio: CAPITAL_OWNER → publish Bucket config → Cycle → create Plan → al menos cuatro Buckets → targets → classify Demands → derive positions → variance → submit → independent review → endorse → freeze snapshot/hash. Debe comprobar cero mutaciones de Rank, Budget, Resource, Gate07I y Gate07K. </w:t>
      </w:r>
      <w:r>
        <w:rPr>
          <w:rFonts w:ascii="Aptos" w:hAnsi="Aptos" w:eastAsia="Aptos"/>
          <w:b/>
          <w:color w:val="202A33"/>
        </w:rPr>
        <w:t>Resultado PostgreSQL 16 en Docker efímero:</w:t>
      </w:r>
      <w:r>
        <w:rPr>
          <w:rFonts w:ascii="Aptos" w:hAnsi="Aptos" w:eastAsia="Aptos"/>
          <w:color w:val="202A33"/>
        </w:rPr>
        <w:t xml:space="preserve"> PASS, 2 pruebas en 39,05 s. La evidencia cubre schema/constraints y el happy path gobernado con cuatro Buckets, dos monedas, cobertura de clasificación de 50 % a 100 %, no doble conteo, source hash, SoD de review/endorsement, snapshot/hash inmutable, SecurityEvent y conteos sin side effects sobre autoridades vecinas.</w:t>
      </w:r>
    </w:p>
    <w:p>
      <w:pPr>
        <w:pStyle w:val="Heading1"/>
      </w:pPr>
      <w:r>
        <w:t>48. Percentage negative test</w:t>
      </w:r>
    </w:p>
    <w:p>
      <w:r>
        <w:rPr>
          <w:rFonts w:ascii="Aptos" w:hAnsi="Aptos" w:eastAsia="Aptos"/>
          <w:color w:val="202A33"/>
        </w:rPr>
        <w:t xml:space="preserve">Total no permitido por policy produce </w:t>
      </w:r>
      <w:r>
        <w:rPr>
          <w:rFonts w:ascii="Aptos Mono" w:hAnsi="Aptos Mono" w:eastAsia="Aptos Mono"/>
          <w:color w:val="17324D"/>
        </w:rPr>
        <w:t>422 INVALID_TARGET_PERCENTAGE_TOTAL</w:t>
      </w:r>
      <w:r>
        <w:rPr>
          <w:rFonts w:ascii="Aptos" w:hAnsi="Aptos" w:eastAsia="Aptos"/>
          <w:color w:val="202A33"/>
        </w:rPr>
        <w:t xml:space="preserve"> sin persistir líneas normalizadas. La misma prueba confirma </w:t>
      </w:r>
      <w:r>
        <w:rPr>
          <w:rFonts w:ascii="Aptos Mono" w:hAnsi="Aptos Mono" w:eastAsia="Aptos Mono"/>
          <w:color w:val="17324D"/>
        </w:rPr>
        <w:t>412 ETAG_MISMATCH</w:t>
      </w:r>
      <w:r>
        <w:rPr>
          <w:rFonts w:ascii="Aptos" w:hAnsi="Aptos" w:eastAsia="Aptos"/>
          <w:color w:val="202A33"/>
        </w:rPr>
        <w:t xml:space="preserve"> para una versión obsoleta.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49. Unclassified coverage test</w:t>
      </w:r>
    </w:p>
    <w:p>
      <w:r>
        <w:rPr>
          <w:rFonts w:ascii="Aptos" w:hAnsi="Aptos" w:eastAsia="Aptos"/>
          <w:color w:val="202A33"/>
        </w:rPr>
        <w:t xml:space="preserve">Coverage por debajo de policy permanece visible en el denominador: la prueba pasa de 50 % a 100 % y bloquea el submit con </w:t>
      </w:r>
      <w:r>
        <w:rPr>
          <w:rFonts w:ascii="Aptos Mono" w:hAnsi="Aptos Mono" w:eastAsia="Aptos Mono"/>
          <w:color w:val="17324D"/>
        </w:rPr>
        <w:t>409 UNCLASSIFIED_COVERAGE_EXCEEDS_POLICY</w:t>
      </w:r>
      <w:r>
        <w:rPr>
          <w:rFonts w:ascii="Aptos" w:hAnsi="Aptos" w:eastAsia="Aptos"/>
          <w:color w:val="202A33"/>
        </w:rPr>
        <w:t xml:space="preserve"> mientras la policy no se cumple.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50. Multi-currency test</w:t>
      </w:r>
    </w:p>
    <w:p>
      <w:r>
        <w:rPr>
          <w:rFonts w:ascii="Aptos" w:hAnsi="Aptos" w:eastAsia="Aptos"/>
          <w:color w:val="202A33"/>
        </w:rPr>
        <w:t xml:space="preserve">Demands COP y USD permanecen agrupadas por moneda, activan </w:t>
      </w:r>
      <w:r>
        <w:rPr>
          <w:rFonts w:ascii="Aptos Mono" w:hAnsi="Aptos Mono" w:eastAsia="Aptos Mono"/>
          <w:color w:val="17324D"/>
        </w:rPr>
        <w:t>multi_currency</w:t>
      </w:r>
      <w:r>
        <w:rPr>
          <w:rFonts w:ascii="Aptos" w:hAnsi="Aptos" w:eastAsia="Aptos"/>
          <w:color w:val="202A33"/>
        </w:rPr>
        <w:t xml:space="preserve">, publican </w:t>
      </w:r>
      <w:r>
        <w:rPr>
          <w:rFonts w:ascii="Aptos Mono" w:hAnsi="Aptos Mono" w:eastAsia="Aptos Mono"/>
          <w:color w:val="17324D"/>
        </w:rPr>
        <w:t>normalization_warning</w:t>
      </w:r>
      <w:r>
        <w:rPr>
          <w:rFonts w:ascii="Aptos" w:hAnsi="Aptos" w:eastAsia="Aptos"/>
          <w:color w:val="202A33"/>
        </w:rPr>
        <w:t xml:space="preserve"> y producen posiciones no evaluables donde no existe normalización gobernada. El navegador confirma la advertencia sin total silencioso.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51. Standalone Project classification test</w:t>
      </w:r>
    </w:p>
    <w:p>
      <w:r>
        <w:rPr>
          <w:rFonts w:ascii="Aptos" w:hAnsi="Aptos" w:eastAsia="Aptos"/>
          <w:color w:val="202A33"/>
        </w:rPr>
        <w:t xml:space="preserve">Project sin Demand debe resolver explicit cross-classification o </w:t>
      </w:r>
      <w:r>
        <w:rPr>
          <w:rFonts w:ascii="Aptos Mono" w:hAnsi="Aptos Mono" w:eastAsia="Aptos Mono"/>
          <w:color w:val="17324D"/>
        </w:rPr>
        <w:t>UNCLASSIFIED</w:t>
      </w:r>
      <w:r>
        <w:rPr>
          <w:rFonts w:ascii="Aptos" w:hAnsi="Aptos" w:eastAsia="Aptos"/>
          <w:color w:val="202A33"/>
        </w:rPr>
        <w:t xml:space="preserve">. La prueba focal crea Project y Portfolio Membership standalone, verifica precedencia de las clasificaciones explícitas </w:t>
      </w:r>
      <w:r>
        <w:rPr>
          <w:rFonts w:ascii="Aptos Mono" w:hAnsi="Aptos Mono" w:eastAsia="Aptos Mono"/>
          <w:color w:val="17324D"/>
        </w:rPr>
        <w:t>PROJECT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PORTFOLIO_MEMBERSHIP</w:t>
      </w:r>
      <w:r>
        <w:rPr>
          <w:rFonts w:ascii="Aptos" w:hAnsi="Aptos" w:eastAsia="Aptos"/>
          <w:color w:val="202A33"/>
        </w:rPr>
        <w:t xml:space="preserve">, y conserva otro Project standalone como </w:t>
      </w:r>
      <w:r>
        <w:rPr>
          <w:rFonts w:ascii="Aptos Mono" w:hAnsi="Aptos Mono" w:eastAsia="Aptos Mono"/>
          <w:color w:val="17324D"/>
        </w:rPr>
        <w:t>UNCLASSIFIED</w:t>
      </w:r>
      <w:r>
        <w:rPr>
          <w:rFonts w:ascii="Aptos" w:hAnsi="Aptos" w:eastAsia="Aptos"/>
          <w:color w:val="202A33"/>
        </w:rPr>
        <w:t xml:space="preserve"> sin excluirlo de la posición.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52. Lineage classification test</w:t>
      </w:r>
    </w:p>
    <w:p>
      <w:r>
        <w:rPr>
          <w:rFonts w:ascii="Aptos" w:hAnsi="Aptos" w:eastAsia="Aptos"/>
          <w:color w:val="202A33"/>
        </w:rPr>
        <w:t xml:space="preserve">Project con source Demand debe resolver el primary Bucket de Demand salvo explicit override de mayor precedencia. La prueba focal recorre Demand → Idea → Project → Portfolio Membership y resuelve </w:t>
      </w:r>
      <w:r>
        <w:rPr>
          <w:rFonts w:ascii="Aptos Mono" w:hAnsi="Aptos Mono" w:eastAsia="Aptos Mono"/>
          <w:color w:val="17324D"/>
        </w:rPr>
        <w:t>SOURCE_CAPITAL_DEMAND:THEME_TO_BUCKET_DEFAULT</w:t>
      </w:r>
      <w:r>
        <w:rPr>
          <w:rFonts w:ascii="Aptos" w:hAnsi="Aptos" w:eastAsia="Aptos"/>
          <w:color w:val="202A33"/>
        </w:rPr>
        <w:t xml:space="preserve">; además comprueba que las clasificaciones explícitas de Project/Membership mantienen mayor precedencia.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53. No-double-counting test</w:t>
      </w:r>
    </w:p>
    <w:p>
      <w:r>
        <w:rPr>
          <w:rFonts w:ascii="Aptos" w:hAnsi="Aptos" w:eastAsia="Aptos"/>
          <w:color w:val="202A33"/>
        </w:rPr>
        <w:t xml:space="preserve">Un source amount no puede agregarse en dos primary Buckets. La prueba PostgreSQL clasificó dos Demands en dos primary Buckets y verificó que la suma de </w:t>
      </w:r>
      <w:r>
        <w:rPr>
          <w:rFonts w:ascii="Aptos Mono" w:hAnsi="Aptos Mono" w:eastAsia="Aptos Mono"/>
          <w:color w:val="17324D"/>
        </w:rPr>
        <w:t>item_count</w:t>
      </w:r>
      <w:r>
        <w:rPr>
          <w:rFonts w:ascii="Aptos" w:hAnsi="Aptos" w:eastAsia="Aptos"/>
          <w:color w:val="202A33"/>
        </w:rPr>
        <w:t xml:space="preserve"> permaneciera exactamente en dos; la prueba focal Project/Membership/lineage confirma una sola resolución efectiva por fuente y autoridades vecinas intactas.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54. Portfolio Rank regression</w:t>
      </w:r>
    </w:p>
    <w:p>
      <w:r>
        <w:rPr>
          <w:rFonts w:ascii="Aptos" w:hAnsi="Aptos" w:eastAsia="Aptos"/>
          <w:color w:val="202A33"/>
        </w:rPr>
        <w:t xml:space="preserve">Hashes/filas/ranks antes y después del happy path deben coincidir. La prueba focal Wave 2A conserva los conteos de autoridad y la regresión estratégica 07E/07G/07G-A/07H/07I/07K completó 35 pruebas.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55. Budget regression</w:t>
      </w:r>
    </w:p>
    <w:p>
      <w:r>
        <w:rPr>
          <w:rFonts w:ascii="Aptos" w:hAnsi="Aptos" w:eastAsia="Aptos"/>
          <w:color w:val="202A33"/>
        </w:rPr>
        <w:t xml:space="preserve">Budget Targets/Scenarios permanecen idénticos. La prueba focal no muta esta autoridad y las suites 07G y 07G-A forman parte de la regresión estratégica de 35 pruebas.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56. Resource regression</w:t>
      </w:r>
    </w:p>
    <w:p>
      <w:r>
        <w:rPr>
          <w:rFonts w:ascii="Aptos" w:hAnsi="Aptos" w:eastAsia="Aptos"/>
          <w:color w:val="202A33"/>
        </w:rPr>
        <w:t xml:space="preserve">Capacity Plans/Resource Scenarios permanecen idénticos. La prueba focal no muta esta autoridad y la suite 07H forma parte de la regresión estratégica de 35 pruebas.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57. Gate07I regression</w:t>
      </w:r>
    </w:p>
    <w:p>
      <w:r>
        <w:rPr>
          <w:rFonts w:ascii="Aptos" w:hAnsi="Aptos" w:eastAsia="Aptos"/>
          <w:color w:val="202A33"/>
        </w:rPr>
        <w:t xml:space="preserve">Recommendation y scenario selection permanecen idénticos. Una prueba dedicada consume el escenario recomendado y materializa COP 1.000.000 en Recommended sin mutar convergence, scenario ni hashes; la suite 07I también forma parte de la regresión estratégica de 35 pruebas.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58. Gate07K regression</w:t>
      </w:r>
    </w:p>
    <w:p>
      <w:r>
        <w:rPr>
          <w:rFonts w:ascii="Aptos" w:hAnsi="Aptos" w:eastAsia="Aptos"/>
          <w:color w:val="202A33"/>
        </w:rPr>
        <w:t xml:space="preserve">InvestmentDecision/FID permanecen idénticos. La prueba dedicada excluye un GO </w:t>
      </w:r>
      <w:r>
        <w:rPr>
          <w:rFonts w:ascii="Aptos Mono" w:hAnsi="Aptos Mono" w:eastAsia="Aptos Mono"/>
          <w:color w:val="17324D"/>
        </w:rPr>
        <w:t>PYP-INV-SELECT</w:t>
      </w:r>
      <w:r>
        <w:rPr>
          <w:rFonts w:ascii="Aptos" w:hAnsi="Aptos" w:eastAsia="Aptos"/>
          <w:color w:val="202A33"/>
        </w:rPr>
        <w:t xml:space="preserve"> de Approved y solo consume un GO </w:t>
      </w:r>
      <w:r>
        <w:rPr>
          <w:rFonts w:ascii="Aptos Mono" w:hAnsi="Aptos Mono" w:eastAsia="Aptos Mono"/>
          <w:color w:val="17324D"/>
        </w:rPr>
        <w:t>PYP-FFA</w:t>
      </w:r>
      <w:r>
        <w:rPr>
          <w:rFonts w:ascii="Aptos" w:hAnsi="Aptos" w:eastAsia="Aptos"/>
          <w:color w:val="202A33"/>
        </w:rPr>
        <w:t xml:space="preserve"> con </w:t>
      </w:r>
      <w:r>
        <w:rPr>
          <w:rFonts w:ascii="Aptos Mono" w:hAnsi="Aptos Mono" w:eastAsia="Aptos Mono"/>
          <w:color w:val="17324D"/>
        </w:rPr>
        <w:t>is_fid</w:t>
      </w:r>
      <w:r>
        <w:rPr>
          <w:rFonts w:ascii="Aptos" w:hAnsi="Aptos" w:eastAsia="Aptos"/>
          <w:color w:val="202A33"/>
        </w:rPr>
        <w:t xml:space="preserve">, full funds e investment authorized, materializando COP 600.000 sin mutar decisiones ni hashes; la suite 07K también forma parte de las 35 regresiones.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59. Wave 1 regression</w:t>
      </w:r>
    </w:p>
    <w:p>
      <w:r>
        <w:rPr>
          <w:rFonts w:ascii="Aptos" w:hAnsi="Aptos" w:eastAsia="Aptos"/>
          <w:color w:val="202A33"/>
        </w:rPr>
        <w:t xml:space="preserve">Cycle/Demand/Originate Idea y standalone historical Idea siguen pasando. La ejecución combinada Wave 1 + Wave 2A completó </w:t>
      </w:r>
      <w:r>
        <w:rPr>
          <w:rFonts w:ascii="Aptos" w:hAnsi="Aptos" w:eastAsia="Aptos"/>
          <w:b/>
          <w:color w:val="202A33"/>
        </w:rPr>
        <w:t>11 pruebas PASS en 160,13 s</w:t>
      </w:r>
      <w:r>
        <w:rPr>
          <w:rFonts w:ascii="Aptos" w:hAnsi="Aptos" w:eastAsia="Aptos"/>
          <w:color w:val="202A33"/>
        </w:rPr>
        <w:t xml:space="preserve">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60. Governance Model regression</w:t>
      </w:r>
    </w:p>
    <w:p>
      <w:r>
        <w:rPr>
          <w:rFonts w:ascii="Aptos" w:hAnsi="Aptos" w:eastAsia="Aptos"/>
          <w:color w:val="202A33"/>
        </w:rPr>
        <w:t xml:space="preserve">CAPITAL_OWNER aplica al flujo Wave 2A; CONTRACTOR_DELIVERY, DIRECT_INTERNAL y LEGACY_UNCLASSIFIED conservan su policy y compatibilidad en las regresiones 07E/07G/07H incluidas en las 35 pruebas estratégicas.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61. Browser USER E2E</w:t>
      </w:r>
    </w:p>
    <w:p>
      <w:r>
        <w:rPr>
          <w:rFonts w:ascii="Aptos" w:hAnsi="Aptos" w:eastAsia="Aptos"/>
          <w:color w:val="202A33"/>
        </w:rPr>
        <w:t xml:space="preserve">Chromium real contra frontend </w:t>
      </w:r>
      <w:r>
        <w:rPr>
          <w:rFonts w:ascii="Aptos Mono" w:hAnsi="Aptos Mono" w:eastAsia="Aptos Mono"/>
          <w:color w:val="17324D"/>
        </w:rPr>
        <w:t>15173</w:t>
      </w:r>
      <w:r>
        <w:rPr>
          <w:rFonts w:ascii="Aptos" w:hAnsi="Aptos" w:eastAsia="Aptos"/>
          <w:color w:val="202A33"/>
        </w:rPr>
        <w:t xml:space="preserve"> y API </w:t>
      </w:r>
      <w:r>
        <w:rPr>
          <w:rFonts w:ascii="Aptos Mono" w:hAnsi="Aptos Mono" w:eastAsia="Aptos Mono"/>
          <w:color w:val="17324D"/>
        </w:rPr>
        <w:t>18000</w:t>
      </w:r>
      <w:r>
        <w:rPr>
          <w:rFonts w:ascii="Aptos" w:hAnsi="Aptos" w:eastAsia="Aptos"/>
          <w:color w:val="202A33"/>
        </w:rPr>
        <w:t xml:space="preserve"> recorrió create/open Plan, targets 40/30/20/10, dos Demands COP/USD, clasificación primaria, cinco vistas comparativas, variance, submit, revisión de Ana, endorsement independiente de Camila e History. La superficie USER no expuso controles ADMIN.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PASS, 1/1 spec integral dentro de la ejecución de 2,0 min compartida con ADMIN.</w:t>
      </w:r>
    </w:p>
    <w:p>
      <w:pPr>
        <w:pStyle w:val="Heading1"/>
      </w:pPr>
      <w:r>
        <w:t>62. Browser ADMIN E2E</w:t>
      </w:r>
    </w:p>
    <w:p>
      <w:r>
        <w:rPr>
          <w:rFonts w:ascii="Aptos" w:hAnsi="Aptos" w:eastAsia="Aptos"/>
          <w:color w:val="202A33"/>
        </w:rPr>
        <w:t xml:space="preserve">El mismo Chromium recorrió catálogo, Theme/Objective mappings, allocation basis, Min/Target/Max, tolerancia, classification/unclassified policy, applicability, inheritance y SoD. En contexto workspace ejecutó preview </w:t>
      </w:r>
      <w:r>
        <w:rPr>
          <w:rFonts w:ascii="Aptos Mono" w:hAnsi="Aptos Mono" w:eastAsia="Aptos Mono"/>
          <w:color w:val="17324D"/>
        </w:rPr>
        <w:t>persisted=false</w:t>
      </w:r>
      <w:r>
        <w:rPr>
          <w:rFonts w:ascii="Aptos" w:hAnsi="Aptos" w:eastAsia="Aptos"/>
          <w:color w:val="202A33"/>
        </w:rPr>
        <w:t xml:space="preserve">, clone, publish y archive; no encontró acciones live del Allocation Plan.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PASS, 1/1 spec integral en 2,0 min.</w:t>
      </w:r>
    </w:p>
    <w:p>
      <w:pPr>
        <w:pStyle w:val="Heading1"/>
      </w:pPr>
      <w:r>
        <w:t>63. Performance observation</w:t>
      </w:r>
    </w:p>
    <w:p>
      <w:r>
        <w:rPr>
          <w:rFonts w:ascii="Aptos" w:hAnsi="Aptos" w:eastAsia="Aptos"/>
          <w:color w:val="202A33"/>
        </w:rPr>
        <w:t xml:space="preserve">El diseño usa agregación backend, paginación estable, lecturas por lotes e índices. La observación funcional cubrió 4 Buckets, 2 Demands, 2 monedas, posiciones Demand/Portfolio/Recommended/Approved, snapshots y navegador integral en 2,0 min; PostgreSQL ejecutó schema+lifecycle en 39,05 s. Estos tiempos incluyen preparación de fixtures y no constituyen benchmark de producción. </w:t>
      </w:r>
      <w:r>
        <w:rPr>
          <w:rFonts w:ascii="Aptos" w:hAnsi="Aptos" w:eastAsia="Aptos"/>
          <w:b/>
          <w:color w:val="202A33"/>
        </w:rPr>
        <w:t>Resultado:</w:t>
      </w:r>
      <w:r>
        <w:rPr>
          <w:rFonts w:ascii="Aptos" w:hAnsi="Aptos" w:eastAsia="Aptos"/>
          <w:color w:val="202A33"/>
        </w:rPr>
        <w:t xml:space="preserve"> OBSERVACIÓN DOCUMENTADA; permanece como deuda un ensayo de carga con miles de Demands y Projects.</w:t>
      </w:r>
    </w:p>
    <w:p>
      <w:r>
        <w:br w:type="page"/>
      </w:r>
    </w:p>
    <w:p>
      <w:pPr>
        <w:pStyle w:val="Heading1"/>
      </w:pPr>
      <w:r>
        <w:t>64. Deuda técnica</w:t>
      </w:r>
    </w:p>
    <w:p>
      <w:pPr>
        <w:pStyle w:val="ListBullet"/>
      </w:pPr>
      <w:r>
        <w:rPr>
          <w:rFonts w:ascii="Aptos" w:hAnsi="Aptos" w:eastAsia="Aptos"/>
          <w:color w:val="202A33"/>
        </w:rPr>
        <w:t>Benchmark con miles de Demands y cientos/miles de Projects.</w:t>
      </w:r>
    </w:p>
    <w:p>
      <w:pPr>
        <w:pStyle w:val="ListBullet"/>
      </w:pPr>
      <w:r>
        <w:rPr>
          <w:rFonts w:ascii="Aptos" w:hAnsi="Aptos" w:eastAsia="Aptos"/>
          <w:color w:val="202A33"/>
        </w:rPr>
        <w:t>Normalización FX solo cuando exista autoridad y source gobernados; no forma parte de Wave 2A.</w:t>
      </w:r>
    </w:p>
    <w:p>
      <w:pPr>
        <w:pStyle w:val="ListBullet"/>
      </w:pPr>
      <w:r>
        <w:rPr>
          <w:rFonts w:ascii="Aptos" w:hAnsi="Aptos" w:eastAsia="Aptos"/>
          <w:color w:val="202A33"/>
        </w:rPr>
        <w:t>Ampliar fuentes recommended/approved únicamente mediante adaptadores read-only versionados.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convertir debt técnica en excepción a los criterios obligatorios.</w:t>
      </w:r>
    </w:p>
    <w:p>
      <w:pPr>
        <w:pStyle w:val="Heading1"/>
      </w:pPr>
      <w:r>
        <w:t>65. Contrato futuro Periodic Portfolio Review</w:t>
      </w:r>
    </w:p>
    <w:p>
      <w:r>
        <w:rPr>
          <w:rFonts w:ascii="Aptos" w:hAnsi="Aptos" w:eastAsia="Aptos"/>
          <w:color w:val="202A33"/>
        </w:rPr>
        <w:t>El contrato congelable contiene Allocation Plan identity/version/hash, Cycle/scope, Bucket definitions/configuration hash, target allocation, current portfolio, recommended, approved, variance, unclassified exposure y source as-of. Wave 2A no crea Review Session ni Review Actions.</w:t>
      </w:r>
    </w:p>
    <w:p>
      <w:pPr>
        <w:pStyle w:val="Heading1"/>
      </w:pPr>
      <w:r>
        <w:t>66. Análisis final de brechas</w:t>
      </w:r>
    </w:p>
    <w:p>
      <w:r>
        <w:rPr>
          <w:rFonts w:ascii="Aptos" w:hAnsi="Aptos" w:eastAsia="Aptos"/>
          <w:color w:val="202A33"/>
        </w:rPr>
        <w:t>Tras Wave 2A permanecen fuera de alcance Risk Appetite/Capacity/Thresholds, Basic Data Readiness, QRA/Confidence, Owner Capability Readiness y Periodic Portfolio Review. También siguen fuera Budget optimization, nuevo ranking, Gate07J provider/policy, Funding, FIN, Procurement, Delivery, Operational Readiness y Benefits Realization.</w:t>
      </w:r>
    </w:p>
    <w:p>
      <w:r>
        <w:br w:type="page"/>
      </w:r>
    </w:p>
    <w:p>
      <w:pPr>
        <w:pStyle w:val="Heading1"/>
      </w:pPr>
      <w:r>
        <w:t>67. Estado final de release</w:t>
      </w:r>
    </w:p>
    <w:p>
      <w:r>
        <w:rPr>
          <w:rFonts w:ascii="Aptos" w:hAnsi="Aptos" w:eastAsia="Aptos"/>
          <w:color w:val="202A33"/>
        </w:rPr>
        <w:t>La matriz obligatoria quedó en PASS mediante pruebas de servicio, contrato HTTP, PostgreSQL 16, regresiones, guardrails y Chromium real: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 mínima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Buckets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Configuración, API, UI y Chromium ADMIN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configuration versioned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AdminConfiguration clone/publish/archive + snapshot histórico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 != Bucket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Campos/mappings separados y rechazo de Bucket desconocido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Objective != Bucket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Autoridad Objective separada de catálogo Bucket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Allocation Plan stable identity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PostgreSQL lifecycle conserva identidad a través de submit/review/endorse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Allocation Plan tied to Planning Cycle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FK y creación gobernada en PostgreSQL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Allocation basis configurable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Policy, API y selector USER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Min/Target/Max supported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Líneas persistidas y comparison read model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allocation != Budget approval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Boundary Wave 2A + regresiones 07G/07G-A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allocation != Funding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Sentinel de funding intacto + boundary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allocation != Resource Scenario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Boundary Wave 2A + regresión 07H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!= Project Rank / no new ranking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Guardrail + regresión 07E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 classification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Dos Demands clasificados y persistidos en PostgreSQL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Standalone Project classification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PROJECT/MEMBERSHIP explícitos y standalone UNCLASSIFIED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Lineage-derived classification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 → Idea → Project por Theme default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Classification precedence backend-owned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Explicit Project/Membership &gt; source Demand &gt; Theme default &gt; UNCLASSIFIED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One primary Bucket / no double counting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Uniqueness + agregación PostgreSQL de dos fuentes en dos Buckets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Unclassified exposure explicit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Read model PostgreSQL expone una Demand no clasificada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Classification coverage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PostgreSQL verifica transición de 50 % a 100 %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Target Position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Comparison endpoint ejercido con cuatro targets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Current Demand Position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Comparison endpoint ejercido con Demands COP y USD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Current Portfolio Position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Comparison focal con Project, Membership, lineage y UNCLASSIFIED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Recommended Position where source exists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Gate07I read-only adapter: escenario recomendado COP 1.000.000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Approved Position where source exists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Gate07K read-only adapter: PYP-FFA COP 600.000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PYP-INV-SELECT is not full approved capital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Prueba semántica excluye decisión selection-only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PYP-FFA GO authority reused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Requiere GO + FID + full funds + investment authorized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Variance model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Comparison backend y cinco vistas Chromium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Multi-currency no silent aggregation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COP/USD separados + warning + no total implícito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Budget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Sentinel Wave 2A + regresiones 07G/07G-A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Resource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Sentinel Wave 2A + regresión 07H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Portfolio Rank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Sentinel Wave 2A + regresión 07E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Gate07I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Sentinel Wave 2A + regresión 07I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Gate07K mutation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Sentinel Wave 2A + regresión 07K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Gate07J provider/policy change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Guardrail estático sobre provider/policy existente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Future Portfolio Review snapshot contract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Contrato explícito en ADR y read model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Historical Allocation Plan immutable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Mutación post-endorse rechazada + sucesor DRAFT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archive preserves history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Prueba versionada conserva snapshot/hash tras archive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 config 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RBAC + Chromium ADMIN sin acciones live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live Allocation Plans only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RBAC + Chromium USER sin controles config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Direct-route security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Dependencies de router + pruebas de permisos 403/headers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 bloqueado; Ana reviewer y Camila endorser en Chromium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ETag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412 ETAG_MISMATCH sin persistencia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Idempotency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Retry estable y payload drift rechazado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SecurityEvent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Assert PostgreSQL sobre eventos tenant-aware del Allocation Plan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Migration reversible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SQLite y PostgreSQL 16 up/down/up; 1 prueba PostgreSQL PASS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Navigation source of truth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Blueprint/outlet/proyección validados por guardrail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App.tsx not expanded for Wave 2A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Guardrail estático sin tokens Wave 2A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PostgreSQL happy path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Docker PostgreSQL 16: 2 pruebas de schema y lifecycle gobernado PASS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Browser USER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Chromium real: flujo USER + SoD + History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Browser ADMIN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Chromium real: preview/clone/publish/archive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1 regression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1 + Wave 2A: 11 passed en 160,13 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Portfolio regression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07E + 07G + 07G-A + 07H + 07I + 07K: 35 passed en 449,81 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Periodic Portfolio Review implementation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STOP guardrail sobre persistencia y módulo Wave 2A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Risk Appetite / Basic Data / QRA / Owner Capability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STOP guardrail sobre persistencia y módulo Wave 2A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operational scope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Revisión de boundary y ausencia de writes operacionales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Evidencia consolidada al 5 de octubre de 2026 con los entornos backend, Docker y navegador del repositorio: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7F8"/>
          </w:tcPr>
          <w:p>
            <w:r>
              <w:rPr>
                <w:rFonts w:ascii="Aptos Mono" w:hAnsi="Aptos Mono" w:eastAsia="Aptos Mono"/>
                <w:sz w:val="16"/>
              </w:rPr>
              <w:t>migration_boundary=PASS</w:t>
              <w:br/>
              <w:t>backend_boundary=PASS</w:t>
              <w:br/>
              <w:t>navigation_boundary=PASS</w:t>
              <w:br/>
              <w:t>release_report_contract=PASS</w:t>
              <w:br/>
              <w:t>sqlite_migration_up_down_up=PASS</w:t>
              <w:br/>
              <w:t>postgresql_migration_up_down_up=PASS (1 passed, 23.36 s)</w:t>
              <w:br/>
              <w:t>postgresql_runtime_schema_lifecycle=PASS (2 passed, 39.05 s)</w:t>
              <w:br/>
              <w:t>frontend_wave2a_unit=PASS (13/13)</w:t>
              <w:br/>
              <w:t>wave1_wave2a_regression=PASS (11 passed, 160.13 s)</w:t>
              <w:br/>
              <w:t>strategic_portfolio_regression=PASS (35 passed, 449.81 s)</w:t>
              <w:br/>
              <w:t>project_membership_lineage_classification=PASS</w:t>
              <w:br/>
              <w:t>versioned_bucket_archive_snapshot=PASS (1 passed)</w:t>
              <w:br/>
              <w:t>gate07i_gate07k_read_only_semantics=PASS (1 passed, 97.41 s)</w:t>
              <w:br/>
              <w:t>browser_user_admin_chromium=PASS (1/1, 2.0 min)</w:t>
              <w:br/>
              <w:t>localhost_postgresql_revision=20261001_0063</w:t>
              <w:br/>
              <w:t>localhost_health_frontend_allocation_options=200/200/200</w:t>
              <w:br/>
              <w:t>wave2a_yaml_parse=PASS</w:t>
              <w:br/>
              <w:t>WAVE2A_RELEASE_GUARDRAILS=PASS</w:t>
            </w:r>
          </w:p>
        </w:tc>
      </w:tr>
    </w:tbl>
    <w:p>
      <w:r>
        <w:rPr>
          <w:rFonts w:ascii="Aptos" w:hAnsi="Aptos" w:eastAsia="Aptos"/>
          <w:color w:val="202A33"/>
        </w:rPr>
        <w:t>El guardrail integral confirma presencia y cableado; las suites funcionales, PostgreSQL y Chromium aportan la evidencia de ejecución. La observación de rendimiento es funcional y no sustituye el benchmark de carga registrado como deuda técnica.</w:t>
      </w:r>
    </w:p>
    <w:p>
      <w:r>
        <w:rPr>
          <w:rFonts w:ascii="Aptos" w:hAnsi="Aptos" w:eastAsia="Aptos"/>
          <w:b/>
          <w:color w:val="202A33"/>
        </w:rPr>
        <w:t>Estado exclusivo:</w:t>
      </w:r>
      <w:r>
        <w:rPr>
          <w:rFonts w:ascii="Aptos" w:hAnsi="Aptos" w:eastAsia="Aptos"/>
          <w:color w:val="202A33"/>
        </w:rPr>
        <w:t xml:space="preserve"> </w:t>
      </w:r>
      <w:r>
        <w:rPr>
          <w:rFonts w:ascii="Aptos Mono" w:hAnsi="Aptos Mono" w:eastAsia="Aptos Mono"/>
          <w:color w:val="17324D"/>
        </w:rPr>
        <w:t>STRATEGIC_CAPITAL_BUCKETS_AND_ALLOCATION_FRAMEWORK_RELEASE_VALIDATED</w:t>
      </w:r>
      <w:r>
        <w:rPr>
          <w:rFonts w:ascii="Aptos" w:hAnsi="Aptos" w:eastAsia="Aptos"/>
          <w:color w:val="202A33"/>
        </w:rPr>
        <w:t>.</w:t>
      </w:r>
    </w:p>
    <w:p>
      <w:r>
        <w:rPr>
          <w:rFonts w:ascii="Aptos" w:hAnsi="Aptos" w:eastAsia="Aptos"/>
          <w:b/>
          <w:color w:val="202A33"/>
        </w:rPr>
        <w:t>Final output:</w:t>
      </w:r>
      <w:r>
        <w:rPr>
          <w:rFonts w:ascii="Aptos" w:hAnsi="Aptos" w:eastAsia="Aptos"/>
          <w:color w:val="202A33"/>
        </w:rPr>
        <w:t xml:space="preserve"> </w:t>
      </w:r>
      <w:r>
        <w:rPr>
          <w:rFonts w:ascii="Aptos Mono" w:hAnsi="Aptos Mono" w:eastAsia="Aptos Mono"/>
          <w:color w:val="17324D"/>
        </w:rPr>
        <w:t>READY_FOR_STRATEGIC_CAPITAL_ALLOCATION_AND_PORTFOLIO_BALANCE_ANALYSIS</w:t>
      </w:r>
      <w:r>
        <w:rPr>
          <w:rFonts w:ascii="Aptos" w:hAnsi="Aptos" w:eastAsia="Aptos"/>
          <w:color w:val="202A33"/>
        </w:rPr>
        <w:t>.</w:t>
      </w:r>
    </w:p>
    <w:p>
      <w:pPr>
        <w:pStyle w:val="Heading1"/>
      </w:pPr>
      <w:r>
        <w:t>68. Única recomendación del siguiente incremento</w:t>
      </w:r>
    </w:p>
    <w:p>
      <w:r>
        <w:rPr>
          <w:rFonts w:ascii="Aptos" w:hAnsi="Aptos" w:eastAsia="Aptos"/>
          <w:color w:val="202A33"/>
        </w:rPr>
        <w:t>Wave 2B Risk Appetite + Basic Data Readiness fortalecería calidad pre-FID y criterios de riesgo, pero requiere nuevas autoridades de policy/evidence y no consume directamente el snapshot de allocation recién creado. Wave 3A Periodic Portfolio Review puede reutilizar inmediatamente Buckets, Allocation Plan, comparison positions, Membership, Evaluation, Budget/Resource Scenarios, Gate07I y Gate07K, cerrando el ciclo de gobierno periódico de cartera con menor riesgo de duplicación.</w:t>
      </w:r>
    </w:p>
    <w:p>
      <w:r>
        <w:rPr>
          <w:rFonts w:ascii="Aptos" w:hAnsi="Aptos" w:eastAsia="Aptos"/>
          <w:b/>
          <w:color w:val="202A33"/>
        </w:rPr>
        <w:t>Única recomendación:</w:t>
      </w:r>
      <w:r>
        <w:rPr>
          <w:rFonts w:ascii="Aptos" w:hAnsi="Aptos" w:eastAsia="Aptos"/>
          <w:color w:val="202A33"/>
        </w:rPr>
        <w:t xml:space="preserve"> Wave 3A — Periodic Portfolio Review, condicionada a cierre PASS de Wave 2A. No se implementa como parte de este incremento.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37" w:right="1037" w:bottom="1037" w:left="1037" w:header="432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3616B"/>
        <w:sz w:val="15"/>
      </w:rPr>
      <w:t xml:space="preserve">Confidencial | 2026-10-05 | 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color w:val="53616B"/>
        <w:sz w:val="15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000000"/>
        <w:sz w:val="15"/>
      </w:rPr>
      <w:t>P&amp;Pmis Construction AI  |  Wave 2A Capital Allocation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A33"/>
      <w:sz w:val="19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1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Wave 2A Strategic Capital Buckets and Allocation Framework</dc:title>
  <dc:subject>Implementación, controles y validación del marco estratégico de asignación de capital</dc:subject>
  <dc:creator>P&amp;Pmis Construction AI</dc:creator>
  <cp:keywords>CPIG, Capital Buckets, Allocation Plan, Portfolio, governance</cp:keywords>
  <dc:description>Informe técnico de implementación y evidencia reproducible de Wave 2A.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