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1188720" cy="1070523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7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500"/>
        <w:jc w:val="center"/>
      </w:pPr>
      <w:r>
        <w:t>Informe técnico Wave 3B</w:t>
        <w:br/>
        <w:t>Owner Capability Readiness</w:t>
      </w:r>
    </w:p>
    <w:p>
      <w:pPr>
        <w:spacing w:before="300"/>
        <w:jc w:val="center"/>
      </w:pPr>
      <w:r>
        <w:rPr>
          <w:sz w:val="22"/>
        </w:rPr>
        <w:t>P&amp;Pmis Construction AI</w:t>
      </w:r>
    </w:p>
    <w:p>
      <w:pPr>
        <w:spacing w:before="300"/>
        <w:jc w:val="center"/>
      </w:pPr>
      <w:r>
        <w:rPr>
          <w:sz w:val="22"/>
        </w:rPr>
        <w:t>Capital Portfolio and Investment Governance</w:t>
      </w:r>
    </w:p>
    <w:p>
      <w:pPr>
        <w:spacing w:before="300"/>
        <w:jc w:val="center"/>
      </w:pPr>
      <w:r>
        <w:rPr>
          <w:sz w:val="22"/>
        </w:rPr>
        <w:t>2026-10-07</w:t>
      </w:r>
    </w:p>
    <w:p>
      <w:pPr>
        <w:spacing w:before="300"/>
        <w:jc w:val="center"/>
      </w:pPr>
      <w:r>
        <w:rPr>
          <w:sz w:val="22"/>
        </w:rPr>
        <w:t>IMPLEMENTACIÓN Y VALIDACIÓN EN CURSO</w:t>
      </w:r>
    </w:p>
    <w:p>
      <w:r>
        <w:rPr>
          <w:sz w:val="22"/>
        </w:rP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024"/>
        <w:gridCol w:w="7142"/>
      </w:tblGrid>
      <w:tr>
        <w:trPr>
          <w:tblHeader w:val="true"/>
          <w:cantSplit/>
        </w:trPr>
        <w:tc>
          <w:tcPr>
            <w:tcW w:type="dxa" w:w="302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4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Producto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Incremento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Wave 3B Owner Capability Readiness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Baseline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main y 9cb0969 con cambios previos preservados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Migración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20261008_0065 a 20261008_0066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Fecha local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2026-10-07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Estado</w:t>
            </w:r>
          </w:p>
        </w:tc>
        <w:tc>
          <w:tcPr>
            <w:tcW w:type="dxa" w:w="71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IMPLEMENTACIÓN Y VALIDACIÓN EN CURSO</w:t>
            </w:r>
          </w:p>
        </w:tc>
      </w:tr>
    </w:tbl>
    <w:p>
      <w:pPr>
        <w:spacing w:after="20"/>
      </w:pPr>
    </w:p>
    <w:p>
      <w:pPr>
        <w:pStyle w:val="Heading1"/>
      </w:pPr>
      <w:r>
        <w:t>Propósito del informe</w:t>
      </w:r>
    </w:p>
    <w:p>
      <w:r>
        <w:rPr>
          <w:rFonts w:ascii="Aptos" w:hAnsi="Aptos" w:eastAsia="Aptos"/>
          <w:color w:val="202A33"/>
          <w:sz w:val="22"/>
        </w:rPr>
        <w:t>Documentamos la capacidad del propietario para gobernar y supervisar una inversión, su política configurable, evaluación por proyecto y evidencia de pruebas. Resource Planning, FEL, PDRI, Commercial, Risk, Basic Data, Gate y FID mantienen su autoridad. El cierre técnico diferencia implementación, resultados observados y trabajo futuro.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sz w:val="22"/>
        </w:rPr>
        <w:t>Baseline arquitectura y autoridad</w:t>
      </w:r>
    </w:p>
    <w:p>
      <w:pPr>
        <w:pStyle w:val="ListBullet"/>
      </w:pPr>
      <w:r>
        <w:rPr>
          <w:sz w:val="22"/>
        </w:rPr>
        <w:t>Framework madurez requisitos y mitigación</w:t>
      </w:r>
    </w:p>
    <w:p>
      <w:pPr>
        <w:pStyle w:val="ListBullet"/>
      </w:pPr>
      <w:r>
        <w:rPr>
          <w:sz w:val="22"/>
        </w:rPr>
        <w:t>Integraciones proveedor y vigencia</w:t>
      </w:r>
    </w:p>
    <w:p>
      <w:pPr>
        <w:pStyle w:val="ListBullet"/>
      </w:pPr>
      <w:r>
        <w:rPr>
          <w:sz w:val="22"/>
        </w:rPr>
        <w:t>ADMIN USER seguridad y persistencia</w:t>
      </w:r>
    </w:p>
    <w:p>
      <w:pPr>
        <w:pStyle w:val="ListBullet"/>
      </w:pPr>
      <w:r>
        <w:rPr>
          <w:sz w:val="22"/>
        </w:rPr>
        <w:t>Pruebas regresiones y cierre</w:t>
      </w:r>
    </w:p>
    <w:p>
      <w:pPr>
        <w:pStyle w:val="ListBullet"/>
      </w:pPr>
      <w:r>
        <w:rPr>
          <w:sz w:val="22"/>
        </w:rPr>
        <w:t>Prerrequisitos QRA y siguiente incremento</w:t>
      </w:r>
    </w:p>
    <w:p>
      <w:r>
        <w:rPr>
          <w:sz w:val="22"/>
        </w:rPr>
        <w:br w:type="page"/>
      </w:r>
    </w:p>
    <w:p>
      <w:pPr>
        <w:pStyle w:val="Heading1"/>
      </w:pPr>
      <w:r>
        <w:t>1 Resumen ejecutivo</w:t>
      </w:r>
    </w:p>
    <w:p>
      <w:r>
        <w:rPr>
          <w:rFonts w:ascii="Aptos" w:hAnsi="Aptos" w:eastAsia="Aptos"/>
          <w:color w:val="202A33"/>
          <w:sz w:val="22"/>
        </w:rPr>
        <w:t>Owner Capability Readiness evalúa si el propietario dispone de gobierno, responsabilidad, mecanismos y capacidades suficientes para desarrollar y supervisar una inversión. La política reside en ADMIN y la evaluación de cada Project Workspace reside en USER. Este informe documenta la implementación y sus pruebas; el estado final depende de la evidencia de cierre consignada en las últimas secciones.</w:t>
      </w:r>
    </w:p>
    <w:p>
      <w:pPr>
        <w:pStyle w:val="Heading1"/>
      </w:pPr>
      <w:r>
        <w:t>2 Baseline real del repositorio</w:t>
      </w:r>
    </w:p>
    <w:p>
      <w:r>
        <w:rPr>
          <w:rFonts w:ascii="Aptos" w:hAnsi="Aptos" w:eastAsia="Aptos"/>
          <w:color w:val="202A33"/>
          <w:sz w:val="22"/>
        </w:rPr>
        <w:t>La rama era main y el commit 9cb0969abb5d48cc25b0c6a935b11e6bd7afd16f. Había 76 archivos rastreados modificados, 7394 inserciones y 949 eliminaciones, además de archivos nuevos de incrementos previos. Se revisaron status, diff completo, diff stat, los últimos 15 commits y alembic heads. Se preservó el trabajo local. El repositorio y PostgreSQL estaban en 20261008_0065. Wave 2B constaba como RISK_GOVERNANCE_AND_BASIC_DATA_READINESS_RELEASE_VALIDATED y su proveedor Basic Data estaba disponible. No se recibió autorización para commit o push.</w:t>
      </w:r>
    </w:p>
    <w:p>
      <w:pPr>
        <w:pStyle w:val="Heading1"/>
      </w:pPr>
      <w:r>
        <w:t>3 Decisión arquitectónica Wave 3B</w:t>
      </w:r>
    </w:p>
    <w:p>
      <w:r>
        <w:rPr>
          <w:rFonts w:ascii="Aptos" w:hAnsi="Aptos" w:eastAsia="Aptos"/>
          <w:color w:val="202A33"/>
          <w:sz w:val="22"/>
        </w:rPr>
        <w:t>La decisión registrada en docs/78-adr-wave3b-owner-capability-readiness.md reutiliza la configuración versionada, identidad Project, numeración, permisos y auditoría existentes. El agregado conserva ítems, brechas y mitigaciones estructurados, sin un motor de tareas. La historia COMPLETED se separa de la proyección actual de vigencia.</w:t>
      </w:r>
    </w:p>
    <w:p>
      <w:pPr>
        <w:pStyle w:val="Heading1"/>
      </w:pPr>
      <w:r>
        <w:t>4 Posición en la arquitectura objetivo</w:t>
      </w:r>
    </w:p>
    <w:p>
      <w:r>
        <w:rPr>
          <w:rFonts w:ascii="Aptos" w:hAnsi="Aptos" w:eastAsia="Aptos"/>
          <w:color w:val="202A33"/>
          <w:sz w:val="22"/>
        </w:rPr>
        <w:t>La capacidad del propietario ocupa la fase estratégica existente de definición y caso de inversión, equivalente a Business Case and Investment Development del diseño. Enterprise Strategy Manager continúa siendo el macroproceso. La evidencia puede apoyar Management Case y un consumo futuro por Gate; el incremento no crea otra fase ni cambia decisiones.</w:t>
      </w:r>
    </w:p>
    <w:p>
      <w:pPr>
        <w:pStyle w:val="Heading1"/>
      </w:pPr>
      <w:r>
        <w:t>5 Matriz de autoridad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3600"/>
        <w:gridCol w:w="4334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3600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Autoridad de escritura</w:t>
            </w:r>
          </w:p>
        </w:tc>
        <w:tc>
          <w:tcPr>
            <w:tcW w:type="dxa" w:w="433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Límite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Owner Capability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Requisitos, evaluaciones, brechas y mitigaciones del propietario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staffing ni capacidad numérica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Resource Planning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Demanda, capacidad y escenarios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Sólo contexto para Owner Capability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Strategy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Estrategia y versiones comerciales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duplica ni se modifica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FEL y PDRI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Etapa y madurez de definición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Consulta de identificadores y hashes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y Basic Data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Riesgos y datos técnicos gobernados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reevaluán desde Owner Capability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y FID</w:t>
            </w:r>
          </w:p>
        </w:tc>
        <w:tc>
          <w:tcPr>
            <w:tcW w:type="dxa" w:w="36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Paquetes y decisiones de inversión</w:t>
            </w:r>
          </w:p>
        </w:tc>
        <w:tc>
          <w:tcPr>
            <w:tcW w:type="dxa" w:w="433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mutación automática</w:t>
            </w:r>
          </w:p>
        </w:tc>
      </w:tr>
    </w:tbl>
    <w:p>
      <w:pPr>
        <w:spacing w:after="20"/>
      </w:pPr>
    </w:p>
    <w:p>
      <w:pPr>
        <w:pStyle w:val="Heading1"/>
      </w:pPr>
      <w:r>
        <w:t>6 Reutilización antes de creación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04"/>
        <w:gridCol w:w="4464"/>
        <w:gridCol w:w="3398"/>
      </w:tblGrid>
      <w:tr>
        <w:trPr>
          <w:tblHeader w:val="true"/>
          <w:cantSplit/>
        </w:trPr>
        <w:tc>
          <w:tcPr>
            <w:tcW w:type="dxa" w:w="230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Componente existente</w:t>
            </w:r>
          </w:p>
        </w:tc>
        <w:tc>
          <w:tcPr>
            <w:tcW w:type="dxa" w:w="4464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Uso en Wave 3B</w:t>
            </w:r>
          </w:p>
        </w:tc>
        <w:tc>
          <w:tcPr>
            <w:tcW w:type="dxa" w:w="3398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AdminConfiguration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Framework, reglas, herencia y revisión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Reutilizado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AdminNumberSequence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Identidad visible OCA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Reutilizado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EnterpriseWorkspace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y jerarquía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identidad duplicada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ProjectDefinitionService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Clasificadores y FEL/PDRI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Sólo lectura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y Resource Planning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Referencias de contexto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Autoridad preservada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Governance y Risk Readiness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Política y resumen actuales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Sólo lectura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Basic Data y Benefits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Evidencia y responsabilidades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reevaluación ni registro nuevo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Evidence registry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Contrato normalizado del proveedor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segundo registro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RBAC y SecurityEvent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Permisos, alcance y trazabilidad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Reutilizados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ETag e idempotencia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Conflictos y reintentos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Patrones existentes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strategicNavigationBlueprint</w:t>
            </w:r>
          </w:p>
        </w:tc>
        <w:tc>
          <w:tcPr>
            <w:tcW w:type="dxa" w:w="44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Pantallas por modo</w:t>
            </w:r>
          </w:p>
        </w:tc>
        <w:tc>
          <w:tcPr>
            <w:tcW w:type="dxa" w:w="33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ampliar App.tsx</w:t>
            </w:r>
          </w:p>
        </w:tc>
      </w:tr>
    </w:tbl>
    <w:p>
      <w:pPr>
        <w:spacing w:after="20"/>
      </w:pPr>
    </w:p>
    <w:p>
      <w:pPr>
        <w:pStyle w:val="Heading1"/>
      </w:pPr>
      <w:r>
        <w:t>7 Definición de capacidad del propietario</w:t>
      </w:r>
    </w:p>
    <w:p>
      <w:r>
        <w:rPr>
          <w:rFonts w:ascii="Aptos" w:hAnsi="Aptos" w:eastAsia="Aptos"/>
          <w:color w:val="202A33"/>
          <w:sz w:val="22"/>
        </w:rPr>
        <w:t>Se evalúa la capacidad organizacional para patrocinar, gobernar, definir, contratar, controlar, supervisar y gestionar la transición de una inversión. La capacidad se expresa mediante requisitos, funciones responsables, madurez, evidencia y brechas. No se deduce solamente del número de personas disponibles.</w:t>
      </w:r>
    </w:p>
    <w:p>
      <w:pPr>
        <w:pStyle w:val="Heading1"/>
      </w:pPr>
      <w:r>
        <w:t>8 Límite con planificación de recursos</w:t>
      </w:r>
    </w:p>
    <w:p>
      <w:r>
        <w:rPr>
          <w:rFonts w:ascii="Aptos" w:hAnsi="Aptos" w:eastAsia="Aptos"/>
          <w:color w:val="202A33"/>
          <w:sz w:val="22"/>
        </w:rPr>
        <w:t>Resource Planning conserva FTE, HOURS, CREW_EQUIVALENT, capacidad y demanda. Owner Capability registra si la estrategia de acceso a recursos y los mecanismos de supervisión satisfacen requisitos. Un escenario restringido aporta contexto; el dominio no nivela ni modifica recursos.</w:t>
      </w:r>
    </w:p>
    <w:p>
      <w:pPr>
        <w:pStyle w:val="Heading1"/>
      </w:pPr>
      <w:r>
        <w:t>9 Límite con staffing</w:t>
      </w:r>
    </w:p>
    <w:p>
      <w:r>
        <w:rPr>
          <w:rFonts w:ascii="Aptos" w:hAnsi="Aptos" w:eastAsia="Aptos"/>
          <w:color w:val="202A33"/>
          <w:sz w:val="22"/>
        </w:rPr>
        <w:t>No se incorporan asignaciones nominales, hojas de vida, turnos, timesheets ni competencias individuales. Las referencias a roles, funciones y responsables de mitigación expresan rendición de cuentas y no una plantilla de personal.</w:t>
      </w:r>
    </w:p>
    <w:p>
      <w:pPr>
        <w:pStyle w:val="Heading1"/>
      </w:pPr>
      <w:r>
        <w:t>10 Límite con contratistas y proveedores</w:t>
      </w:r>
    </w:p>
    <w:p>
      <w:r>
        <w:rPr>
          <w:rFonts w:ascii="Aptos" w:hAnsi="Aptos" w:eastAsia="Aptos"/>
          <w:color w:val="202A33"/>
          <w:sz w:val="22"/>
        </w:rPr>
        <w:t>La entidad evaluada es el propietario o patrocinador. Se puede evaluar su capacidad de administrar contratos y supervisar proveedores; no se califica EPC, contratistas, consultores ni desempeño de proveedores.</w:t>
      </w:r>
    </w:p>
    <w:p>
      <w:pPr>
        <w:pStyle w:val="Heading1"/>
      </w:pPr>
      <w:r>
        <w:t>11 Límite con readiness operacional</w:t>
      </w:r>
    </w:p>
    <w:p>
      <w:r>
        <w:rPr>
          <w:rFonts w:ascii="Aptos" w:hAnsi="Aptos" w:eastAsia="Aptos"/>
          <w:color w:val="202A33"/>
          <w:sz w:val="22"/>
        </w:rPr>
        <w:t>La capacidad de gobernar la transición no equivale a preparación para operar el activo. No se implementan repuestos, mantenimiento, comisionamiento, SOP, formación de operadores ni aceptación operacional.</w:t>
      </w:r>
    </w:p>
    <w:p>
      <w:pPr>
        <w:pStyle w:val="Heading1"/>
      </w:pPr>
      <w:r>
        <w:t>12 Límite con FEL y PDRI</w:t>
      </w:r>
    </w:p>
    <w:p>
      <w:r>
        <w:rPr>
          <w:rFonts w:ascii="Aptos" w:hAnsi="Aptos" w:eastAsia="Aptos"/>
          <w:color w:val="202A33"/>
          <w:sz w:val="22"/>
        </w:rPr>
        <w:t>La definición del proyecto y su puntuación PDRI permanecen bajo Project Definition. Owner Capability consume etapa, evaluación completada y referencias de versión y hash. Un cambio material puede volver obsoleta la evidencia de capacidad sin alterar el score ni la historia de definición.</w:t>
      </w:r>
    </w:p>
    <w:p>
      <w:pPr>
        <w:pStyle w:val="Heading1"/>
      </w:pPr>
      <w:r>
        <w:t>13 Límite con riesgos</w:t>
      </w:r>
    </w:p>
    <w:p>
      <w:r>
        <w:rPr>
          <w:rFonts w:ascii="Aptos" w:hAnsi="Aptos" w:eastAsia="Aptos"/>
          <w:color w:val="202A33"/>
          <w:sz w:val="22"/>
        </w:rPr>
        <w:t>Las brechas pueden referenciar Risk IDs, sin crear riesgos automáticamente. Risk Register, Risk Readiness y Risk Governance mantienen su autoridad. La evidencia de capacidad no constituye QRA ni una conclusión probabilística.</w:t>
      </w:r>
    </w:p>
    <w:p>
      <w:pPr>
        <w:pStyle w:val="Heading1"/>
      </w:pPr>
      <w:r>
        <w:t>14 Límite con estrategia comercial</w:t>
      </w:r>
    </w:p>
    <w:p>
      <w:r>
        <w:rPr>
          <w:rFonts w:ascii="Aptos" w:hAnsi="Aptos" w:eastAsia="Aptos"/>
          <w:color w:val="202A33"/>
          <w:sz w:val="22"/>
        </w:rPr>
        <w:t>Commercial Strategy conserva modelo, paquetes, contratación y asignación de riesgos. Owner Capability evalúa la capacidad del propietario para aplicar y supervisar esa estrategia. El contexto comercial se captura por referencia; sus cambios se controlan mediante vigencia.</w:t>
      </w:r>
    </w:p>
    <w:p>
      <w:pPr>
        <w:pStyle w:val="Heading1"/>
      </w:pPr>
      <w:r>
        <w:t>15 Correspondencia con Five Case</w:t>
      </w:r>
    </w:p>
    <w:p>
      <w:r>
        <w:rPr>
          <w:rFonts w:ascii="Aptos" w:hAnsi="Aptos" w:eastAsia="Aptos"/>
          <w:color w:val="202A33"/>
          <w:sz w:val="22"/>
        </w:rPr>
        <w:t>Management Case es el consumidor principal futuro. Commercial Case puede utilizar la capacidad de gobierno contractual y Strategic Case el patrocinio. Una nueva revisión Business Case podrá referenciar el proveedor; no se copia el agregado completo ni se modifica una revisión completada.</w:t>
      </w:r>
    </w:p>
    <w:p>
      <w:pPr>
        <w:pStyle w:val="Heading1"/>
      </w:pPr>
      <w:r>
        <w:t>16 Framework configurable</w:t>
      </w:r>
    </w:p>
    <w:p>
      <w:r>
        <w:rPr>
          <w:rFonts w:ascii="Aptos" w:hAnsi="Aptos" w:eastAsia="Aptos"/>
          <w:color w:val="202A33"/>
          <w:sz w:val="22"/>
        </w:rPr>
        <w:t>ADMIN define el framework mediante AdminConfiguration. Las políticas publicadas son inmutables y disponen de revisión y hash. El seed no publica requisitos reales ni fabrica evaluaciones; la configuración debe aprobarse explícitamente.</w:t>
      </w:r>
    </w:p>
    <w:p>
      <w:pPr>
        <w:pStyle w:val="Heading1"/>
      </w:pPr>
      <w:r>
        <w:t>17 Dimensiones configurables</w:t>
      </w:r>
    </w:p>
    <w:p>
      <w:r>
        <w:rPr>
          <w:rFonts w:ascii="Aptos" w:hAnsi="Aptos" w:eastAsia="Aptos"/>
          <w:color w:val="202A33"/>
          <w:sz w:val="22"/>
        </w:rPr>
        <w:t>Las dimensiones pertenecen a la política y no a tablas o ramas por sector. Pueden incluir gobierno, patrocinio, gestión, controles, aseguramiento, contratación, interfaces, acceso a recursos y transición. El conjunto real lo define ADMIN.</w:t>
      </w:r>
    </w:p>
    <w:p>
      <w:pPr>
        <w:pStyle w:val="Heading1"/>
      </w:pPr>
      <w:r>
        <w:t>18 Requisitos configurables</w:t>
      </w:r>
    </w:p>
    <w:p>
      <w:r>
        <w:rPr>
          <w:rFonts w:ascii="Aptos" w:hAnsi="Aptos" w:eastAsia="Aptos"/>
          <w:color w:val="202A33"/>
          <w:sz w:val="22"/>
        </w:rPr>
        <w:t>Cada requisito identifica código y dimensión, descripción, aplicabilidad, madurez y calidad mínimas, condición bloqueante, evidencia esperada y función responsable. Las reglas contextuales determinan mínimos por etapa o clasificación. No existe una lista fija de capacidades finales en el frontend.</w:t>
      </w:r>
    </w:p>
    <w:p>
      <w:pPr>
        <w:pStyle w:val="Heading1"/>
      </w:pPr>
      <w:r>
        <w:t>19 Escala de madurez</w:t>
      </w:r>
    </w:p>
    <w:p>
      <w:r>
        <w:rPr>
          <w:rFonts w:ascii="Aptos" w:hAnsi="Aptos" w:eastAsia="Aptos"/>
          <w:color w:val="202A33"/>
          <w:sz w:val="22"/>
        </w:rPr>
        <w:t>La escala controla código, etiqueta, orden y descripción. Ejemplos como DEFINED e IMPLEMENTED son valores de política, no decisiones universales. Los requisitos se comparan con la escala vigente capturada por la evaluación.</w:t>
      </w:r>
    </w:p>
    <w:p>
      <w:pPr>
        <w:pStyle w:val="Heading1"/>
      </w:pPr>
      <w:r>
        <w:t>20 Readiness y madurez</w:t>
      </w:r>
    </w:p>
    <w:p>
      <w:r>
        <w:rPr>
          <w:rFonts w:ascii="Aptos" w:hAnsi="Aptos" w:eastAsia="Aptos"/>
          <w:color w:val="202A33"/>
          <w:sz w:val="22"/>
        </w:rPr>
        <w:t>La madurez describe el estado de una capacidad; readiness expresa si todos los requisitos aplicables satisfacen la política. La misma madurez puede ser suficiente para FEL 2 y bloquear FEL 3. La interfaz muestra el resultado calculado por el backend.</w:t>
      </w:r>
    </w:p>
    <w:p>
      <w:pPr>
        <w:pStyle w:val="Heading1"/>
      </w:pPr>
      <w:r>
        <w:t>21 Tailoring contextual</w:t>
      </w:r>
    </w:p>
    <w:p>
      <w:r>
        <w:rPr>
          <w:rFonts w:ascii="Aptos" w:hAnsi="Aptos" w:eastAsia="Aptos"/>
          <w:color w:val="202A33"/>
          <w:sz w:val="22"/>
        </w:rPr>
        <w:t>La política utiliza Governance Model, Project Type, industria, etapa FEL, perfil Gate, tamaño, complejidad, riesgo, incertidumbre y contexto comercial. El proyecto aporta clasificadores canónicos. Las diferencias sectoriales se expresan en configuración y no en lógica de Mining o Industrial.</w:t>
      </w:r>
    </w:p>
    <w:p>
      <w:pPr>
        <w:pStyle w:val="Heading1"/>
      </w:pPr>
      <w:r>
        <w:t>22 Comportamiento por Governance Model</w:t>
      </w:r>
    </w:p>
    <w:p>
      <w:r>
        <w:rPr>
          <w:rFonts w:ascii="Aptos" w:hAnsi="Aptos" w:eastAsia="Aptos"/>
          <w:color w:val="202A33"/>
          <w:sz w:val="22"/>
        </w:rPr>
        <w:t>CAPITAL_OWNER es la aplicabilidad inicial. CONTRACTOR_DELIVERY y DIRECT_INTERNAL no reciben exigencias completas de capacidad del propietario por defecto. La política debe optar explícitamente por otros modelos; Project Type no sustituye Governance Model.</w:t>
      </w:r>
    </w:p>
    <w:p>
      <w:pPr>
        <w:pStyle w:val="Heading1"/>
      </w:pPr>
      <w:r>
        <w:t>23 Progresión por etapa</w:t>
      </w:r>
    </w:p>
    <w:p>
      <w:r>
        <w:rPr>
          <w:rFonts w:ascii="Aptos" w:hAnsi="Aptos" w:eastAsia="Aptos"/>
          <w:color w:val="202A33"/>
          <w:sz w:val="22"/>
        </w:rPr>
        <w:t>La progresión de requisitos puede exigir gobierno y sponsor en FEL 1, controles y aseguramiento en FEL 2, y mecanismos de administración y supervisión en FEL 3. ADMIN controla las reglas concretas; el dominio no completa ni avanza etapas FEL.</w:t>
      </w:r>
    </w:p>
    <w:p>
      <w:pPr>
        <w:pStyle w:val="Heading1"/>
      </w:pPr>
      <w:r>
        <w:t>24 Agregado de evaluación</w:t>
      </w:r>
    </w:p>
    <w:p>
      <w:pPr>
        <w:keepLines/>
        <w:jc w:val="center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6172200" cy="3471862"/>
            <wp:docPr id="2" name="Picture 2" title="Evaluación gobernada y lectura de vigencia" descr="La política y evidencia alimentan DRAFT, submit y revisión independiente. COMPLETED congela la historia. La proyección actual puede quedar STALE; refresh preview prepara un sucesor DRAFT sin sobrescribir el cierre anter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3b-assessment-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  <w:color w:val="202A33"/>
          <w:sz w:val="22"/>
        </w:rPr>
        <w:t>Un Project Workspace tiene múltiples evaluaciones con identidad estable, versión y predecesor. El ciclo es DRAFT, IN_REVIEW y COMPLETED. Una evaluación completada congela el snapshot y la evidencia; la reevaluación genera un sucesor.</w:t>
      </w:r>
    </w:p>
    <w:p>
      <w:pPr>
        <w:pStyle w:val="Heading1"/>
      </w:pPr>
      <w:r>
        <w:t>25 Modelo de ítems</w:t>
      </w:r>
    </w:p>
    <w:p>
      <w:r>
        <w:rPr>
          <w:rFonts w:ascii="Aptos" w:hAnsi="Aptos" w:eastAsia="Aptos"/>
          <w:color w:val="202A33"/>
          <w:sz w:val="22"/>
        </w:rPr>
        <w:t>Los ítems conservan código del requisito, madurez, calidad, confianza, fundamento, referencias, responsables, brecha y notas de revisión. Forman parte del agregado versionado; no se crean tablas por dimensión o nivel de madurez.</w:t>
      </w:r>
    </w:p>
    <w:p>
      <w:pPr>
        <w:pStyle w:val="Heading1"/>
      </w:pPr>
      <w:r>
        <w:t>26 Modelo de brechas</w:t>
      </w:r>
    </w:p>
    <w:p>
      <w:r>
        <w:rPr>
          <w:rFonts w:ascii="Aptos" w:hAnsi="Aptos" w:eastAsia="Aptos"/>
          <w:color w:val="202A33"/>
          <w:sz w:val="22"/>
        </w:rPr>
        <w:t>Una brecha contiene descripción, severidad, condición bloqueante, estado, acción, responsable, fecha objetivo y evidencia de cierre. Una brecha crítica abierta impide READY. La estructura está circunscrita a capacidad del propietario.</w:t>
      </w:r>
    </w:p>
    <w:p>
      <w:pPr>
        <w:pStyle w:val="Heading1"/>
      </w:pPr>
      <w:r>
        <w:t>27 Modelo de mitigaciones</w:t>
      </w:r>
    </w:p>
    <w:p>
      <w:r>
        <w:rPr>
          <w:rFonts w:ascii="Aptos" w:hAnsi="Aptos" w:eastAsia="Aptos"/>
          <w:color w:val="202A33"/>
          <w:sz w:val="22"/>
        </w:rPr>
        <w:t>Las acciones de fortalecimiento se vinculan a requisitos o brechas y conservan enfoque, responsable, fecha, estado, evidencia y revisión. La mera existencia de una acción no satisface el requisito. Su aceptación depende de reglas explícitas.</w:t>
      </w:r>
    </w:p>
    <w:p>
      <w:pPr>
        <w:pStyle w:val="Heading1"/>
      </w:pPr>
      <w:r>
        <w:t>28 Capacidad interna y externa</w:t>
      </w:r>
    </w:p>
    <w:p>
      <w:r>
        <w:rPr>
          <w:rFonts w:ascii="Aptos" w:hAnsi="Aptos" w:eastAsia="Aptos"/>
          <w:color w:val="202A33"/>
          <w:sz w:val="22"/>
        </w:rPr>
        <w:t>La capacidad puede demostrarse mediante mecanismos internos, apoyo externo contratado o un modelo híbrido. La ausencia de capacidad interna no impone automáticamente un bloqueo si la política acepta apoyo externo gobernado. La aprobación y evidencia requerida siguen siendo obligatorias.</w:t>
      </w:r>
    </w:p>
    <w:p>
      <w:pPr>
        <w:pStyle w:val="Heading1"/>
      </w:pPr>
      <w:r>
        <w:t>29 Referencias de evidencia</w:t>
      </w:r>
    </w:p>
    <w:p>
      <w:r>
        <w:rPr>
          <w:rFonts w:ascii="Aptos" w:hAnsi="Aptos" w:eastAsia="Aptos"/>
          <w:color w:val="202A33"/>
          <w:sz w:val="22"/>
        </w:rPr>
        <w:t>El dominio almacena referencias a charters, RACI, planes de controles, aseguramiento, interfaces, procedimientos y contratos de apoyo. Las versiones, hashes y fechas permiten comprobar vigencia. No constituye un repositorio documental.</w:t>
      </w:r>
    </w:p>
    <w:p>
      <w:pPr>
        <w:pStyle w:val="Heading1"/>
      </w:pPr>
      <w:r>
        <w:t>30 Calidad y confianza</w:t>
      </w:r>
    </w:p>
    <w:p>
      <w:r>
        <w:rPr>
          <w:rFonts w:ascii="Aptos" w:hAnsi="Aptos" w:eastAsia="Aptos"/>
          <w:color w:val="202A33"/>
          <w:sz w:val="22"/>
        </w:rPr>
        <w:t>El vocabulario legado EVIDENCE_QUALITY_STATES mezcla LOW_CONFIDENCE con calidad. La nueva escala de calidad distingue verificación y suficiencia de evidencia; confidence es otro campo. No se reescriben snapshots Basic Data ni paquetes Gate históricos.</w:t>
      </w:r>
    </w:p>
    <w:p>
      <w:pPr>
        <w:pStyle w:val="Heading1"/>
      </w:pPr>
      <w:r>
        <w:t>31 Readiness por dimensión</w:t>
      </w:r>
    </w:p>
    <w:p>
      <w:r>
        <w:rPr>
          <w:rFonts w:ascii="Aptos" w:hAnsi="Aptos" w:eastAsia="Aptos"/>
          <w:color w:val="202A33"/>
          <w:sz w:val="22"/>
        </w:rPr>
        <w:t>El backend agrupa resultados de los requisitos aplicables por dimensión configurada. Cada resumen conserva requisitos, satisfechos, pendientes y bloqueos. La conclusión global respeta las reglas de cobertura y los bloqueos críticos.</w:t>
      </w:r>
    </w:p>
    <w:p>
      <w:pPr>
        <w:pStyle w:val="Heading1"/>
      </w:pPr>
      <w:r>
        <w:t>32 Denominador exacto</w:t>
      </w:r>
    </w:p>
    <w:p>
      <w:r>
        <w:rPr>
          <w:rFonts w:ascii="Aptos" w:hAnsi="Aptos" w:eastAsia="Aptos"/>
          <w:color w:val="202A33"/>
          <w:sz w:val="22"/>
        </w:rPr>
        <w:t>La cobertura cuenta sólo los requisitos aplicables activos. El denominador queda capturado junto a los códigos que lo componen. Una cobertura alta no convierte requisitos excluidos en cumplidos ni reemplaza la evaluación de cada bloqueo.</w:t>
      </w:r>
    </w:p>
    <w:p>
      <w:pPr>
        <w:pStyle w:val="Heading1"/>
      </w:pPr>
      <w:r>
        <w:t>33 Bloqueos críticos</w:t>
      </w:r>
    </w:p>
    <w:p>
      <w:r>
        <w:rPr>
          <w:rFonts w:ascii="Aptos" w:hAnsi="Aptos" w:eastAsia="Aptos"/>
          <w:color w:val="202A33"/>
          <w:sz w:val="22"/>
        </w:rPr>
        <w:t>Los mínimos de madurez, evidencia, sponsor, vigencia y brechas abiertas pueden bloquear la evaluación conforme a la política. Una conclusión BLOCKED conserva el detalle del requisito responsable; no se oculta en un promedio o score ponderado.</w:t>
      </w:r>
    </w:p>
    <w:p>
      <w:pPr>
        <w:pStyle w:val="Heading1"/>
      </w:pPr>
      <w:r>
        <w:t>34 Vigencia de la evidencia</w:t>
      </w:r>
    </w:p>
    <w:p>
      <w:r>
        <w:rPr>
          <w:rFonts w:ascii="Aptos" w:hAnsi="Aptos" w:eastAsia="Aptos"/>
          <w:color w:val="202A33"/>
          <w:sz w:val="22"/>
        </w:rPr>
        <w:t>La proyección actual compara el contexto material y la política efectiva con la captura histórica. FEL, Gate Profile, Governance Model, estrategia comercial, recursos y evidencia pueden causar STALE. El hash de la evaluación completada no cambia.</w:t>
      </w:r>
    </w:p>
    <w:p>
      <w:pPr>
        <w:pStyle w:val="Heading1"/>
      </w:pPr>
      <w:r>
        <w:t>35 Refresh Preview y Refresh Apply</w:t>
      </w:r>
    </w:p>
    <w:p>
      <w:r>
        <w:rPr>
          <w:rFonts w:ascii="Aptos" w:hAnsi="Aptos" w:eastAsia="Aptos"/>
          <w:color w:val="202A33"/>
          <w:sz w:val="22"/>
        </w:rPr>
        <w:t>La vista previa no persiste y presenta diferencias de contexto, requisitos y evidencia. Apply exige concurrencia, permiso e idempotencia y crea un DRAFT sucesor. Nunca modifica el snapshot COMPLETED que originó el refresh.</w:t>
      </w:r>
    </w:p>
    <w:p>
      <w:pPr>
        <w:pStyle w:val="Heading1"/>
      </w:pPr>
      <w:r>
        <w:t>36 Contexto de recursos</w:t>
      </w:r>
    </w:p>
    <w:p>
      <w:r>
        <w:rPr>
          <w:rFonts w:ascii="Aptos" w:hAnsi="Aptos" w:eastAsia="Aptos"/>
          <w:color w:val="202A33"/>
          <w:sz w:val="22"/>
        </w:rPr>
        <w:t>La integración consulta escenarios y referencias existentes. Los identificadores, versiones, hashes y condición de restricción permiten evaluar acceso a recursos sin recalcular capacidad, nivelar recursos ni cambiar escenarios.</w:t>
      </w:r>
    </w:p>
    <w:p>
      <w:pPr>
        <w:pStyle w:val="Heading1"/>
      </w:pPr>
      <w:r>
        <w:t>37 Contexto comercial</w:t>
      </w:r>
    </w:p>
    <w:p>
      <w:r>
        <w:rPr>
          <w:rFonts w:ascii="Aptos" w:hAnsi="Aptos" w:eastAsia="Aptos"/>
          <w:color w:val="202A33"/>
          <w:sz w:val="22"/>
        </w:rPr>
        <w:t>La evaluación captura la estrategia vigente, su versión y hash, junto con el contexto de contratación pertinente. La frescura se controla conforme a la política. Las fuentes comerciales permanecen intactas.</w:t>
      </w:r>
    </w:p>
    <w:p>
      <w:pPr>
        <w:pStyle w:val="Heading1"/>
      </w:pPr>
      <w:r>
        <w:t>38 Contexto FEL y PDRI</w:t>
      </w:r>
    </w:p>
    <w:p>
      <w:r>
        <w:rPr>
          <w:rFonts w:ascii="Aptos" w:hAnsi="Aptos" w:eastAsia="Aptos"/>
          <w:color w:val="202A33"/>
          <w:sz w:val="22"/>
        </w:rPr>
        <w:t>Se reutiliza ProjectDefinitionService para clasificaciones y evidencias de definición, además de la referencia de la última evaluación completada. Stage, score, maturity y framework hash aportan contexto y no son editables aquí.</w:t>
      </w:r>
    </w:p>
    <w:p>
      <w:pPr>
        <w:pStyle w:val="Heading1"/>
      </w:pPr>
      <w:r>
        <w:t>39 Contexto Risk Governance</w:t>
      </w:r>
    </w:p>
    <w:p>
      <w:r>
        <w:rPr>
          <w:rFonts w:ascii="Aptos" w:hAnsi="Aptos" w:eastAsia="Aptos"/>
          <w:color w:val="202A33"/>
          <w:sz w:val="22"/>
        </w:rPr>
        <w:t>Se consulta la política empresarial efectiva de capacidad, apetito y umbrales. Owner Capability no publica esa política ni cambia sus límites. Su referencia permite rastrear el contexto de gobierno utilizado.</w:t>
      </w:r>
    </w:p>
    <w:p>
      <w:pPr>
        <w:pStyle w:val="Heading1"/>
      </w:pPr>
      <w:r>
        <w:t>40 Contexto Risk Readiness</w:t>
      </w:r>
    </w:p>
    <w:p>
      <w:r>
        <w:rPr>
          <w:rFonts w:ascii="Aptos" w:hAnsi="Aptos" w:eastAsia="Aptos"/>
          <w:color w:val="202A33"/>
          <w:sz w:val="22"/>
        </w:rPr>
        <w:t>El resumen actual y las referencias de Risk Readiness apoyan requisitos de capacidad de gestión de riesgo. La evaluación no crea riesgos, modifica el register ni completa otra evaluación de riesgo.</w:t>
      </w:r>
    </w:p>
    <w:p>
      <w:pPr>
        <w:pStyle w:val="Heading1"/>
      </w:pPr>
      <w:r>
        <w:t>41 Contexto Basic Data</w:t>
      </w:r>
    </w:p>
    <w:p>
      <w:r>
        <w:rPr>
          <w:rFonts w:ascii="Aptos" w:hAnsi="Aptos" w:eastAsia="Aptos"/>
          <w:color w:val="202A33"/>
          <w:sz w:val="22"/>
        </w:rPr>
        <w:t>Se consulta evidencia y resumen gobernados existentes. No se ejecuta una reevaluación ni se actualizan ítems Basic Data. Los IDs, hashes y fechas permiten relacionar la capacidad organizacional con la disponibilidad de datos técnicos.</w:t>
      </w:r>
    </w:p>
    <w:p>
      <w:pPr>
        <w:pStyle w:val="Heading1"/>
      </w:pPr>
      <w:r>
        <w:t>42 Integración futura Portfolio Review</w:t>
      </w:r>
    </w:p>
    <w:p>
      <w:r>
        <w:rPr>
          <w:rFonts w:ascii="Aptos" w:hAnsi="Aptos" w:eastAsia="Aptos"/>
          <w:color w:val="202A33"/>
          <w:sz w:val="22"/>
        </w:rPr>
        <w:t>Wave 3A puede consumir en una revisión futura un resumen actual de Owner Capability. Este incremento no extiende ni reescribe snapshots históricos de review; el contrato futuro debe ser aditivo y de sólo lectura.</w:t>
      </w:r>
    </w:p>
    <w:p>
      <w:pPr>
        <w:pStyle w:val="Heading1"/>
      </w:pPr>
      <w:r>
        <w:t>43 Referencias Benefits</w:t>
      </w:r>
    </w:p>
    <w:p>
      <w:r>
        <w:rPr>
          <w:rFonts w:ascii="Aptos" w:hAnsi="Aptos" w:eastAsia="Aptos"/>
          <w:color w:val="202A33"/>
          <w:sz w:val="22"/>
        </w:rPr>
        <w:t>Las responsabilidades de Benefit Owner y la capacidad de cambio pueden referenciar el plan existente. Benefits Plan y su register conservan la autoridad; no se duplica un registro de beneficios.</w:t>
      </w:r>
    </w:p>
    <w:p>
      <w:pPr>
        <w:pStyle w:val="Heading1"/>
      </w:pPr>
      <w:r>
        <w:t>44 Arquitectura del proveedor</w:t>
      </w:r>
    </w:p>
    <w:p>
      <w:r>
        <w:rPr>
          <w:rFonts w:ascii="Aptos" w:hAnsi="Aptos" w:eastAsia="Aptos"/>
          <w:color w:val="202A33"/>
          <w:sz w:val="22"/>
        </w:rPr>
        <w:t>OWNER_CAPABILITY_READINESS_PROVIDER reutiliza Investment Evidence y devuelve proyecto, evaluación y versión, hash, configuración, readiness, dimensiones, cobertura, brechas, mitigaciones, warnings, blockers, fecha y referencias. La evidencia gobernada exige COMPLETED READY actual y compatible.</w:t>
      </w:r>
    </w:p>
    <w:p>
      <w:pPr>
        <w:pStyle w:val="Heading1"/>
      </w:pPr>
      <w:r>
        <w:t>45 Estado del registro del proveedor</w:t>
      </w:r>
    </w:p>
    <w:p>
      <w:r>
        <w:rPr>
          <w:rFonts w:ascii="Aptos" w:hAnsi="Aptos" w:eastAsia="Aptos"/>
          <w:color w:val="202A33"/>
          <w:sz w:val="22"/>
        </w:rPr>
        <w:t>La disponibilidad del adaptador significa que existe un contrato implementado; no que todos los proyectos posean evidencia READY. DRAFT, IN_REVIEW, BLOCKED, STALE, otro tenant, otro proyecto o una evaluación histórica superseded no deben aportar evidencia elegible.</w:t>
      </w:r>
    </w:p>
    <w:p>
      <w:pPr>
        <w:pStyle w:val="Heading1"/>
      </w:pPr>
      <w:r>
        <w:t>46 Consumo futuro por Gate</w:t>
      </w:r>
    </w:p>
    <w:p>
      <w:r>
        <w:rPr>
          <w:rFonts w:ascii="Aptos" w:hAnsi="Aptos" w:eastAsia="Aptos"/>
          <w:color w:val="202A33"/>
          <w:sz w:val="22"/>
        </w:rPr>
        <w:t>El consumo se documenta, no se publica. Conceptualmente PYP INV SELECT en FEL 2 podría requerir clase B o A por complejidad y PYP FFA en FEL 3 clase A para CAPITAL_OWNER. Debe configurarse en un incremento explícito; las políticas y paquetes actuales no se alteran.</w:t>
      </w:r>
    </w:p>
    <w:p>
      <w:pPr>
        <w:pStyle w:val="Heading1"/>
      </w:pPr>
      <w:r>
        <w:t>47 Contrato futuro Management Case</w:t>
      </w:r>
    </w:p>
    <w:p>
      <w:r>
        <w:rPr>
          <w:rFonts w:ascii="Aptos" w:hAnsi="Aptos" w:eastAsia="Aptos"/>
          <w:color w:val="202A33"/>
          <w:sz w:val="22"/>
        </w:rPr>
        <w:t>Una revisión Business Case nueva podrá guardar una referencia al proveedor y su hash. La historia de casos completados permanece inmutable. El esquema de referencia evita duplicar evaluaciones, brechas o conclusiones.</w:t>
      </w:r>
    </w:p>
    <w:p>
      <w:pPr>
        <w:pStyle w:val="Heading1"/>
      </w:pPr>
      <w:r>
        <w:t>48 Diseño ADMIN</w:t>
      </w:r>
    </w:p>
    <w:p>
      <w:r>
        <w:rPr>
          <w:rFonts w:ascii="Aptos" w:hAnsi="Aptos" w:eastAsia="Aptos"/>
          <w:color w:val="202A33"/>
          <w:sz w:val="22"/>
        </w:rPr>
        <w:t>ADMIN dispone de configuración del framework, dimensiones, requisitos, escalas, tailoring, reglas bloqueantes, cobertura, aceptación de mitigaciones, frescura, numeración, herencia y SoD. Permite preview sin persistencia, clone, publicación independiente, archivo e historia. No completa evaluaciones de proyectos.</w:t>
      </w:r>
    </w:p>
    <w:p>
      <w:pPr>
        <w:pStyle w:val="Heading1"/>
      </w:pPr>
      <w:r>
        <w:t>49 Flujo USER</w:t>
      </w:r>
    </w:p>
    <w:p>
      <w:r>
        <w:rPr>
          <w:rFonts w:ascii="Aptos" w:hAnsi="Aptos" w:eastAsia="Aptos"/>
          <w:color w:val="202A33"/>
          <w:sz w:val="22"/>
        </w:rPr>
        <w:t>USER selecciona Project Workspace, consulta requisitos, crea DRAFT, registra madurez y evidencia, identifica brechas y mitigaciones, somete a revisión y completa con autoridad independiente. Las vistas muestran contexto, dimensiones, readiness e historia.</w:t>
      </w:r>
    </w:p>
    <w:p>
      <w:pPr>
        <w:pStyle w:val="Heading1"/>
      </w:pPr>
      <w:r>
        <w:t>50 Matriz de modos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12"/>
        <w:gridCol w:w="3528"/>
        <w:gridCol w:w="3326"/>
      </w:tblGrid>
      <w:tr>
        <w:trPr>
          <w:tblHeader w:val="true"/>
          <w:cantSplit/>
        </w:trPr>
        <w:tc>
          <w:tcPr>
            <w:tcW w:type="dxa" w:w="331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528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ADMIN Configuration</w:t>
            </w:r>
          </w:p>
        </w:tc>
        <w:tc>
          <w:tcPr>
            <w:tcW w:type="dxa" w:w="3326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USER operativo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Framework y reglas</w:t>
            </w:r>
          </w:p>
        </w:tc>
        <w:tc>
          <w:tcPr>
            <w:tcW w:type="dxa" w:w="352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 DRAFT</w:t>
            </w:r>
          </w:p>
        </w:tc>
        <w:tc>
          <w:tcPr>
            <w:tcW w:type="dxa" w:w="332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Consulta política efectiva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Publicación y archivo</w:t>
            </w:r>
          </w:p>
        </w:tc>
        <w:tc>
          <w:tcPr>
            <w:tcW w:type="dxa" w:w="352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Autoridad independiente</w:t>
            </w:r>
          </w:p>
        </w:tc>
        <w:tc>
          <w:tcPr>
            <w:tcW w:type="dxa" w:w="332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disponible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Evaluación y mitigación</w:t>
            </w:r>
          </w:p>
        </w:tc>
        <w:tc>
          <w:tcPr>
            <w:tcW w:type="dxa" w:w="352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es flujo ADMIN</w:t>
            </w:r>
          </w:p>
        </w:tc>
        <w:tc>
          <w:tcPr>
            <w:tcW w:type="dxa" w:w="332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Prepara con permisos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Revisión y cierre</w:t>
            </w:r>
          </w:p>
        </w:tc>
        <w:tc>
          <w:tcPr>
            <w:tcW w:type="dxa" w:w="352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es flujo ADMIN</w:t>
            </w:r>
          </w:p>
        </w:tc>
        <w:tc>
          <w:tcPr>
            <w:tcW w:type="dxa" w:w="332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Revisor independiente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y FID</w:t>
            </w:r>
          </w:p>
        </w:tc>
        <w:tc>
          <w:tcPr>
            <w:tcW w:type="dxa" w:w="352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actualización automática</w:t>
            </w:r>
          </w:p>
        </w:tc>
        <w:tc>
          <w:tcPr>
            <w:tcW w:type="dxa" w:w="332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Sin actualización automática</w:t>
            </w:r>
          </w:p>
        </w:tc>
      </w:tr>
    </w:tbl>
    <w:p>
      <w:pPr>
        <w:spacing w:after="20"/>
      </w:pPr>
    </w:p>
    <w:p>
      <w:pPr>
        <w:pStyle w:val="Heading1"/>
      </w:pPr>
      <w:r>
        <w:t>51 Identidad canónica Project</w:t>
      </w:r>
    </w:p>
    <w:p>
      <w:r>
        <w:rPr>
          <w:rFonts w:ascii="Aptos" w:hAnsi="Aptos" w:eastAsia="Aptos"/>
          <w:color w:val="202A33"/>
          <w:sz w:val="22"/>
        </w:rPr>
        <w:t>EnterpriseWorkspace con workspace_type_code project sigue siendo la identidad única. Las referencias del agregado se vinculan al tenant y proyecto existentes. No se incorpora una segunda tabla de Project ni se infiere identidad desde una pantalla.</w:t>
      </w:r>
    </w:p>
    <w:p>
      <w:pPr>
        <w:pStyle w:val="Heading1"/>
      </w:pPr>
      <w:r>
        <w:t>52 Herencia y versionado</w:t>
      </w:r>
    </w:p>
    <w:p>
      <w:r>
        <w:rPr>
          <w:rFonts w:ascii="Aptos" w:hAnsi="Aptos" w:eastAsia="Aptos"/>
          <w:color w:val="202A33"/>
          <w:sz w:val="22"/>
        </w:rPr>
        <w:t>Se reutiliza la jerarquía Tenant, Enterprise, Business Unit y Portfolio. El backend resuelve la política publicada aplicable; la evaluación captura ID, revisión y hash. Una política más específica no modifica silenciosamente la historia de otra evaluación.</w:t>
      </w:r>
    </w:p>
    <w:p>
      <w:pPr>
        <w:pStyle w:val="Heading1"/>
      </w:pPr>
      <w:r>
        <w:t>53 Snapshot completado</w:t>
      </w:r>
    </w:p>
    <w:p>
      <w:r>
        <w:rPr>
          <w:rFonts w:ascii="Aptos" w:hAnsi="Aptos" w:eastAsia="Aptos"/>
          <w:color w:val="202A33"/>
          <w:sz w:val="22"/>
        </w:rPr>
        <w:t>La captura incluye contexto, política, requisitos aplicables, mínimos y valores registrados, evidencia, brechas, mitigaciones, responsables, fechas, dimensiones y conclusión global. El hash asegura que la lectura histórica corresponde al cierre y no a datos vivos.</w:t>
      </w:r>
    </w:p>
    <w:p>
      <w:pPr>
        <w:pStyle w:val="Heading1"/>
      </w:pPr>
      <w:r>
        <w:t>54 Roles y permisos</w:t>
      </w:r>
    </w:p>
    <w:p>
      <w:r>
        <w:rPr>
          <w:rFonts w:ascii="Aptos" w:hAnsi="Aptos" w:eastAsia="Aptos"/>
          <w:color w:val="202A33"/>
          <w:sz w:val="22"/>
        </w:rPr>
        <w:t>Se agregan nueve permisos owner_capability al catálogo existente. Project Definition Manager prepara y revisa sujeto a SoD; assessor prepara; reviewer revisa y completa; viewer consulta. Configuration Admin sólo obtiene lectura y comandos de configuración. Organization Admin conserva el catálogo sin eludir SoD.</w:t>
      </w:r>
    </w:p>
    <w:p>
      <w:pPr>
        <w:pStyle w:val="Heading1"/>
      </w:pPr>
      <w:r>
        <w:t>55 Separación de funciones</w:t>
      </w:r>
    </w:p>
    <w:p>
      <w:r>
        <w:rPr>
          <w:rFonts w:ascii="Aptos" w:hAnsi="Aptos" w:eastAsia="Aptos"/>
          <w:color w:val="202A33"/>
          <w:sz w:val="22"/>
        </w:rPr>
        <w:t>La regla configurable impide que el preparador sea revisor final. La autoridad de publicación reconoce autores y editores de la configuración; no basta cambiar la regla en un DRAFT para publicarlo uno mismo. Las capacidades visibles de la interfaz proceden de allowed_actions.</w:t>
      </w:r>
    </w:p>
    <w:p>
      <w:pPr>
        <w:pStyle w:val="Heading1"/>
      </w:pPr>
      <w:r>
        <w:t>56 Concurrencia mediante ETag</w:t>
      </w:r>
    </w:p>
    <w:p>
      <w:r>
        <w:rPr>
          <w:rFonts w:ascii="Aptos" w:hAnsi="Aptos" w:eastAsia="Aptos"/>
          <w:color w:val="202A33"/>
          <w:sz w:val="22"/>
        </w:rPr>
        <w:t>Cada agregado y configuración tiene versión de concurrencia. Las mutaciones exigen If Match; una versión desactualizada devuelve 412 ETAG_MISMATCH. La resolución de conflicto no sobrescribe automáticamente el trabajo de otro usuario.</w:t>
      </w:r>
    </w:p>
    <w:p>
      <w:pPr>
        <w:pStyle w:val="Heading1"/>
      </w:pPr>
      <w:r>
        <w:t>57 Idempotencia</w:t>
      </w:r>
    </w:p>
    <w:p>
      <w:r>
        <w:rPr>
          <w:rFonts w:ascii="Aptos" w:hAnsi="Aptos" w:eastAsia="Aptos"/>
          <w:color w:val="202A33"/>
          <w:sz w:val="22"/>
        </w:rPr>
        <w:t>Las claves se vinculan a tenant, actor, comando y hash del payload. Un reintento compatible recupera la respuesta original; reutilizar una clave con otra operación o contenido produce conflicto. El ledger es independiente del historial de evaluación.</w:t>
      </w:r>
    </w:p>
    <w:p>
      <w:pPr>
        <w:pStyle w:val="Heading1"/>
      </w:pPr>
      <w:r>
        <w:t>58 Auditoría SecurityEvent</w:t>
      </w:r>
    </w:p>
    <w:p>
      <w:r>
        <w:rPr>
          <w:rFonts w:ascii="Aptos" w:hAnsi="Aptos" w:eastAsia="Aptos"/>
          <w:color w:val="202A33"/>
          <w:sz w:val="22"/>
        </w:rPr>
        <w:t>Los comandos de configuración y evaluación conservan eventos con actor, tenant, entidad y referencias. Las consultas, previews y proyecciones de vigencia no deben fabricar evidencia ni escrituras de negocio. El informe de cierre distingue pruebas de interfaz de efectos persistidos.</w:t>
      </w:r>
    </w:p>
    <w:p>
      <w:pPr>
        <w:pStyle w:val="Heading1"/>
      </w:pPr>
      <w:r>
        <w:t>59 Persistencia</w:t>
      </w:r>
    </w:p>
    <w:p>
      <w:r>
        <w:rPr>
          <w:rFonts w:ascii="Aptos" w:hAnsi="Aptos" w:eastAsia="Aptos"/>
          <w:color w:val="202A33"/>
          <w:sz w:val="22"/>
        </w:rPr>
        <w:t>La política permanece en AdminConfiguration. El agregado y el ledger pertenecen a owner_capability_assessments y owner_capability_commands. No se agregan tablas de dimensiones, maturity, HR o tareas. Los índices soportan historia por tenant, proyecto, estado y versión.</w:t>
      </w:r>
    </w:p>
    <w:p>
      <w:pPr>
        <w:pStyle w:val="Heading1"/>
      </w:pPr>
      <w:r>
        <w:t>60 Migración aditiva</w:t>
      </w:r>
    </w:p>
    <w:p>
      <w:r>
        <w:rPr>
          <w:rFonts w:ascii="Aptos" w:hAnsi="Aptos" w:eastAsia="Aptos"/>
          <w:color w:val="202A33"/>
          <w:sz w:val="22"/>
        </w:rPr>
        <w:t>La revisión sucesora prevista es 20261008_0066 desde 20261008_0065. Debe verificarse el único head y el ciclo up down up en PostgreSQL y SQLite. No contiene reescrituras de historia ni eliminación de fuentes anteriores; la base local requiere respaldo antes de upgrade.</w:t>
      </w:r>
    </w:p>
    <w:p>
      <w:pPr>
        <w:pStyle w:val="Heading1"/>
      </w:pPr>
      <w:r>
        <w:t>61 API y contratos</w:t>
      </w:r>
    </w:p>
    <w:p>
      <w:r>
        <w:rPr>
          <w:rFonts w:ascii="Aptos" w:hAnsi="Aptos" w:eastAsia="Aptos"/>
          <w:color w:val="202A33"/>
          <w:sz w:val="22"/>
        </w:rPr>
        <w:t>El prefijo /api/v1/owner-capability separa options, requisitos y contextos por proyecto, evaluaciones, ítems del agregado, mitigaciones, preview, submit, review, complete y refresh. /admin/configurations y /admin/effective-preview gobiernan políticas. Todas las rutas exigen permiso y alcance; las rutas genéricas de configuración rechazan mutaciones del nuevo kind.</w:t>
      </w:r>
    </w:p>
    <w:p>
      <w:pPr>
        <w:pStyle w:val="Heading1"/>
      </w:pPr>
      <w:r>
        <w:t>62 Navegación canónica</w:t>
      </w:r>
    </w:p>
    <w:p>
      <w:r>
        <w:rPr>
          <w:rFonts w:ascii="Aptos" w:hAnsi="Aptos" w:eastAsia="Aptos"/>
          <w:color w:val="202A33"/>
          <w:sz w:val="22"/>
        </w:rPr>
        <w:t>strategicNavigationBlueprint.ts define los view IDs y su modo; StrategicViewOutlet.tsx renderiza las pantallas. applicationNavigation conserva los tipos. App.tsx no incorpora el dominio nuevo ni otra fuente de reglas de navegación.</w:t>
      </w:r>
    </w:p>
    <w:p>
      <w:pPr>
        <w:pStyle w:val="Heading1"/>
      </w:pPr>
      <w:r>
        <w:t>63 Happy path PostgreSQL</w:t>
      </w:r>
    </w:p>
    <w:p>
      <w:r>
        <w:rPr>
          <w:rFonts w:ascii="Aptos" w:hAnsi="Aptos" w:eastAsia="Aptos"/>
          <w:color w:val="202A33"/>
          <w:sz w:val="22"/>
        </w:rPr>
        <w:t>Pendiente de ejecutar y registrar en el cierre: publicación independiente, Project CAPITAL_OWNER FEL 3, contextos comerciales y de recursos, requisitos, evidencia, brechas, mitigación, review, complete y proveedor READY.</w:t>
      </w:r>
    </w:p>
    <w:p>
      <w:pPr>
        <w:pStyle w:val="Heading1"/>
      </w:pPr>
      <w:r>
        <w:t>64 Casos negativos del proveedor</w:t>
      </w:r>
    </w:p>
    <w:p>
      <w:r>
        <w:rPr>
          <w:rFonts w:ascii="Aptos" w:hAnsi="Aptos" w:eastAsia="Aptos"/>
          <w:color w:val="202A33"/>
          <w:sz w:val="22"/>
        </w:rPr>
        <w:t>Pendiente de resultados observados para DRAFT, IN_REVIEW, BLOCKED, STALE, proyecto incorrecto, tenant incorrecto, política no aplicable y revisión superseded.</w:t>
      </w:r>
    </w:p>
    <w:p>
      <w:pPr>
        <w:pStyle w:val="Heading1"/>
      </w:pPr>
      <w:r>
        <w:t>65 Prueba de bloqueo con alta cobertura</w:t>
      </w:r>
    </w:p>
    <w:p>
      <w:r>
        <w:rPr>
          <w:rFonts w:ascii="Aptos" w:hAnsi="Aptos" w:eastAsia="Aptos"/>
          <w:color w:val="202A33"/>
          <w:sz w:val="22"/>
        </w:rPr>
        <w:t>Pendiente de resultado: diez requisitos, nueve satisfechos y Project Controls bloqueante bajo el mínimo deben producir cobertura 90 por ciento y OVERALL BLOCKED.</w:t>
      </w:r>
    </w:p>
    <w:p>
      <w:pPr>
        <w:pStyle w:val="Heading1"/>
      </w:pPr>
      <w:r>
        <w:t>66 Prueba de madurez por etapa</w:t>
      </w:r>
    </w:p>
    <w:p>
      <w:r>
        <w:rPr>
          <w:rFonts w:ascii="Aptos" w:hAnsi="Aptos" w:eastAsia="Aptos"/>
          <w:color w:val="202A33"/>
          <w:sz w:val="22"/>
        </w:rPr>
        <w:t>Pendiente de resultado: DEFINED suficiente en FEL 2 e insuficiente ante IMPLEMENTED requerido en FEL 3.</w:t>
      </w:r>
    </w:p>
    <w:p>
      <w:pPr>
        <w:pStyle w:val="Heading1"/>
      </w:pPr>
      <w:r>
        <w:t>67 Prueba de mitigación externa</w:t>
      </w:r>
    </w:p>
    <w:p>
      <w:r>
        <w:rPr>
          <w:rFonts w:ascii="Aptos" w:hAnsi="Aptos" w:eastAsia="Aptos"/>
          <w:color w:val="202A33"/>
          <w:sz w:val="22"/>
        </w:rPr>
        <w:t>Pendiente de resultado: apoyo especializado aprobado satisface sólo las condiciones aceptadas expresamente por la política; una acción propuesta no basta.</w:t>
      </w:r>
    </w:p>
    <w:p>
      <w:pPr>
        <w:pStyle w:val="Heading1"/>
      </w:pPr>
      <w:r>
        <w:t>68 Prueba de sponsor ausente</w:t>
      </w:r>
    </w:p>
    <w:p>
      <w:r>
        <w:rPr>
          <w:rFonts w:ascii="Aptos" w:hAnsi="Aptos" w:eastAsia="Aptos"/>
          <w:color w:val="202A33"/>
          <w:sz w:val="22"/>
        </w:rPr>
        <w:t>Pendiente de resultado: sponsor obligatorio sin accountability conserva bloqueo sin crear un sponsor automáticamente.</w:t>
      </w:r>
    </w:p>
    <w:p>
      <w:pPr>
        <w:pStyle w:val="Heading1"/>
      </w:pPr>
      <w:r>
        <w:t>69 Prueba de vigencia e historia</w:t>
      </w:r>
    </w:p>
    <w:p>
      <w:r>
        <w:rPr>
          <w:rFonts w:ascii="Aptos" w:hAnsi="Aptos" w:eastAsia="Aptos"/>
          <w:color w:val="202A33"/>
          <w:sz w:val="22"/>
        </w:rPr>
        <w:t>Pendiente de resultado: cambio material vuelve STALE la lectura actual sin cambiar snapshot ni hash; refresh genera sucesor.</w:t>
      </w:r>
    </w:p>
    <w:p>
      <w:pPr>
        <w:pStyle w:val="Heading1"/>
      </w:pPr>
      <w:r>
        <w:t>70 Regresiones de independencia</w:t>
      </w:r>
    </w:p>
    <w:p>
      <w:r>
        <w:rPr>
          <w:rFonts w:ascii="Aptos" w:hAnsi="Aptos" w:eastAsia="Aptos"/>
          <w:color w:val="202A33"/>
          <w:sz w:val="22"/>
        </w:rPr>
        <w:t>Pendiente de comparar fuentes Resource, Commercial, FEL, PDRI, Risk, Basic Data, Gate y FID antes y después del flujo.</w:t>
      </w:r>
    </w:p>
    <w:p>
      <w:pPr>
        <w:pStyle w:val="Heading1"/>
      </w:pPr>
      <w:r>
        <w:t>71 Regresión por Governance Model</w:t>
      </w:r>
    </w:p>
    <w:p>
      <w:r>
        <w:rPr>
          <w:rFonts w:ascii="Aptos" w:hAnsi="Aptos" w:eastAsia="Aptos"/>
          <w:color w:val="202A33"/>
          <w:sz w:val="22"/>
        </w:rPr>
        <w:t>Pendiente de casos CAPITAL_OWNER, CONTRACTOR_DELIVERY y DIRECT_INTERNAL con y sin opt in.</w:t>
      </w:r>
    </w:p>
    <w:p>
      <w:pPr>
        <w:pStyle w:val="Heading1"/>
      </w:pPr>
      <w:r>
        <w:t>72 Tailoring por Project Type</w:t>
      </w:r>
    </w:p>
    <w:p>
      <w:r>
        <w:rPr>
          <w:rFonts w:ascii="Aptos" w:hAnsi="Aptos" w:eastAsia="Aptos"/>
          <w:color w:val="202A33"/>
          <w:sz w:val="22"/>
        </w:rPr>
        <w:t>Pendiente de casos Mining, Infrastructure e Industrial bajo el mismo Governance Model; diferencias definidas por política.</w:t>
      </w:r>
    </w:p>
    <w:p>
      <w:pPr>
        <w:pStyle w:val="Heading1"/>
      </w:pPr>
      <w:r>
        <w:t>73 Ejemplo de minería</w:t>
      </w:r>
    </w:p>
    <w:p>
      <w:r>
        <w:rPr>
          <w:rFonts w:ascii="Aptos" w:hAnsi="Aptos" w:eastAsia="Aptos"/>
          <w:color w:val="202A33"/>
          <w:sz w:val="22"/>
        </w:rPr>
        <w:t>El ejemplo de validación puede configurar sponsor, controls, technical assurance, integración de mina y proceso, commercial, interfaces, permisos, riesgo, owner's engineer y transición. Es un ejemplo de política aislada y no configuración productiva obligatoria.</w:t>
      </w:r>
    </w:p>
    <w:p>
      <w:pPr>
        <w:pStyle w:val="Heading1"/>
      </w:pPr>
      <w:r>
        <w:t>74 Browser USER</w:t>
      </w:r>
    </w:p>
    <w:p>
      <w:r>
        <w:rPr>
          <w:rFonts w:ascii="Aptos" w:hAnsi="Aptos" w:eastAsia="Aptos"/>
          <w:color w:val="202A33"/>
          <w:sz w:val="22"/>
        </w:rPr>
        <w:t>Pendiente de Chromium real sin interceptar API: navegación, ciclo completo, contextos, brechas, mitigaciones, readiness e historia; sin controles ADMIN.</w:t>
      </w:r>
    </w:p>
    <w:p>
      <w:pPr>
        <w:pStyle w:val="Heading1"/>
      </w:pPr>
      <w:r>
        <w:t>75 Browser ADMIN</w:t>
      </w:r>
    </w:p>
    <w:p>
      <w:r>
        <w:rPr>
          <w:rFonts w:ascii="Aptos" w:hAnsi="Aptos" w:eastAsia="Aptos"/>
          <w:color w:val="202A33"/>
          <w:sz w:val="22"/>
        </w:rPr>
        <w:t>Pendiente de Chromium real: escalas, tailoring, bloqueo, cobertura, aceptación, herencia, SoD, preview sin persistencia, clone, publicación y archivo; sin operaciones de evaluación viva.</w:t>
      </w:r>
    </w:p>
    <w:p>
      <w:pPr>
        <w:pStyle w:val="Heading1"/>
      </w:pPr>
      <w:r>
        <w:t>76 Seguridad de rutas directas</w:t>
      </w:r>
    </w:p>
    <w:p>
      <w:r>
        <w:rPr>
          <w:rFonts w:ascii="Aptos" w:hAnsi="Aptos" w:eastAsia="Aptos"/>
          <w:color w:val="202A33"/>
          <w:sz w:val="22"/>
        </w:rPr>
        <w:t>Pendiente de permisos USER y config only, preparador, alcance de proyecto, tenant, ETag e idempotencia. Ocultar botones no sustituye los rechazos del backend.</w:t>
      </w:r>
    </w:p>
    <w:p>
      <w:pPr>
        <w:pStyle w:val="Heading1"/>
      </w:pPr>
      <w:r>
        <w:t>77 Rendimiento representativo</w:t>
      </w:r>
    </w:p>
    <w:p>
      <w:r>
        <w:rPr>
          <w:rFonts w:ascii="Aptos" w:hAnsi="Aptos" w:eastAsia="Aptos"/>
          <w:color w:val="202A33"/>
          <w:sz w:val="22"/>
        </w:rPr>
        <w:t>La validación debe registrar una muestra con cientos de requisitos y miles de proyectos, paginación de servidor y resolución por lotes. Los tiempos observados no constituyen un SLA ni una prueba de carga.</w:t>
      </w:r>
    </w:p>
    <w:p>
      <w:pPr>
        <w:pStyle w:val="Heading1"/>
      </w:pPr>
      <w:r>
        <w:t>78 Regresiones Wave</w:t>
      </w:r>
    </w:p>
    <w:p>
      <w:r>
        <w:rPr>
          <w:rFonts w:ascii="Aptos" w:hAnsi="Aptos" w:eastAsia="Aptos"/>
          <w:color w:val="202A33"/>
          <w:sz w:val="22"/>
        </w:rPr>
        <w:t>Pendiente de suites Wave 3A, Wave 2B, Wave 2A y Wave 1. Se conservará evidencia exacta de comando, duración y resultado; no se atribuirá una ejecución remota de CI.</w:t>
      </w:r>
    </w:p>
    <w:p>
      <w:pPr>
        <w:pStyle w:val="Heading1"/>
      </w:pPr>
      <w:r>
        <w:t>79 Regresiones Gate y FID</w:t>
      </w:r>
    </w:p>
    <w:p>
      <w:r>
        <w:rPr>
          <w:rFonts w:ascii="Aptos" w:hAnsi="Aptos" w:eastAsia="Aptos"/>
          <w:color w:val="202A33"/>
          <w:sz w:val="22"/>
        </w:rPr>
        <w:t>Pendiente de suites FEL, Risk, Permit, EVID 2, Investment Decision 07K y Post FID 07L, además de las fuentes Five Case, FIN, COMM y BEN cuando corresponda. El incremento no reinterpreta políticas ni decisiones históricas.</w:t>
      </w:r>
    </w:p>
    <w:p>
      <w:pPr>
        <w:pStyle w:val="Heading1"/>
      </w:pPr>
      <w:r>
        <w:t>80 Deuda técnica</w:t>
      </w:r>
    </w:p>
    <w:p>
      <w:r>
        <w:rPr>
          <w:rFonts w:ascii="Aptos" w:hAnsi="Aptos" w:eastAsia="Aptos"/>
          <w:color w:val="202A33"/>
          <w:sz w:val="22"/>
        </w:rPr>
        <w:t>Los editores de configuración reutilizados permiten edición estructurada JSON; formularios especializados y UX adicional pueden ser futuros incrementos. El agregado JSON simplifica el snapshot, pero una necesidad posterior de consultas transversales requerirá un ADR y migración propia. No se afirma rendimiento productivo por una muestra local.</w:t>
      </w:r>
    </w:p>
    <w:p>
      <w:pPr>
        <w:pStyle w:val="Heading1"/>
      </w:pPr>
      <w:r>
        <w:t>81 Matriz de prerrequisitos QRA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92"/>
        <w:gridCol w:w="2952"/>
        <w:gridCol w:w="4622"/>
      </w:tblGrid>
      <w:tr>
        <w:trPr>
          <w:tblHeader w:val="true"/>
          <w:cantSplit/>
        </w:trPr>
        <w:tc>
          <w:tcPr>
            <w:tcW w:type="dxa" w:w="259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Prerrequisito</w:t>
            </w:r>
          </w:p>
        </w:tc>
        <w:tc>
          <w:tcPr>
            <w:tcW w:type="dxa" w:w="295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 arquitectónico</w:t>
            </w:r>
          </w:p>
        </w:tc>
        <w:tc>
          <w:tcPr>
            <w:tcW w:type="dxa" w:w="4622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keepNext/>
              <w:spacing w:line="252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Brecha para QRA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Register y Risk Readiness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Adaptar fuentes para modelo cuantitativo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Appetite y Thresholds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Aprobación de metodología QRA distinta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Basic Data Readiness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valida distribuciones ni correlación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Owner Capability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Validación de Wave 3B en curso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Evidencia del propietario por proyecto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FEL Stage y PDRI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Definición no equivale a modelo de riesgo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FIN context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Modelo económico determinista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source readiness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PARTIALLY_AVAILABLE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REQUIRES_ADAPTER para ROM y estimaciones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Schedule source readiness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NOT_AVAILABLE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REQUIRES_NEW_DOMAIN de fuentes QRA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Uncertainty ranges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REQUIRES_POLICY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Escala y autorización de rangos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Distribution rules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REQUIRES_POLICY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Familias, límites y calibración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Correlation rules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REQUIRES_POLICY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Matriz y aprobación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Methodology approval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REQUIRES_POLICY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Gobierno cuantitativo específico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model governance y SoD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REQUIRES_NEW_DOMAIN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Patrones disponibles no son modelo QRA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Model validity y staleness</w:t>
            </w:r>
          </w:p>
        </w:tc>
        <w:tc>
          <w:tcPr>
            <w:tcW w:type="dxa" w:w="295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REQUIRES_NEW_DOMAIN</w:t>
            </w:r>
          </w:p>
        </w:tc>
        <w:tc>
          <w:tcPr>
            <w:tcW w:type="dxa" w:w="46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Captura y revisión cuantitativa</w:t>
            </w:r>
          </w:p>
        </w:tc>
      </w:tr>
    </w:tbl>
    <w:p>
      <w:pPr>
        <w:spacing w:after="20"/>
      </w:pPr>
    </w:p>
    <w:p>
      <w:pPr>
        <w:pStyle w:val="Heading1"/>
      </w:pPr>
      <w:r>
        <w:t>82 Evaluación de brechas de fuentes QRA</w:t>
      </w:r>
    </w:p>
    <w:p>
      <w:r>
        <w:rPr>
          <w:rFonts w:ascii="Aptos" w:hAnsi="Aptos" w:eastAsia="Aptos"/>
          <w:color w:val="202A33"/>
          <w:sz w:val="22"/>
        </w:rPr>
        <w:t>Portfolio Budget conserva fuentes ROM con referencias y cobertura; no gobierna la calidad de una fuente probabilística de costo. El modelo FIN calcula cashflows, NPV y BCR deterministas. No se encontró un contrato gobernado de readiness de cronograma, distribuciones o correlaciones. La existencia de ETag, SoD y snapshots permite reutilizar patrones, pero no autoriza afirmar que QRA ya está disponible.</w:t>
      </w:r>
    </w:p>
    <w:p>
      <w:pPr>
        <w:pStyle w:val="Heading1"/>
      </w:pPr>
      <w:r>
        <w:t>83 Estado final del release</w:t>
      </w:r>
    </w:p>
    <w:p>
      <w:r>
        <w:rPr>
          <w:rFonts w:ascii="Aptos" w:hAnsi="Aptos" w:eastAsia="Aptos"/>
          <w:color w:val="202A33"/>
          <w:sz w:val="22"/>
        </w:rPr>
        <w:t>Implementación y validación en curso. No se declara OWNER_CAPABILITY_READINESS_RELEASE_VALIDATED hasta que exista evidencia de aceptación, PostgreSQL, navegador, seguridad, migración y regresiones. Los servicios normales se mantendrán disponibles sin datos de pruebas aisladas.</w:t>
      </w:r>
    </w:p>
    <w:p>
      <w:pPr>
        <w:pStyle w:val="Heading1"/>
      </w:pPr>
      <w:r>
        <w:t>84 Único siguiente incremento recomendado</w:t>
      </w:r>
    </w:p>
    <w:p>
      <w:r>
        <w:rPr>
          <w:rFonts w:ascii="Aptos" w:hAnsi="Aptos" w:eastAsia="Aptos"/>
          <w:color w:val="202A33"/>
          <w:sz w:val="22"/>
        </w:rPr>
        <w:t>QRA SOURCE READINESS AND METHODOLOGY FOUNDATION. Primero debe gobernar fuentes de costo y cronograma, incertidumbre, distribuciones, correlaciones, aprobación metodológica y vigencia del modelo. No se implementa ese incremento ni simulación Monte Carlo en este trabajo.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037" w:right="1037" w:bottom="1037" w:left="1037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3616B"/>
        <w:sz w:val="15"/>
      </w:rPr>
      <w:t xml:space="preserve">Informe técnico | 2026-10-07 | 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000000"/>
        <w:sz w:val="15"/>
      </w:rPr>
      <w:t>P&amp;Pmis Construction AI | Wave 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A33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Wave 3B Owner Capability Readiness</dc:title>
  <dc:subject>Capacidad gobernada del propietario y evidencia de validación</dc:subject>
  <dc:creator>P&amp;Pmis Construction AI</dc:creator>
  <cp:keywords>CPIG, arquitectura, PDRI, Capital Planning, QRA, Gate07J</cp:keywords>
  <dc:description>Artefacto de arquitectura; no implementa cambios productivos.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