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 cy="494088"/>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548640" cy="494088"/>
                    </a:xfrm>
                    <a:prstGeom prst="rect"/>
                  </pic:spPr>
                </pic:pic>
              </a:graphicData>
            </a:graphic>
          </wp:inline>
        </w:drawing>
      </w:r>
    </w:p>
    <w:p>
      <w:pPr>
        <w:pStyle w:val="Title"/>
        <w:widowControl/>
      </w:pPr>
      <w:r>
        <w:rPr>
          <w:b w:val="0"/>
        </w:rPr>
        <w:t>Informe técnico de preparación de aceptación empresarial</w:t>
      </w:r>
    </w:p>
    <w:p>
      <w:pPr>
        <w:pStyle w:val="Subtitle"/>
        <w:widowControl/>
      </w:pPr>
      <w:r>
        <w:rPr>
          <w:b w:val="0"/>
        </w:rPr>
        <w:t>P&amp;Pmis Construction AI. Capital Portfolio &amp; Investment Governance. Emisión del paquete 18 de octubre de 2026.</w:t>
      </w:r>
    </w:p>
    <w:p>
      <w:pPr>
        <w:widowControl/>
      </w:pPr>
      <w:r>
        <w:rPr>
          <w:b w:val="0"/>
        </w:rPr>
        <w:t>Se preparó el paquete de aceptación y su seguimiento sin cambiar funciones, políticas o registros de negocio. Las 15 decisiones autorizadas siguen pendientes. Este informe separa la evidencia técnica histórica de la auditoría actual y de la aceptación humana.</w:t>
      </w:r>
    </w:p>
    <w:p>
      <w:pPr>
        <w:pStyle w:val="Heading1"/>
        <w:keepNext/>
        <w:keepLines/>
      </w:pPr>
      <w:r>
        <w:t>1 Resultado del incremento</w:t>
      </w:r>
    </w:p>
    <w:p>
      <w:pPr>
        <w:widowControl/>
      </w:pPr>
      <w:r>
        <w:rPr>
          <w:b w:val="0"/>
        </w:rPr>
        <w:t>Se creó un documento de aceptación, este informe y un tracker de 6 hojas, además de referencias de sign-off en una copia controlada de trazabilidad. El paquete facilita revisión por 15 áreas y 35 actividades sin duplicar lógica de producto ni sustituir autoridades empresariales.</w:t>
      </w:r>
    </w:p>
    <w:p>
      <w:pPr>
        <w:widowControl/>
      </w:pPr>
      <w:r>
        <w:rPr>
          <w:b w:val="0"/>
        </w:rPr>
        <w:t>No hay decisiones, firmas, condiciones aceptadas ni rechazos registrados. Avance 0 de 15, 0 %. El estado sigue siendo STRATEGIC_MACROPROCESS_TECHNICALLY_READY_UAT_SIGNOFF_PENDING.</w:t>
      </w:r>
    </w:p>
    <w:p>
      <w:pPr>
        <w:pStyle w:val="Heading1"/>
        <w:keepNext/>
        <w:keepLines/>
      </w:pPr>
      <w:r>
        <w:t>2 Código guardado y congelación</w:t>
      </w:r>
    </w:p>
    <w:p>
      <w:pPr>
        <w:widowControl/>
      </w:pPr>
      <w:r>
        <w:rPr>
          <w:b w:val="0"/>
        </w:rPr>
        <w:t>Código guardado: main / 6672fd5da1f486e6bd571a74bb6d1e8b3337a405. La referencia original de la validación 16 fue 10a2442bfb69b97dc72f9c78e2419f157b400973. El commit actual incorpora el desarrollo guardado; sus cinco hashes de producto y nueve de fixtures coinciden con el cierre técnico. Alembic conserva 20261011_0068, sin nueva migración.</w:t>
      </w:r>
    </w:p>
    <w:p>
      <w:pPr>
        <w:widowControl/>
      </w:pPr>
      <w:r>
        <w:rPr>
          <w:b w:val="0"/>
        </w:rPr>
        <w:t>El árbol inicial de main estaba limpio. La captura de git status, diff, diffstat y log está en baseline.json y startup-review.json. Los cambios de este incremento se restringen a documentación, datos del paquete y scripts de artefactos. No se modifican archivos backend/frontend de producto.</w:t>
      </w:r>
    </w:p>
    <w:p>
      <w:pPr>
        <w:pStyle w:val="Heading1"/>
        <w:keepNext/>
        <w:keepLines/>
      </w:pPr>
      <w:r>
        <w:t>3 Validaciones históricas y auditoría actual</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85"/>
        <w:gridCol w:w="1670"/>
        <w:gridCol w:w="1670"/>
        <w:gridCol w:w="1670"/>
        <w:gridCol w:w="1670"/>
      </w:tblGrid>
      <w:tr>
        <w:trPr>
          <w:cantSplit/>
          <w:tblHeader w:val="true"/>
        </w:trPr>
        <w:tc>
          <w:tcPr>
            <w:tcW w:type="dxa" w:w="3485"/>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Ejecución histórica</w:t>
            </w:r>
          </w:p>
        </w:tc>
        <w:tc>
          <w:tcPr>
            <w:tcW w:type="dxa" w:w="167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PASS</w:t>
            </w:r>
          </w:p>
        </w:tc>
        <w:tc>
          <w:tcPr>
            <w:tcW w:type="dxa" w:w="167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FAIL</w:t>
            </w:r>
          </w:p>
        </w:tc>
        <w:tc>
          <w:tcPr>
            <w:tcW w:type="dxa" w:w="167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ERROR</w:t>
            </w:r>
          </w:p>
        </w:tc>
        <w:tc>
          <w:tcPr>
            <w:tcW w:type="dxa" w:w="167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SKIP</w:t>
            </w:r>
          </w:p>
        </w:tc>
      </w:tr>
      <w:tr>
        <w:trPr>
          <w:cantSplit/>
        </w:trPr>
        <w:tc>
          <w:tcPr>
            <w:tcW w:type="dxa" w:w="3485"/>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broad</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898</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16</w:t>
            </w:r>
          </w:p>
        </w:tc>
      </w:tr>
      <w:tr>
        <w:trPr>
          <w:cantSplit/>
        </w:trPr>
        <w:tc>
          <w:tcPr>
            <w:tcW w:type="dxa" w:w="3485"/>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browser</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r>
      <w:tr>
        <w:trPr>
          <w:cantSplit/>
        </w:trPr>
        <w:tc>
          <w:tcPr>
            <w:tcW w:type="dxa" w:w="3485"/>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class_b</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29</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r>
      <w:tr>
        <w:trPr>
          <w:cantSplit/>
        </w:trPr>
        <w:tc>
          <w:tcPr>
            <w:tcW w:type="dxa" w:w="3485"/>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bridge</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20</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r>
      <w:tr>
        <w:trPr>
          <w:cantSplit/>
        </w:trPr>
        <w:tc>
          <w:tcPr>
            <w:tcW w:type="dxa" w:w="3485"/>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canonical</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54</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2</w:t>
            </w:r>
          </w:p>
        </w:tc>
      </w:tr>
      <w:tr>
        <w:trPr>
          <w:cantSplit/>
        </w:trPr>
        <w:tc>
          <w:tcPr>
            <w:tcW w:type="dxa" w:w="3485"/>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postactivation</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38</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r>
      <w:tr>
        <w:trPr>
          <w:cantSplit/>
        </w:trPr>
        <w:tc>
          <w:tcPr>
            <w:tcW w:type="dxa" w:w="3485"/>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frontend</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15</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r>
      <w:tr>
        <w:trPr>
          <w:cantSplit/>
        </w:trPr>
        <w:tc>
          <w:tcPr>
            <w:tcW w:type="dxa" w:w="3485"/>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legacy</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r>
      <w:tr>
        <w:trPr>
          <w:cantSplit/>
        </w:trPr>
        <w:tc>
          <w:tcPr>
            <w:tcW w:type="dxa" w:w="3485"/>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ci_contract_guard</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1</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c>
          <w:tcPr>
            <w:tcW w:type="dxa" w:w="167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0</w:t>
            </w:r>
          </w:p>
        </w:tc>
      </w:tr>
    </w:tbl>
    <w:p>
      <w:pPr>
        <w:widowControl/>
      </w:pPr>
      <w:r>
        <w:rPr>
          <w:b w:val="0"/>
        </w:rPr>
      </w:r>
    </w:p>
    <w:p>
      <w:pPr>
        <w:widowControl/>
      </w:pPr>
      <w:r>
        <w:rPr>
          <w:b w:val="0"/>
        </w:rPr>
        <w:t>Cada XML se informa por separado; los focused no se suman a 898 PASS de 914 entradas broad. Los 16 SKIP siguen siendo omisiones, no PASS. La auditoría 18 comprobó los hashes de 9 XML; no ejecutó pruebas nuevas ni browser nuevo.</w:t>
      </w:r>
    </w:p>
    <w:p>
      <w:pPr>
        <w:widowControl/>
      </w:pPr>
      <w:r>
        <w:rPr>
          <w:b w:val="0"/>
        </w:rPr>
        <w:t>La observación inicial encontró la UAT privada detenida y su volumen PostgreSQL 16 existente. Se conserva intacta esa captura en baseline.json. Root inició después solo la DB privada existente; runtime-readonly-20261018.json acredita transaction_read_only=on, selección de negocio idéntica al cierre del 16 y conteos y hashes de filas completas idénticos en ocho tablas críticas. API y Redis permanecen detenidos. Es una observación SQL actual de continuidad, no un nuevo cálculo de readiness del servicio, recorrido E2E, browser ni aceptación humana.</w:t>
      </w:r>
    </w:p>
    <w:p>
      <w:pPr>
        <w:pStyle w:val="Heading1"/>
        <w:keepNext/>
        <w:keepLines/>
      </w:pPr>
      <w:r>
        <w:t>4 Identidad y preservación operativa</w:t>
      </w:r>
    </w:p>
    <w:p>
      <w:pPr>
        <w:widowControl/>
      </w:pPr>
      <w:r>
        <w:rPr>
          <w:b w:val="0"/>
        </w:rPr>
        <w:t>La evidencia histórica corresponde a Tenant 1 fresh-copper-1765b06813, Enterprise 1, BU 2, Portfolio 3 y Project 4. No se reutiliza Tenant 4/Project 16 de la UAT temporal perdida. La reconstrucción persistente fue autorizada expresamente.</w:t>
      </w:r>
    </w:p>
    <w:p>
      <w:pPr>
        <w:widowControl/>
      </w:pPr>
      <w:r>
        <w:rPr>
          <w:b w:val="0"/>
        </w:rPr>
        <w:t>Project 14 operacional permanece id 14, PRJ-PPMIS, external_key PRJ-PYP-PPMIS, active, version 1 y MD5 ef67b78a4d4902d2dc6db3efb017b80b. La consulta 18 BEGIN READ ONLY / SELECT / ROLLBACK coincide con la observación 16 en Project 14, 31 workspaces, 95 configuraciones publicadas, políticas, cero QRA y Alembic 0068. No hubo DML.</w:t>
      </w:r>
    </w:p>
    <w:p>
      <w:pPr>
        <w:pStyle w:val="Heading1"/>
        <w:keepNext/>
        <w:keepLines/>
      </w:pPr>
      <w:r>
        <w:t>5 Alcance funcional que se somete a revisión</w:t>
      </w:r>
    </w:p>
    <w:p>
      <w:pPr>
        <w:widowControl/>
      </w:pPr>
      <w:r>
        <w:rPr>
          <w:b w:val="0"/>
        </w:rPr>
        <w:t>Los 35 pasos R01-R35 son índice de revisión del prompt. Se conservan los 44 Pxx del Business Process, 35 PROC de RACI y 51 casosA/B/C/N de UAT. La correspondencia de área es documental y no transforma resultados históricos en aceptación nueva.</w:t>
      </w:r>
    </w:p>
    <w:p>
      <w:pPr>
        <w:widowControl/>
      </w:pPr>
      <w:r>
        <w:rPr>
          <w:b w:val="0"/>
        </w:rPr>
        <w:t>CAPITAL_OWNER. Cadena PostgreSQL histórica 16 del Tenant 1/Portfolio 3/Project 4 y browser 1 PASS de la misma identidad. No todas las transacciones se crearon por formularios browser; no es firma empresarial ni Project Delivery.</w:t>
      </w:r>
    </w:p>
    <w:p>
      <w:pPr>
        <w:widowControl/>
      </w:pPr>
      <w:r>
        <w:rPr>
          <w:b w:val="0"/>
        </w:rPr>
        <w:t>CONTRACTOR_DELIVERY. HTTP real SQLite histórico 14: ACTIVATED y FID 0→0. No Idea, Portfolio, Funding, FEL, QRA o FID por defecto; opt-in explícito puede añadir controles. Sin browser actual ni aceptación humana.</w:t>
      </w:r>
    </w:p>
    <w:p>
      <w:pPr>
        <w:widowControl/>
      </w:pPr>
      <w:r>
        <w:rPr>
          <w:b w:val="0"/>
        </w:rPr>
        <w:t>DIRECT_INTERNAL. HTTP real SQLite histórico 14: ACTIVATED y FID 0→0. No impone Capital Owner por defecto; no crea FID artificial. Sin browser actual ni aceptación humana.</w:t>
      </w:r>
    </w:p>
    <w:p>
      <w:pPr>
        <w:pStyle w:val="Heading1"/>
        <w:keepNext/>
        <w:keepLines/>
      </w:pPr>
      <w:r>
        <w:t>6 Gate Evidence FID y Post FID</w:t>
      </w:r>
    </w:p>
    <w:p>
      <w:pPr>
        <w:widowControl/>
      </w:pPr>
      <w:r>
        <w:rPr>
          <w:b w:val="0"/>
        </w:rPr>
        <w:t>El cierre técnico 16 documenta 19 requisitos required: 15 VALID y 4 MISSING no bloqueantes por la política publicada. La fila opcional Class C es NOT_REQUIRED. La cobertura Project es 100 %, pero no se declara 19 de 19 requisitos satisfechos.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84"/>
        <w:gridCol w:w="4982"/>
      </w:tblGrid>
      <w:tr>
        <w:trPr>
          <w:cantSplit/>
          <w:tblHeader w:val="true"/>
        </w:trPr>
        <w:tc>
          <w:tcPr>
            <w:tcW w:type="dxa" w:w="518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Requisito que permanece MISSING</w:t>
            </w:r>
          </w:p>
        </w:tc>
        <w:tc>
          <w:tcPr>
            <w:tcW w:type="dxa" w:w="498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Situación publicada</w:t>
            </w:r>
          </w:p>
        </w:tc>
      </w:tr>
      <w:tr>
        <w:trPr>
          <w:cantSplit/>
        </w:trPr>
        <w:tc>
          <w:tcPr>
            <w:tcW w:type="dxa" w:w="518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environmental-social-readiness</w:t>
            </w:r>
          </w:p>
        </w:tc>
        <w:tc>
          <w:tcPr>
            <w:tcW w:type="dxa" w:w="498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MISSING no bloqueante; no satisfecho</w:t>
            </w:r>
          </w:p>
        </w:tc>
      </w:tr>
      <w:tr>
        <w:trPr>
          <w:cantSplit/>
        </w:trPr>
        <w:tc>
          <w:tcPr>
            <w:tcW w:type="dxa" w:w="518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land-access-readiness</w:t>
            </w:r>
          </w:p>
        </w:tc>
        <w:tc>
          <w:tcPr>
            <w:tcW w:type="dxa" w:w="498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MISSING no bloqueante; no satisfecho</w:t>
            </w:r>
          </w:p>
        </w:tc>
      </w:tr>
      <w:tr>
        <w:trPr>
          <w:cantSplit/>
        </w:trPr>
        <w:tc>
          <w:tcPr>
            <w:tcW w:type="dxa" w:w="518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stakeholder-readiness</w:t>
            </w:r>
          </w:p>
        </w:tc>
        <w:tc>
          <w:tcPr>
            <w:tcW w:type="dxa" w:w="498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MISSING no bloqueante; no satisfecho</w:t>
            </w:r>
          </w:p>
        </w:tc>
      </w:tr>
      <w:tr>
        <w:trPr>
          <w:cantSplit/>
        </w:trPr>
        <w:tc>
          <w:tcPr>
            <w:tcW w:type="dxa" w:w="518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technical-assurance</w:t>
            </w:r>
          </w:p>
        </w:tc>
        <w:tc>
          <w:tcPr>
            <w:tcW w:type="dxa" w:w="498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MISSING no bloqueante; no satisfecho</w:t>
            </w:r>
          </w:p>
        </w:tc>
      </w:tr>
    </w:tbl>
    <w:p>
      <w:pPr>
        <w:widowControl/>
      </w:pPr>
      <w:r>
        <w:rPr>
          <w:b w:val="0"/>
        </w:rPr>
      </w:r>
    </w:p>
    <w:p>
      <w:pPr>
        <w:widowControl/>
      </w:pPr>
      <w:r>
        <w:rPr>
          <w:b w:val="0"/>
        </w:rPr>
        <w:t>Los cuatro Class B controlados fueron SUBMITTED por actor 4 y VALID por revisor 5, con EACH_PROJECT y cobertura 1 de 1. Son evidencia representativa UAT, no licencias reales, contratos firmados, NTP ni autorización para ejecutar Delivery.</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84"/>
        <w:gridCol w:w="4982"/>
      </w:tblGrid>
      <w:tr>
        <w:trPr>
          <w:cantSplit/>
          <w:tblHeader w:val="true"/>
        </w:trPr>
        <w:tc>
          <w:tcPr>
            <w:tcW w:type="dxa" w:w="518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Class B</w:t>
            </w:r>
          </w:p>
        </w:tc>
        <w:tc>
          <w:tcPr>
            <w:tcW w:type="dxa" w:w="498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Control y ventana de validez capturada</w:t>
            </w:r>
          </w:p>
        </w:tc>
      </w:tr>
      <w:tr>
        <w:trPr>
          <w:cantSplit/>
        </w:trPr>
        <w:tc>
          <w:tcPr>
            <w:tcW w:type="dxa" w:w="518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permit-readiness</w:t>
            </w:r>
          </w:p>
        </w:tc>
        <w:tc>
          <w:tcPr>
            <w:tcW w:type="dxa" w:w="498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Revisión independiente; 180 días</w:t>
            </w:r>
          </w:p>
        </w:tc>
      </w:tr>
      <w:tr>
        <w:trPr>
          <w:cantSplit/>
        </w:trPr>
        <w:tc>
          <w:tcPr>
            <w:tcW w:type="dxa" w:w="518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contracting-strategy-readiness</w:t>
            </w:r>
          </w:p>
        </w:tc>
        <w:tc>
          <w:tcPr>
            <w:tcW w:type="dxa" w:w="498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Revisión independiente; 365 días</w:t>
            </w:r>
          </w:p>
        </w:tc>
      </w:tr>
      <w:tr>
        <w:trPr>
          <w:cantSplit/>
        </w:trPr>
        <w:tc>
          <w:tcPr>
            <w:tcW w:type="dxa" w:w="518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execution-plan-readiness</w:t>
            </w:r>
          </w:p>
        </w:tc>
        <w:tc>
          <w:tcPr>
            <w:tcW w:type="dxa" w:w="498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Revisión independiente; 365 días</w:t>
            </w:r>
          </w:p>
        </w:tc>
      </w:tr>
      <w:tr>
        <w:trPr>
          <w:cantSplit/>
        </w:trPr>
        <w:tc>
          <w:tcPr>
            <w:tcW w:type="dxa" w:w="518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schedule-maturity</w:t>
            </w:r>
          </w:p>
        </w:tc>
        <w:tc>
          <w:tcPr>
            <w:tcW w:type="dxa" w:w="498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Revisión independiente; 180 días</w:t>
            </w:r>
          </w:p>
        </w:tc>
      </w:tr>
    </w:tbl>
    <w:p>
      <w:pPr>
        <w:widowControl/>
      </w:pPr>
      <w:r>
        <w:rPr>
          <w:b w:val="0"/>
        </w:rPr>
      </w:r>
    </w:p>
    <w:p>
      <w:pPr>
        <w:widowControl/>
      </w:pPr>
      <w:r>
        <w:rPr>
          <w:b w:val="0"/>
        </w:rPr>
        <w:t>Gate07J quedó READY y FROZEN sin auto-GO. Gate07K registró PYP-FFA / GO / DECIDED, is_fid=true, investment_authorized=true y full_funds_authorized=true, sin activación automática. Inicializó actor 12 y activó actor 13 mediante comandos canónicos separados. Post-FID quedó NO_REACTIVATION_REQUIRED después de la activación. Estos actores son cuentas de UAT, no representantes de aceptación empresarial.</w:t>
      </w:r>
    </w:p>
    <w:p>
      <w:pPr>
        <w:widowControl/>
      </w:pPr>
      <w:r>
        <w:rPr>
          <w:b w:val="0"/>
        </w:rPr>
        <w:t>La aceptación debe reconocer que Recommendation no es FID; Budget FROZEN no es inversión aprobada; HOLD_FOR_CAPACITY no es Gate07K HOLD; FEL es etapa y PDRI es madurez. Funding no es Budget y FIN conserva su cálculo determinístico. QRA Cost/Schedule es contextual, no universal. Integrated QRA no está liberado. Un resultado QRA no autoriza FID, contingencia, actualización Budget ni write-back de cronograma.</w:t>
      </w:r>
    </w:p>
    <w:p>
      <w:pPr>
        <w:pStyle w:val="Heading1"/>
        <w:keepNext/>
        <w:keepLines/>
      </w:pPr>
      <w:r>
        <w:t>7 Separación de responsabilidades y seguridad</w:t>
      </w:r>
    </w:p>
    <w:p>
      <w:pPr>
        <w:widowControl/>
      </w:pPr>
      <w:r>
        <w:rPr>
          <w:b w:val="0"/>
        </w:rPr>
        <w:t>La matriz ADMIN/USER cubre Workspace Types, Idea/BA, Portfolio, Business Case, FEL/PDRI, Risk, Funding/FIN, QRA, Evidence Policy, Decision Criteria y autoridad Gate. Reutiliza las guías y permisos auditados. La RACI propuesta no asigna personas ni delega autoridad. La firma exige representante real, cargo, organización y base de autorización.</w:t>
      </w:r>
    </w:p>
    <w:p>
      <w:pPr>
        <w:pStyle w:val="Heading1"/>
        <w:keepNext/>
        <w:keepLines/>
      </w:pPr>
      <w:r>
        <w:t>8 Hallazgos y límites de presentación</w:t>
      </w:r>
    </w:p>
    <w:p>
      <w:pPr>
        <w:widowControl/>
      </w:pPr>
      <w:r>
        <w:rPr>
          <w:b w:val="0"/>
        </w:rPr>
        <w:t>Los seis hallazgos siguientes permanecen OPEN. Ninguno está aceptado como condición de negocio. Propietarios, fechas y decisiones requieren acuerdo autorizado y permanecen vacíos en los formularios y el tracker.</w:t>
      </w:r>
    </w:p>
    <w:p>
      <w:pPr>
        <w:pStyle w:val="Heading2"/>
        <w:keepNext/>
        <w:keepLines/>
      </w:pPr>
      <w:r>
        <w:t>UAT S3 006 S3 MAJOR</w:t>
      </w:r>
    </w:p>
    <w:p>
      <w:pPr>
        <w:keepNext/>
        <w:widowControl/>
      </w:pPr>
      <w:r>
        <w:rPr>
          <w:b/>
        </w:rPr>
        <w:t>Home omite responsable y plantilla y el filtro por responsable puede omitir Project</w:t>
      </w:r>
    </w:p>
    <w:p>
      <w:pPr>
        <w:keepNext/>
        <w:widowControl/>
      </w:pPr>
      <w:r>
        <w:rPr>
          <w:b w:val="0"/>
        </w:rPr>
        <w:t>Presentación, lista, filtro y ETag; no hay evidencia actual de consumo en autorización, lifecycle, elegibilidad o selección. No certifica clientes externos.</w:t>
      </w:r>
    </w:p>
    <w:p>
      <w:pPr>
        <w:keepNext/>
        <w:widowControl/>
      </w:pPr>
      <w:r>
        <w:rPr>
          <w:b w:val="0"/>
        </w:rPr>
        <w:t>Workaround: Overview canónico, Enterprise Explorer o ruta directa sin filtro por responsable.</w:t>
      </w:r>
    </w:p>
    <w:p>
      <w:pPr>
        <w:widowControl/>
      </w:pPr>
      <w:r>
        <w:rPr>
          <w:b w:val="0"/>
        </w:rPr>
        <w:t>Evidencia propuesta: E17, E18.</w:t>
      </w:r>
    </w:p>
    <w:p>
      <w:pPr>
        <w:pStyle w:val="Heading2"/>
        <w:keepNext/>
        <w:keepLines/>
      </w:pPr>
      <w:r>
        <w:t>UAT S4 001 S4 MINOR</w:t>
      </w:r>
    </w:p>
    <w:p>
      <w:pPr>
        <w:keepNext/>
        <w:widowControl/>
      </w:pPr>
      <w:r>
        <w:rPr>
          <w:b/>
        </w:rPr>
        <w:t>Navegación puede mostrar rutas no aplicables</w:t>
      </w:r>
    </w:p>
    <w:p>
      <w:pPr>
        <w:keepNext/>
        <w:widowControl/>
      </w:pPr>
      <w:r>
        <w:rPr>
          <w:b w:val="0"/>
        </w:rPr>
        <w:t>La presencia en el menú no significa requisito ni otorga autoridad.</w:t>
      </w:r>
    </w:p>
    <w:p>
      <w:pPr>
        <w:keepNext/>
        <w:widowControl/>
      </w:pPr>
      <w:r>
        <w:rPr>
          <w:b w:val="0"/>
        </w:rPr>
        <w:t>Workaround: Usar elegibilidad y allowed_actions del backend.</w:t>
      </w:r>
    </w:p>
    <w:p>
      <w:pPr>
        <w:widowControl/>
      </w:pPr>
      <w:r>
        <w:rPr>
          <w:b w:val="0"/>
        </w:rPr>
        <w:t>Evidencia propuesta: E19.</w:t>
      </w:r>
    </w:p>
    <w:p>
      <w:pPr>
        <w:pStyle w:val="Heading2"/>
        <w:keepNext/>
        <w:keepLines/>
      </w:pPr>
      <w:r>
        <w:t>UAT S4 002 S4 MINOR</w:t>
      </w:r>
    </w:p>
    <w:p>
      <w:pPr>
        <w:keepNext/>
        <w:widowControl/>
      </w:pPr>
      <w:r>
        <w:rPr>
          <w:b/>
        </w:rPr>
        <w:t>Renderers legacy de Business Case pendientes de deprecación</w:t>
      </w:r>
    </w:p>
    <w:p>
      <w:pPr>
        <w:keepNext/>
        <w:widowControl/>
      </w:pPr>
      <w:r>
        <w:rPr>
          <w:b w:val="0"/>
        </w:rPr>
        <w:t>Once renderers fuera del registro canónico pueden tener consumidores externos aún no confirmados.</w:t>
      </w:r>
    </w:p>
    <w:p>
      <w:pPr>
        <w:keepNext/>
        <w:widowControl/>
      </w:pPr>
      <w:r>
        <w:rPr>
          <w:b w:val="0"/>
        </w:rPr>
        <w:t>Workaround: Usar rutas canónicas Five Case; no retirar enlaces históricos sin revisar consumidores.</w:t>
      </w:r>
    </w:p>
    <w:p>
      <w:pPr>
        <w:widowControl/>
      </w:pPr>
      <w:r>
        <w:rPr>
          <w:b w:val="0"/>
        </w:rPr>
        <w:t>Evidencia propuesta: E19.</w:t>
      </w:r>
    </w:p>
    <w:p>
      <w:pPr>
        <w:pStyle w:val="Heading2"/>
        <w:keepNext/>
        <w:keepLines/>
      </w:pPr>
      <w:r>
        <w:t>UAT S4 003 S4 MINOR</w:t>
      </w:r>
    </w:p>
    <w:p>
      <w:pPr>
        <w:keepNext/>
        <w:widowControl/>
      </w:pPr>
      <w:r>
        <w:rPr>
          <w:b/>
        </w:rPr>
        <w:t>Clasificación metadata de Explorer incompleta</w:t>
      </w:r>
    </w:p>
    <w:p>
      <w:pPr>
        <w:keepNext/>
        <w:widowControl/>
      </w:pPr>
      <w:r>
        <w:rPr>
          <w:b w:val="0"/>
        </w:rPr>
        <w:t>READ_ONLY_SHARED no describe sus transacciones USER protegidas; no es un control de seguridad.</w:t>
      </w:r>
    </w:p>
    <w:p>
      <w:pPr>
        <w:keepNext/>
        <w:widowControl/>
      </w:pPr>
      <w:r>
        <w:rPr>
          <w:b w:val="0"/>
        </w:rPr>
        <w:t>Workaround: Distinguir lectura compartida de creación y lifecycle USER según guías.</w:t>
      </w:r>
    </w:p>
    <w:p>
      <w:pPr>
        <w:widowControl/>
      </w:pPr>
      <w:r>
        <w:rPr>
          <w:b w:val="0"/>
        </w:rPr>
        <w:t>Evidencia propuesta: E03, E19.</w:t>
      </w:r>
    </w:p>
    <w:p>
      <w:pPr>
        <w:pStyle w:val="Heading2"/>
        <w:keepNext/>
        <w:keepLines/>
      </w:pPr>
      <w:r>
        <w:t>UAT S4 004 S4 MINOR</w:t>
      </w:r>
    </w:p>
    <w:p>
      <w:pPr>
        <w:keepNext/>
        <w:widowControl/>
      </w:pPr>
      <w:r>
        <w:rPr>
          <w:b/>
        </w:rPr>
        <w:t>Desbordamiento de hashes texto y badges en Gate</w:t>
      </w:r>
    </w:p>
    <w:p>
      <w:pPr>
        <w:keepNext/>
        <w:widowControl/>
      </w:pPr>
      <w:r>
        <w:rPr>
          <w:b w:val="0"/>
        </w:rPr>
        <w:t>Legibilidad de tarjetas; reobservado en la captura técnica final.</w:t>
      </w:r>
    </w:p>
    <w:p>
      <w:pPr>
        <w:keepNext/>
        <w:widowControl/>
      </w:pPr>
      <w:r>
        <w:rPr>
          <w:b w:val="0"/>
        </w:rPr>
        <w:t>Workaround: Viewport amplio y consulta de evidencia API histórica; pendiente ajuste focalizado de wrapping.</w:t>
      </w:r>
    </w:p>
    <w:p>
      <w:pPr>
        <w:widowControl/>
      </w:pPr>
      <w:r>
        <w:rPr>
          <w:b w:val="0"/>
        </w:rPr>
        <w:t>Evidencia propuesta: E16, E19.</w:t>
      </w:r>
    </w:p>
    <w:p>
      <w:pPr>
        <w:pStyle w:val="Heading2"/>
        <w:keepNext/>
        <w:keepLines/>
      </w:pPr>
      <w:r>
        <w:t>UAT S4 005 S4 MINOR</w:t>
      </w:r>
    </w:p>
    <w:p>
      <w:pPr>
        <w:keepNext/>
        <w:widowControl/>
      </w:pPr>
      <w:r>
        <w:rPr>
          <w:b/>
        </w:rPr>
        <w:t>Navegación móvil extensa y orden visual confuso</w:t>
      </w:r>
    </w:p>
    <w:p>
      <w:pPr>
        <w:keepNext/>
        <w:widowControl/>
      </w:pPr>
      <w:r>
        <w:rPr>
          <w:b w:val="0"/>
        </w:rPr>
        <w:t>En 390 px la navegación ocupa aproximadamente 3700 px antes del contenido.</w:t>
      </w:r>
    </w:p>
    <w:p>
      <w:pPr>
        <w:keepNext/>
        <w:widowControl/>
      </w:pPr>
      <w:r>
        <w:rPr>
          <w:b w:val="0"/>
        </w:rPr>
        <w:t>Workaround: Colapsar navegación o usar escritorio.</w:t>
      </w:r>
    </w:p>
    <w:p>
      <w:pPr>
        <w:widowControl/>
      </w:pPr>
      <w:r>
        <w:rPr>
          <w:b w:val="0"/>
        </w:rPr>
        <w:t>Evidencia propuesta: E19.</w:t>
      </w:r>
    </w:p>
    <w:p>
      <w:pPr>
        <w:pStyle w:val="Heading2"/>
        <w:keepNext/>
        <w:keepLines/>
      </w:pPr>
      <w:r>
        <w:t>Observaciones de consistencia visual</w:t>
      </w:r>
    </w:p>
    <w:p>
      <w:pPr>
        <w:keepNext/>
        <w:widowControl/>
      </w:pPr>
      <w:r>
        <w:rPr>
          <w:b/>
        </w:rPr>
        <w:t>OBS-UI-01. Gate header BLOCKED Governance con cuerpo READY_FOR_INVESTMENT_DECISION</w:t>
      </w:r>
    </w:p>
    <w:p>
      <w:pPr>
        <w:widowControl/>
      </w:pPr>
      <w:r>
        <w:rPr>
          <w:b w:val="0"/>
        </w:rPr>
        <w:t>Lectura inconsistente de estados; se conserva la observación literal sin explicación causal no verificada. Revisar readiness, handoff y paquete autoritativo junto con la captura; no reescribir backend.</w:t>
      </w:r>
    </w:p>
    <w:p>
      <w:pPr>
        <w:keepNext/>
        <w:widowControl/>
      </w:pPr>
      <w:r>
        <w:rPr>
          <w:b/>
        </w:rPr>
        <w:t>OBS-UI-02. Post FID presenta guiones en columnas con API ACTIVATED</w:t>
      </w:r>
    </w:p>
    <w:p>
      <w:pPr>
        <w:widowControl/>
      </w:pPr>
      <w:r>
        <w:rPr>
          <w:b w:val="0"/>
        </w:rPr>
        <w:t>Columnas de inicialización y activación no muestran el lifecycle autoritativo cuando flags de elegibilidad son falsos. Consultar initialization_state autoritativo y Overview; no inferir un estado nuevo desde guiones.</w:t>
      </w:r>
    </w:p>
    <w:p>
      <w:pPr>
        <w:widowControl/>
      </w:pPr>
      <w:r>
        <w:rPr>
          <w:b w:val="0"/>
        </w:rPr>
        <w:t>UAT-S3-006 exige reconocimiento expreso por la posible omisión de Project al filtrar por responsable. El revisor elegirá aceptar una condición, rechazar la liberación o proponer reclasificación con justificación. No se cambia el backend para ajustar estados a su presentación.</w:t>
      </w:r>
    </w:p>
    <w:p>
      <w:pPr>
        <w:pStyle w:val="Heading1"/>
        <w:keepNext/>
        <w:keepLines/>
      </w:pPr>
      <w:r>
        <w:t>9 Documentación y vigencia</w:t>
      </w:r>
    </w:p>
    <w:p>
      <w:pPr>
        <w:widowControl/>
      </w:pPr>
      <w:r>
        <w:rPr>
          <w:b w:val="0"/>
        </w:rPr>
        <w:t>El paquete utiliza las versiones controladas E01 a E06 sin reescribir las fuentes. Cada revisor registrará para cada documento ACCEPTABLE, ACCEPTABLE_WITH_CORRECTIONS o NOT_ACCEPTABLE; la decisión documental se conserva vacía hasta revisión real.</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35"/>
        <w:gridCol w:w="6509"/>
        <w:gridCol w:w="2822"/>
      </w:tblGrid>
      <w:tr>
        <w:trPr>
          <w:cantSplit/>
          <w:tblHeader w:val="true"/>
        </w:trPr>
        <w:tc>
          <w:tcPr>
            <w:tcW w:type="dxa" w:w="835"/>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ID</w:t>
            </w:r>
          </w:p>
        </w:tc>
        <w:tc>
          <w:tcPr>
            <w:tcW w:type="dxa" w:w="6509"/>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Documento y revisión</w:t>
            </w:r>
          </w:p>
        </w:tc>
        <w:tc>
          <w:tcPr>
            <w:tcW w:type="dxa" w:w="282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Aceptación registrada</w:t>
            </w:r>
          </w:p>
        </w:tc>
      </w:tr>
      <w:tr>
        <w:trPr>
          <w:cantSplit/>
        </w:trPr>
        <w:tc>
          <w:tcPr>
            <w:tcW w:type="dxa" w:w="835"/>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DOC01</w:t>
            </w:r>
          </w:p>
        </w:tc>
        <w:tc>
          <w:tcPr>
            <w:tcW w:type="dxa" w:w="6509"/>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Strategic Macroprocess Business Process</w:t>
              <w:br/>
              <w:t>Corte del 14 de octubre de 2026</w:t>
            </w:r>
          </w:p>
        </w:tc>
        <w:tc>
          <w:tcPr>
            <w:tcW w:type="dxa" w:w="282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r>
          </w:p>
        </w:tc>
      </w:tr>
      <w:tr>
        <w:trPr>
          <w:cantSplit/>
        </w:trPr>
        <w:tc>
          <w:tcPr>
            <w:tcW w:type="dxa" w:w="835"/>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DOC02</w:t>
            </w:r>
          </w:p>
        </w:tc>
        <w:tc>
          <w:tcPr>
            <w:tcW w:type="dxa" w:w="6509"/>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User Guide</w:t>
              <w:br/>
              <w:t>Corte del 14 de octubre de 2026 más addendum de vigencia del 18 de octubre</w:t>
            </w:r>
          </w:p>
        </w:tc>
        <w:tc>
          <w:tcPr>
            <w:tcW w:type="dxa" w:w="282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r>
          </w:p>
        </w:tc>
      </w:tr>
      <w:tr>
        <w:trPr>
          <w:cantSplit/>
        </w:trPr>
        <w:tc>
          <w:tcPr>
            <w:tcW w:type="dxa" w:w="835"/>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DOC03</w:t>
            </w:r>
          </w:p>
        </w:tc>
        <w:tc>
          <w:tcPr>
            <w:tcW w:type="dxa" w:w="6509"/>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Administration Guide</w:t>
              <w:br/>
              <w:t>Remediación del 15 de octubre de 2026 más addendum de vigencia del 18 de octubre</w:t>
            </w:r>
          </w:p>
        </w:tc>
        <w:tc>
          <w:tcPr>
            <w:tcW w:type="dxa" w:w="282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r>
          </w:p>
        </w:tc>
      </w:tr>
      <w:tr>
        <w:trPr>
          <w:cantSplit/>
        </w:trPr>
        <w:tc>
          <w:tcPr>
            <w:tcW w:type="dxa" w:w="835"/>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DOC04</w:t>
            </w:r>
          </w:p>
        </w:tc>
        <w:tc>
          <w:tcPr>
            <w:tcW w:type="dxa" w:w="6509"/>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UAT Plan and Results</w:t>
              <w:br/>
              <w:t>Cierre del 16 de octubre de 2026</w:t>
            </w:r>
          </w:p>
        </w:tc>
        <w:tc>
          <w:tcPr>
            <w:tcW w:type="dxa" w:w="282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r>
          </w:p>
        </w:tc>
      </w:tr>
      <w:tr>
        <w:trPr>
          <w:cantSplit/>
        </w:trPr>
        <w:tc>
          <w:tcPr>
            <w:tcW w:type="dxa" w:w="835"/>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DOC05</w:t>
            </w:r>
          </w:p>
        </w:tc>
        <w:tc>
          <w:tcPr>
            <w:tcW w:type="dxa" w:w="6509"/>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UAT Traceability</w:t>
              <w:br/>
              <w:t>Cierre del 16 de octubre de 2026</w:t>
            </w:r>
          </w:p>
        </w:tc>
        <w:tc>
          <w:tcPr>
            <w:tcW w:type="dxa" w:w="282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r>
          </w:p>
        </w:tc>
      </w:tr>
      <w:tr>
        <w:trPr>
          <w:cantSplit/>
        </w:trPr>
        <w:tc>
          <w:tcPr>
            <w:tcW w:type="dxa" w:w="835"/>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DOC06</w:t>
            </w:r>
          </w:p>
        </w:tc>
        <w:tc>
          <w:tcPr>
            <w:tcW w:type="dxa" w:w="650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Final Release Closeout</w:t>
              <w:br/>
              <w:t>Cierre del 16 de octubre de 2026</w:t>
            </w:r>
          </w:p>
        </w:tc>
        <w:tc>
          <w:tcPr>
            <w:tcW w:type="dxa" w:w="282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pStyle w:val="Heading2"/>
        <w:keepNext/>
        <w:keepLines/>
      </w:pPr>
      <w:r>
        <w:t>Addendum de vigencia documental</w:t>
      </w:r>
    </w:p>
    <w:p>
      <w:pPr>
        <w:widowControl/>
      </w:pPr>
      <w:r>
        <w:rPr>
          <w:b w:val="0"/>
        </w:rPr>
        <w:t>El Admin Guide 15 conserva la frase histórica NO GO de su corte. La conclusión técnica vigente para este paquete es la del Final Release Closeout 16, no una reescritura del texto 15. No existe aún aceptación empresarial.</w:t>
      </w:r>
    </w:p>
    <w:p>
      <w:pPr>
        <w:widowControl/>
      </w:pPr>
      <w:r>
        <w:rPr>
          <w:b w:val="0"/>
        </w:rPr>
        <w:t>El User Guide 14 conserva A31 y sus límites. El cierre 16 acreditó comandos separados de inicialización y activación y Post FID NO_REACTIVATION_REQUIRED. La evidencia controlada 18 solo verifica integridad del baseline; no representa una nueva ejecución de esa cadena.</w:t>
      </w:r>
    </w:p>
    <w:p>
      <w:pPr>
        <w:widowControl/>
      </w:pPr>
      <w:r>
        <w:rPr>
          <w:b w:val="0"/>
        </w:rPr>
        <w:t>Los cuatro Class B son referencias representativas UAT sometidas a validación independiente y cobertura EACH_PROJECT. No certifican licencias reales, contratos firmados, ejecución ni NTP.</w:t>
      </w:r>
    </w:p>
    <w:p>
      <w:pPr>
        <w:widowControl/>
      </w:pPr>
      <w:r>
        <w:rPr>
          <w:b w:val="0"/>
        </w:rPr>
        <w:t>La matriz Gate conserva 19 required con 15 VALID y 4 MISSING no bloqueantes. La fila opcional Class C es NOT_REQUIRED. El representante debe reconocer los cuatro MISSING expresamente; no se consideran satisfechos.</w:t>
      </w:r>
    </w:p>
    <w:p>
      <w:pPr>
        <w:widowControl/>
      </w:pPr>
      <w:r>
        <w:rPr>
          <w:b w:val="0"/>
        </w:rPr>
        <w:t>Se mantienen abiertos S3-006 y S4-001 a 005 y se divulgan las dos observaciones UI. El PASS funcional no acredita presentación íntegramente limpia.</w:t>
      </w:r>
    </w:p>
    <w:p>
      <w:pPr>
        <w:widowControl/>
      </w:pPr>
      <w:r>
        <w:rPr>
          <w:b w:val="0"/>
        </w:rPr>
        <w:t>Final Release Closeout 16 permanece byte-idéntico: solo se actualizará con la sección de Business Sign-Off después de decisiones empresariales reales, preservando su conclusión e historia técnica.</w:t>
      </w:r>
    </w:p>
    <w:p>
      <w:pPr>
        <w:pStyle w:val="Heading1"/>
        <w:keepNext/>
        <w:keepLines/>
      </w:pPr>
      <w:r>
        <w:t>10 Evidencia y reglas de captura</w:t>
      </w:r>
    </w:p>
    <w:p>
      <w:pPr>
        <w:widowControl/>
      </w:pPr>
      <w:r>
        <w:rPr>
          <w:b w:val="0"/>
        </w:rPr>
        <w:t>review-pack-data.json centraliza 15 áreas, 35 actividades, 11 filas ADMIN/USER, 6 hallazgos, 2 observaciones y 23 referencias. Se verificó que los 23 paths existen y los 6 SHA documentales coinciden. E23 conserva el suplemento SQL actual sin reemplazar la captura inicial. El tracker incorpora 6 hojas para matriz, condiciones, hallazgos, evidencias, aceptación documental y decisión final. Sus campos humanos permanecen vacíos.</w:t>
      </w:r>
    </w:p>
    <w:p>
      <w:pPr>
        <w:widowControl/>
      </w:pPr>
      <w:r>
        <w:rPr>
          <w:b w:val="0"/>
        </w:rPr>
        <w:t>La verificación de los XLSX aprobó 21 controles nativos y visuales. El tracker conserva 6 hojas, 15 áreas, 90 filas para aceptación documental, 23 evidencias y 15 espacios de rechazo. Veinte escenarios de fórmula se comprobaron solo en memoria, sin exportar aceptaciones de prueba; se restauró el estado 0 de 15. La copia controlada de trazabilidad conserva 8 hojas y 8 tablas; mantiene intactos valores, estilos y fórmulas A: Z y agrega solo AA: AE para propuestas de área y campos humanos vacíos.</w:t>
      </w:r>
    </w:p>
    <w:p>
      <w:pPr>
        <w:widowControl/>
      </w:pPr>
      <w:r>
        <w:rPr>
          <w:b w:val="0"/>
        </w:rPr>
        <w:t>El paquete de revisión integra 11 componentes lógicos mediante cruces explícitos de hojas y secciones. Se preservan seis fuentes byte-idénticas en 01_Fuentes_Baseline16 y se separan los artefactos actuales en 02_Paquete_Revision. El manifiesto registra esa relación sin crear conclusiones técnicas competidoras ni reescribir el Closeout del 16.</w:t>
      </w:r>
    </w:p>
    <w:p>
      <w:pPr>
        <w:widowControl/>
      </w:pPr>
      <w:r>
        <w:rPr>
          <w:b w:val="0"/>
        </w:rPr>
        <w:t>Los formularios requieren representante, rol, organización, base de autoridad, fecha, decisión, condiciones, comentarios, evidencia realmente revisada y firma, además de propietario y fecha objetivo cuando aplique. La autorización para proseguir sin firmas habilita preparar el paquete, no aprobarlo en nombre del negocio.</w:t>
      </w:r>
    </w:p>
    <w:p>
      <w:pPr>
        <w:pStyle w:val="Heading1"/>
        <w:keepNext/>
        <w:keepLines/>
      </w:pPr>
      <w:r>
        <w:t>11 Protección de documentos e historia técnica</w:t>
      </w:r>
    </w:p>
    <w:p>
      <w:pPr>
        <w:widowControl/>
      </w:pPr>
      <w:r>
        <w:rPr>
          <w:b w:val="0"/>
        </w:rPr>
        <w:t>Los 6 documentos fuentes conservan sus SHA. Final Release Closeout 16 no recibe una sección de aceptación inexistente; el prompt exige actualizarlo después de decisiones reales. La copia de trazabilidad agrega referencias sin cambiar PASS/FAIL, IDs o historia técnica. Nuevas funciones o cambios materiales exigirían invalidar la aceptación afectada y acordar repruebas.</w:t>
      </w:r>
    </w:p>
    <w:p>
      <w:pPr>
        <w:widowControl/>
      </w:pPr>
      <w:r>
        <w:rPr>
          <w:b w:val="0"/>
        </w:rPr>
        <w:t>Los 2 Word se derivan del paquete retenido del Closeout 16. Conservan geometría Letter, logo, estilos, relaciones y mobiliario. Solo cambian body y fecha de footer para su propósito nuevo. El inventario de partes verifica preservación byte-idéntica de las demás partes. La revisión visual final se realiza sobre todas sus páginas antes de entrega.</w:t>
      </w:r>
    </w:p>
    <w:p>
      <w:pPr>
        <w:pStyle w:val="Heading1"/>
        <w:keepNext/>
        <w:keepLines/>
      </w:pPr>
      <w:r>
        <w:t>12 Determinación y siguiente paso</w:t>
      </w:r>
    </w:p>
    <w:p>
      <w:pPr>
        <w:pStyle w:val="Heading2"/>
        <w:keepNext/>
        <w:keepLines/>
      </w:pPr>
      <w:r>
        <w:t>Reglas de decisión y declaración actual</w:t>
      </w:r>
    </w:p>
    <w:p>
      <w:pPr>
        <w:widowControl/>
      </w:pPr>
      <w:r>
        <w:rPr>
          <w:b w:val="0"/>
        </w:rPr>
        <w:t>BUSINESS_ACCEPTED exige 15 ACCEPT explícitos, personas autorizadas, evidencia completa, ningún rechazo y 0 S1/S2 abiertos. BUSINESS_ACCEPTED_WITH_CONDITIONS exige 15 decisiones completas sin REJECT, al menos un área con ACCEPT_WITH_CONDITIONS y condiciones no bloqueantes con propietarios, fechas y workarounds acordados, y 0 S1/S2. Un REJECT material o condición bloqueante produce BUSINESS_REJECTED hasta resolución autorizada.</w:t>
      </w:r>
    </w:p>
    <w:p>
      <w:pPr>
        <w:widowControl/>
      </w:pPr>
      <w:r>
        <w:rPr>
          <w:b w:val="0"/>
        </w:rPr>
        <w:t>Con decisiones o firmas incompletas se conserva UAT_SIGNOFF_PENDING. Hoy 0 de 15 áreas tienen decisión registrada: 0 ACCEPT, 0 ACCEPT_WITH_CONDITIONS, 0 REJECT y 15 pendientes. Hay 0 condiciones aceptadas y 0 rechazos empresariales registrados; esos ceros no afirman aceptabilidad de los hallazgos abiertos.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032"/>
        <w:gridCol w:w="6134"/>
      </w:tblGrid>
      <w:tr>
        <w:trPr>
          <w:cantSplit/>
          <w:tblHeader w:val="true"/>
        </w:trPr>
        <w:tc>
          <w:tcPr>
            <w:tcW w:type="dxa" w:w="403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Registro de decisión final autorizada</w:t>
            </w:r>
          </w:p>
        </w:tc>
        <w:tc>
          <w:tcPr>
            <w:tcW w:type="dxa" w:w="613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Contenido</w:t>
            </w:r>
          </w:p>
        </w:tc>
      </w:tr>
      <w:tr>
        <w:trPr>
          <w:cantSplit/>
        </w:trPr>
        <w:tc>
          <w:tcPr>
            <w:tcW w:type="dxa" w:w="403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Decisión</w:t>
            </w:r>
          </w:p>
        </w:tc>
        <w:tc>
          <w:tcPr>
            <w:tcW w:type="dxa" w:w="613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r>
          </w:p>
        </w:tc>
      </w:tr>
      <w:tr>
        <w:trPr>
          <w:cantSplit/>
        </w:trPr>
        <w:tc>
          <w:tcPr>
            <w:tcW w:type="dxa" w:w="403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Representante y organización</w:t>
            </w:r>
          </w:p>
        </w:tc>
        <w:tc>
          <w:tcPr>
            <w:tcW w:type="dxa" w:w="613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r>
          </w:p>
        </w:tc>
      </w:tr>
      <w:tr>
        <w:trPr>
          <w:cantSplit/>
        </w:trPr>
        <w:tc>
          <w:tcPr>
            <w:tcW w:type="dxa" w:w="403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Base de autoridad</w:t>
            </w:r>
          </w:p>
        </w:tc>
        <w:tc>
          <w:tcPr>
            <w:tcW w:type="dxa" w:w="613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r>
          </w:p>
        </w:tc>
      </w:tr>
      <w:tr>
        <w:trPr>
          <w:cantSplit/>
        </w:trPr>
        <w:tc>
          <w:tcPr>
            <w:tcW w:type="dxa" w:w="403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Fecha</w:t>
            </w:r>
          </w:p>
        </w:tc>
        <w:tc>
          <w:tcPr>
            <w:tcW w:type="dxa" w:w="613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r>
          </w:p>
        </w:tc>
      </w:tr>
      <w:tr>
        <w:trPr>
          <w:cantSplit/>
        </w:trPr>
        <w:tc>
          <w:tcPr>
            <w:tcW w:type="dxa" w:w="403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Condiciones o rechazos aplicables</w:t>
            </w:r>
          </w:p>
        </w:tc>
        <w:tc>
          <w:tcPr>
            <w:tcW w:type="dxa" w:w="613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r>
          </w:p>
        </w:tc>
      </w:tr>
      <w:tr>
        <w:trPr>
          <w:cantSplit/>
        </w:trPr>
        <w:tc>
          <w:tcPr>
            <w:tcW w:type="dxa" w:w="403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13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Estado exacto conservado: STRATEGIC_MACROPROCESS_TECHNICALLY_READY_UAT_SIGNOFF_PENDING.</w:t>
      </w:r>
    </w:p>
    <w:p>
      <w:pPr>
        <w:widowControl/>
      </w:pPr>
      <w:r>
        <w:rPr>
          <w:b w:val="0"/>
        </w:rPr>
        <w:t>No se autoriza liberación empresarial ni producción. Recomendación única: COMPLETE AUTHORIZED BUSINESS UAT SIGN-OFF.</w:t>
      </w:r>
    </w:p>
    <w:p>
      <w:pPr>
        <w:pStyle w:val="Heading1"/>
        <w:keepNext/>
        <w:keepLines/>
      </w:pPr>
      <w:r>
        <w:t>13 Registro de fuentes controladas</w:t>
      </w:r>
    </w:p>
    <w:p>
      <w:pPr>
        <w:pStyle w:val="Heading2"/>
        <w:keepNext/>
        <w:keepLines/>
      </w:pPr>
      <w:r>
        <w:t>DOC01 Strategic Macroprocess Business Process</w:t>
      </w:r>
    </w:p>
    <w:p>
      <w:pPr>
        <w:widowControl/>
      </w:pPr>
      <w:r>
        <w:rPr>
          <w:b w:val="0"/>
        </w:rPr>
        <w:t>Corte del 14 de octubre de 2026. outputs/strategic-final-uat-20261014/P&amp;Pmis_Strategic_Macroprocess_Business_Process.docx</w:t>
      </w:r>
    </w:p>
    <w:p>
      <w:pPr>
        <w:widowControl/>
      </w:pPr>
      <w:r>
        <w:rPr>
          <w:b w:val="0"/>
        </w:rPr>
        <w:t>SHA256 6215adbe01e76b9ff84152508b66a5e64b17b0f7ded67b120009140e21cd878e</w:t>
      </w:r>
    </w:p>
    <w:p>
      <w:pPr>
        <w:pStyle w:val="Heading2"/>
        <w:keepNext/>
        <w:keepLines/>
      </w:pPr>
      <w:r>
        <w:t>DOC02 User Guide</w:t>
      </w:r>
    </w:p>
    <w:p>
      <w:pPr>
        <w:widowControl/>
      </w:pPr>
      <w:r>
        <w:rPr>
          <w:b w:val="0"/>
        </w:rPr>
        <w:t>Corte del 14 de octubre de 2026 más addendum de vigencia del 18 de octubre. outputs/strategic-final-uat-20261014/P&amp;Pmis_Strategic_Macroprocess_User_Guide.docx</w:t>
      </w:r>
    </w:p>
    <w:p>
      <w:pPr>
        <w:widowControl/>
      </w:pPr>
      <w:r>
        <w:rPr>
          <w:b w:val="0"/>
        </w:rPr>
        <w:t>SHA256 5f54a1dbde99e87c9895d5b80e4be72faf2214885e09c9fd0bf7b626706d4c51</w:t>
      </w:r>
    </w:p>
    <w:p>
      <w:pPr>
        <w:pStyle w:val="Heading2"/>
        <w:keepNext/>
        <w:keepLines/>
      </w:pPr>
      <w:r>
        <w:t>DOC03 Administration Guide</w:t>
      </w:r>
    </w:p>
    <w:p>
      <w:pPr>
        <w:widowControl/>
      </w:pPr>
      <w:r>
        <w:rPr>
          <w:b w:val="0"/>
        </w:rPr>
        <w:t>Remediación del 15 de octubre de 2026 más addendum de vigencia del 18 de octubre. outputs/strategic-uat-remediation-20261015/P&amp;Pmis_Strategic_Macroprocess_Admin_Guide.docx</w:t>
      </w:r>
    </w:p>
    <w:p>
      <w:pPr>
        <w:widowControl/>
      </w:pPr>
      <w:r>
        <w:rPr>
          <w:b w:val="0"/>
        </w:rPr>
        <w:t>SHA256 793a3fc8fe185228610a1e570e77f301315d6b0f8b16498d0b0ef80a2b9b0d0a</w:t>
      </w:r>
    </w:p>
    <w:p>
      <w:pPr>
        <w:pStyle w:val="Heading2"/>
        <w:keepNext/>
        <w:keepLines/>
      </w:pPr>
      <w:r>
        <w:t>DOC04 UAT Plan and Results</w:t>
      </w:r>
    </w:p>
    <w:p>
      <w:pPr>
        <w:widowControl/>
      </w:pPr>
      <w:r>
        <w:rPr>
          <w:b w:val="0"/>
        </w:rPr>
        <w:t>Cierre del 16 de octubre de 2026. outputs/gate07j-controlled-class-b-20261016/P&amp;Pmis_Strategic_Macroprocess_UAT_Plan_and_Results.docx</w:t>
      </w:r>
    </w:p>
    <w:p>
      <w:pPr>
        <w:widowControl/>
      </w:pPr>
      <w:r>
        <w:rPr>
          <w:b w:val="0"/>
        </w:rPr>
        <w:t>SHA256 359a0ebb9f84b467c260f01ef8a0b06a120f779c200ba12fa90415136b55023d</w:t>
      </w:r>
    </w:p>
    <w:p>
      <w:pPr>
        <w:pStyle w:val="Heading2"/>
        <w:keepNext/>
        <w:keepLines/>
      </w:pPr>
      <w:r>
        <w:t>DOC05 UAT Traceability</w:t>
      </w:r>
    </w:p>
    <w:p>
      <w:pPr>
        <w:widowControl/>
      </w:pPr>
      <w:r>
        <w:rPr>
          <w:b w:val="0"/>
        </w:rPr>
        <w:t>Cierre del 16 de octubre de 2026. outputs/gate07j-controlled-class-b-20261016/P&amp;Pmis_Strategic_Macroprocess_UAT_Traceability.xlsx</w:t>
      </w:r>
    </w:p>
    <w:p>
      <w:pPr>
        <w:widowControl/>
      </w:pPr>
      <w:r>
        <w:rPr>
          <w:b w:val="0"/>
        </w:rPr>
        <w:t>SHA256 baad276e386ea9550b5bac0eafae8bf6e9910361ea29047da58d952ab5dd757a</w:t>
      </w:r>
    </w:p>
    <w:p>
      <w:pPr>
        <w:pStyle w:val="Heading2"/>
        <w:keepNext/>
        <w:keepLines/>
      </w:pPr>
      <w:r>
        <w:t>DOC06 Final Release Closeout</w:t>
      </w:r>
    </w:p>
    <w:p>
      <w:pPr>
        <w:widowControl/>
      </w:pPr>
      <w:r>
        <w:rPr>
          <w:b w:val="0"/>
        </w:rPr>
        <w:t>Cierre del 16 de octubre de 2026. outputs/gate07j-controlled-class-b-20261016/P&amp;Pmis_Strategic_Macroprocess_Final_Release_Closeout.docx</w:t>
      </w:r>
    </w:p>
    <w:p>
      <w:pPr>
        <w:widowControl/>
      </w:pPr>
      <w:r>
        <w:rPr>
          <w:b w:val="0"/>
        </w:rPr>
        <w:t>SHA256 2a0c470c57b833b89c85758863653afa04a03b941481e18ee37aabcdfc76d031</w:t>
      </w:r>
    </w:p>
    <w:sectPr w:rsidR="00FC693F" w:rsidRPr="0006063C" w:rsidSect="00034616">
      <w:footerReference w:type="default" r:id="rId10"/>
      <w:pgSz w:w="12240" w:h="15840"/>
      <w:pgMar w:top="1037" w:right="1037" w:bottom="1037"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000000"/>
        <w:sz w:val="16"/>
      </w:rPr>
      <w:t xml:space="preserve">18 octubre 2026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000000"/>
      <w:sz w:val="30"/>
      <w:szCs w:val="28"/>
      <w:u w:val="none"/>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Display"/>
      <w:b/>
      <w:bCs/>
      <w:color w:val="000000"/>
      <w:sz w:val="24"/>
      <w:szCs w:val="26"/>
      <w:u w:val="none"/>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Display"/>
      <w:b/>
      <w:bCs/>
      <w:color w:val="000000"/>
      <w:sz w:val="21"/>
      <w:u w:val="none"/>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eastAsia="Aptos Display"/>
      <w:b/>
      <w:color w:val="000000"/>
      <w:spacing w:val="5"/>
      <w:kern w:val="28"/>
      <w:sz w:val="48"/>
      <w:szCs w:val="52"/>
      <w:u w:val="none"/>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u w:val="none"/>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controladas Gate07J FID y Post FID</dc:title>
  <dc:subject>Validación final del macroproceso estratégico</dc:subject>
  <dc:creator>P&amp;Pmis Construction AI</dc:creator>
  <cp:keywords>CPIG, arquitectura, PDRI, Capital Planning, QRA, Gate07J</cp:keywords>
  <dc:description>Validación, guías y cierre estratégico; ninguna firma de negocio es inferida.</dc:description>
  <cp:lastModifiedBy/>
  <cp:revision>4</cp:revision>
  <dcterms:created xsi:type="dcterms:W3CDTF">2013-12-23T23:15:00Z</dcterms:created>
  <dcterms:modified xsi:type="dcterms:W3CDTF">2013-12-23T23:15:00Z</dcterms:modified>
  <cp:category/>
</cp:coreProperties>
</file>