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widowControl/>
      </w:pPr>
      <w:r>
        <w:rPr>
          <w:b w:val="0"/>
        </w:rPr>
        <w:t>Aceptación empresarial del macroproceso estratégico</w:t>
      </w:r>
    </w:p>
    <w:p>
      <w:pPr>
        <w:pStyle w:val="Subtitle"/>
        <w:widowControl/>
      </w:pPr>
      <w:r>
        <w:rPr>
          <w:b w:val="0"/>
        </w:rPr>
        <w:t>P&amp;Pmis Construction AI. Capital Portfolio &amp; Investment Governance. Emisión del paquete 18 de octubre de 2026.</w:t>
      </w:r>
    </w:p>
    <w:p>
      <w:pPr>
        <w:widowControl/>
      </w:pPr>
      <w:r>
        <w:rPr>
          <w:b w:val="0"/>
        </w:rPr>
        <w:t>El paquete está preparado para revisión de 15 áreas autorizadas. No contiene firmas ni decisiones. La evidencia técnica histórica permanece disponible y la aceptación empresarial continúa pendiente.</w:t>
      </w:r>
    </w:p>
    <w:p>
      <w:pPr>
        <w:pStyle w:val="Heading1"/>
        <w:keepNext/>
        <w:keepLines/>
      </w:pPr>
      <w:r>
        <w:t>A Resumen ejecutivo de liberación</w:t>
      </w:r>
    </w:p>
    <w:p>
      <w:pPr>
        <w:widowControl/>
      </w:pPr>
      <w:r>
        <w:rPr>
          <w:b w:val="0"/>
        </w:rPr>
        <w:t>Avance empresarial 0 de 15 áreas, 0 %. ACCEPT 0; ACCEPT_WITH_CONDITIONS 0; REJECT 0; pendientes 15. Estado: UAT_SIGNOFF_PENDING.</w:t>
      </w:r>
    </w:p>
    <w:p>
      <w:pPr>
        <w:widowControl/>
      </w:pPr>
      <w:r>
        <w:rPr>
          <w:b w:val="0"/>
        </w:rPr>
        <w:t>Código guardado: main / 6672fd5da1f486e6bd571a74bb6d1e8b3337a405. La referencia original de la validación 16 fue 10a2442bfb69b97dc72f9c78e2419f157b400973. El commit actual incorpora el desarrollo guardado; sus cinco hashes de producto y nueve de fixtures coinciden con el cierre técnico. Alembic conserva 20261011_0068, sin nueva migración.</w:t>
      </w:r>
    </w:p>
    <w:p>
      <w:pPr>
        <w:widowControl/>
      </w:pPr>
      <w:r>
        <w:rPr>
          <w:b w:val="0"/>
        </w:rPr>
        <w:t>La auditoría del 18 verificó integridad de código y evidencias y preservación READ ONLY de Project 14. Después de conservar la observación inicial de servicios detenidos, se inició solo la DB privada existente y se comprobó continuidad por SQL READ ONLY. Las filas completas de ocho tablas y la selección de negocio coinciden con el corte del 16. API y Redis siguen detenidos; no se reejecutaron pruebas ni se creó aprobación.</w:t>
      </w:r>
    </w:p>
    <w:p>
      <w:pPr>
        <w:widowControl/>
      </w:pPr>
      <w:r>
        <w:rPr>
          <w:b w:val="0"/>
        </w:rPr>
        <w:t>Cada representante debe registrar exactamente una decisión: ACCEPT, ACCEPT_WITH_CONDITIONS o REJECT. Una condición requiere ID, descripción, severidad, impacto de liberación, workaround, propietario y fecha objetivo acordados. Un rechazo requiere motivo, proceso afectado, severidad, evidencia y remediación. No se infiere aceptación de silencio, asistencia, comentario no registrado o prueba técnica aprobada.</w:t>
      </w:r>
    </w:p>
    <w:p>
      <w:r>
        <w:br w:type="page"/>
      </w:r>
    </w:p>
    <w:p>
      <w:pPr>
        <w:pStyle w:val="Heading1"/>
        <w:keepNext/>
        <w:keepLines/>
      </w:pPr>
      <w:r>
        <w:t>B Alcance y propósito empresarial</w:t>
      </w:r>
    </w:p>
    <w:p>
      <w:pPr>
        <w:widowControl/>
      </w:pPr>
      <w:r>
        <w:rPr>
          <w:b w:val="0"/>
        </w:rPr>
        <w:t>El alcance cubre preparación estratégica, planificación de capital, origen de inversión, Portfolio, Five Case, fuentes gobernadas, Gate07J, Gate07K/FID y gobernanza posterior hasta inicialización y activación de Project Workspace. Project es una instancia canónica PROJECT, no una identidad paralela.</w:t>
      </w:r>
    </w:p>
    <w:p>
      <w:pPr>
        <w:widowControl/>
      </w:pPr>
      <w:r>
        <w:rPr>
          <w:b w:val="0"/>
        </w:rPr>
        <w:t>Quedan fuera Project Delivery, compras y construcción operacionales, Field Management, Operational Readiness, Asset Operations, realización operativa de beneficios, P6 directo y QRA integrado o avanzado. No se comienza ninguno automáticamente después de preparar este paquete.</w:t>
      </w:r>
    </w:p>
    <w:p>
      <w:pPr>
        <w:pStyle w:val="Heading2"/>
        <w:keepNext/>
        <w:keepLines/>
      </w:pPr>
      <w:r>
        <w:t>C Mapa de revisión del proceso</w:t>
      </w:r>
    </w:p>
    <w:p>
      <w:pPr>
        <w:widowControl/>
      </w:pPr>
      <w:r>
        <w:rPr>
          <w:b w:val="0"/>
        </w:rPr>
        <w:t>R01 a R35 son un índice de revisión de este paquete basado en la lista del prompt. No reemplazan ni equivalen uno a uno a P01-P44 del Business Process, PROC01-PROC35 de la RACI o A0-A31/B1/C1 de UAT.</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36"/>
        <w:gridCol w:w="9230"/>
      </w:tblGrid>
      <w:tr>
        <w:trPr>
          <w:cantSplit/>
          <w:tblHeader w:val="true"/>
        </w:trPr>
        <w:tc>
          <w:tcPr>
            <w:tcW w:type="dxa" w:w="93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ID</w:t>
            </w:r>
          </w:p>
        </w:tc>
        <w:tc>
          <w:tcPr>
            <w:tcW w:type="dxa" w:w="923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Actividad bajo revisión</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R01</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Enterprise Structure and Workspace</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R02</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Strategic Capital Planning</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R03</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Idea and Demand</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R04</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Business Analysis</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R05</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Project Proposal</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R06</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Strategic Gate</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R07</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Project Creation Process</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R08</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Portfolio Intake</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R09</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Portfolio Evaluation and Prioritization</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R10</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Portfolio Analysis</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R11</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Budget Planning</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R12</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Resource Planning</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R13</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Scenario Convergence</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R14</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Periodic Portfolio Review</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R15</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Five Case Business Case</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R16</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Strategic Benefits</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R17</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Commercial and Contracting Strategy</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R18</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FEL and Project Definition</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R19</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PDRI and Definition Maturity</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R20</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Basic Data Readiness</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R21</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Risk Governance</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R22</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Risk Readiness</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R23</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Permit Readiness</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R24</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Owner Capability Readiness</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R25</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Funding Readiness</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R26</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Economic and Financial Model</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R27</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QRA Foundation</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R28</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QRA Results where applicable</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R29</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Investment Gate Preparation</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R30</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Evidence Matrix</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R31</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Decision Criteria</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R32</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Investment Decision and FID</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R33</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Post FID Governance</w:t>
            </w:r>
          </w:p>
        </w:tc>
      </w:tr>
      <w:tr>
        <w:trPr>
          <w:cantSplit/>
        </w:trPr>
        <w:tc>
          <w:tcPr>
            <w:tcW w:type="dxa" w:w="9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R34</w:t>
            </w:r>
          </w:p>
        </w:tc>
        <w:tc>
          <w:tcPr>
            <w:tcW w:type="dxa" w:w="923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Project Workspace Initialization</w:t>
            </w:r>
          </w:p>
        </w:tc>
      </w:tr>
      <w:tr>
        <w:trPr>
          <w:cantSplit/>
        </w:trPr>
        <w:tc>
          <w:tcPr>
            <w:tcW w:type="dxa" w:w="9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R35</w:t>
            </w:r>
          </w:p>
        </w:tc>
        <w:tc>
          <w:tcPr>
            <w:tcW w:type="dxa" w:w="923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Project Workspace Activation</w:t>
            </w:r>
          </w:p>
        </w:tc>
      </w:tr>
    </w:tbl>
    <w:p>
      <w:pPr>
        <w:widowControl/>
      </w:pPr>
      <w:r>
        <w:rPr>
          <w:b w:val="0"/>
        </w:rPr>
      </w:r>
    </w:p>
    <w:p>
      <w:r>
        <w:br w:type="page"/>
      </w:r>
    </w:p>
    <w:p>
      <w:pPr>
        <w:pStyle w:val="Heading1"/>
        <w:keepNext/>
        <w:keepLines/>
      </w:pPr>
      <w:r>
        <w:t>D Responsabilidades ADMIN y USER</w:t>
      </w:r>
    </w:p>
    <w:p>
      <w:pPr>
        <w:widowControl/>
      </w:pPr>
      <w:r>
        <w:rPr>
          <w:b w:val="0"/>
        </w:rPr>
        <w:t>ADMIN configura y USER opera. La matriz distingue responsabilidades propuestas de permisos efectivos y de una delegación empresarial real. Deben respetarse tenant, ámbito, vigencia y separación de funciones.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4003"/>
        <w:gridCol w:w="4003"/>
      </w:tblGrid>
      <w:tr>
        <w:trPr>
          <w:cantSplit/>
          <w:tblHeader w:val="true"/>
        </w:trPr>
        <w:tc>
          <w:tcPr>
            <w:tcW w:type="dxa" w:w="216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Ámbito</w:t>
            </w:r>
          </w:p>
        </w:tc>
        <w:tc>
          <w:tcPr>
            <w:tcW w:type="dxa" w:w="4003"/>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ADMIN</w:t>
            </w:r>
          </w:p>
        </w:tc>
        <w:tc>
          <w:tcPr>
            <w:tcW w:type="dxa" w:w="4003"/>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USER</w:t>
            </w:r>
          </w:p>
        </w:tc>
      </w:tr>
      <w:tr>
        <w:trPr>
          <w:cantSplit/>
        </w:trPr>
        <w:tc>
          <w:tcPr>
            <w:tcW w:type="dxa" w:w="216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Workspace Types y estructura</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Configura y publica tipos, composición, numeración, templates y políticas.</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Opera instancias y solicita creación, inicialización y activación con permisos específicos.</w:t>
            </w:r>
          </w:p>
        </w:tc>
      </w:tr>
      <w:tr>
        <w:trPr>
          <w:cantSplit/>
        </w:trPr>
        <w:tc>
          <w:tcPr>
            <w:tcW w:type="dxa" w:w="216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Idea y Business Analysis</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Define frameworks, alternativas, criterios y exigencia contextual de BA.</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Registra, presenta, evalúa y revisa Idea y BA con separación efectiva.</w:t>
            </w:r>
          </w:p>
        </w:tc>
      </w:tr>
      <w:tr>
        <w:trPr>
          <w:cantSplit/>
        </w:trPr>
        <w:tc>
          <w:tcPr>
            <w:tcW w:type="dxa" w:w="216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Portfolio</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Publica criterios de intake, evaluación, análisis, escenarios y revisión.</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Administra membership, evalúa, prepara escenarios, recomienda y revisa.</w:t>
            </w:r>
          </w:p>
        </w:tc>
      </w:tr>
      <w:tr>
        <w:trPr>
          <w:cantSplit/>
        </w:trPr>
        <w:tc>
          <w:tcPr>
            <w:tcW w:type="dxa" w:w="216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Business Case y Benefits</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Configura estructura Five Case, política y referencias de beneficios.</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Prepara y completa revisiones con fuentes gobernadas e independencia.</w:t>
            </w:r>
          </w:p>
        </w:tc>
      </w:tr>
      <w:tr>
        <w:trPr>
          <w:cantSplit/>
        </w:trPr>
        <w:tc>
          <w:tcPr>
            <w:tcW w:type="dxa" w:w="216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FEL PDRI y Basic Data</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Publica etapas, frameworks y requisitos de datos.</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Evalúa madurez, gaps, acciones, validaciones y readiness.</w:t>
            </w:r>
          </w:p>
        </w:tc>
      </w:tr>
      <w:tr>
        <w:trPr>
          <w:cantSplit/>
        </w:trPr>
        <w:tc>
          <w:tcPr>
            <w:tcW w:type="dxa" w:w="216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Risk y Permit</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Publica apetito, capacidad, umbrales y requisitos contextuales.</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Gestiona registros y evaluaciones de riesgo y permisos, sin sustituir QRA.</w:t>
            </w:r>
          </w:p>
        </w:tc>
      </w:tr>
      <w:tr>
        <w:trPr>
          <w:cantSplit/>
        </w:trPr>
        <w:tc>
          <w:tcPr>
            <w:tcW w:type="dxa" w:w="216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Funding y FIN</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Configura reglas de fondos, readiness y modelo financiero.</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Opera fuentes, fondos, asignaciones y versiones de FIN bajo autoridad propia.</w:t>
            </w:r>
          </w:p>
        </w:tc>
      </w:tr>
      <w:tr>
        <w:trPr>
          <w:cantSplit/>
        </w:trPr>
        <w:tc>
          <w:tcPr>
            <w:tcW w:type="dxa" w:w="216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QRA</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Publica metodología y reglas Cost/Schedule y fuentes soportadas.</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Prepara modelos, ejecuta y acepta resultados con actores independientes.</w:t>
            </w:r>
          </w:p>
        </w:tc>
      </w:tr>
      <w:tr>
        <w:trPr>
          <w:cantSplit/>
        </w:trPr>
        <w:tc>
          <w:tcPr>
            <w:tcW w:type="dxa" w:w="216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Evidence Policy y Decision Criteria</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Publica matriz, clases, providers, cobertura y criterios aplicables.</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Aporta y valida evidencia y evalúa criterios sin cambiar la política efectiva.</w:t>
            </w:r>
          </w:p>
        </w:tc>
      </w:tr>
      <w:tr>
        <w:trPr>
          <w:cantSplit/>
        </w:trPr>
        <w:tc>
          <w:tcPr>
            <w:tcW w:type="dxa" w:w="216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Gate y FID</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Configura perfiles, autoridad, comité, quorum y separación de funciones.</w:t>
            </w:r>
          </w:p>
        </w:tc>
        <w:tc>
          <w:tcPr>
            <w:tcW w:type="dxa" w:w="4003"/>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Prepara, revisa, congela y decide mediante acciones distintas y autorizadas.</w:t>
            </w:r>
          </w:p>
        </w:tc>
      </w:tr>
      <w:tr>
        <w:trPr>
          <w:cantSplit/>
        </w:trPr>
        <w:tc>
          <w:tcPr>
            <w:tcW w:type="dxa" w:w="216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Post FID</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Publica condiciones, reglas de elegibilidad y límites de lifecycle.</w:t>
            </w:r>
          </w:p>
        </w:tc>
        <w:tc>
          <w:tcPr>
            <w:tcW w:type="dxa" w:w="400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Evalúa handoff y ejecuta inicialización y activación solo cuando procede.</w:t>
            </w:r>
          </w:p>
        </w:tc>
      </w:tr>
    </w:tbl>
    <w:p>
      <w:pPr>
        <w:widowControl/>
      </w:pPr>
      <w:r>
        <w:rPr>
          <w:b w:val="0"/>
        </w:rPr>
      </w:r>
    </w:p>
    <w:p>
      <w:pPr>
        <w:widowControl/>
      </w:pPr>
      <w:r>
        <w:rPr>
          <w:b w:val="0"/>
        </w:rPr>
        <w:t>La revisión de seguridad debe reconocer aislamiento tenant, RBAC, autor/publicador de política, ejecutor/aceptor QRA, preparador/revisor Gate, autoridad FID, inicializador/activador Project y validador independiente Class B. Un cambio de política solicitado se registra como cambio de negocio, no como edición silenciosa del sign-off.</w:t>
      </w:r>
    </w:p>
    <w:p>
      <w:pPr>
        <w:pStyle w:val="Heading2"/>
        <w:keepNext/>
        <w:keepLines/>
      </w:pPr>
      <w:r>
        <w:t>Autoridades propuestas para revisión</w:t>
      </w:r>
    </w:p>
    <w:p>
      <w:pPr>
        <w:widowControl/>
      </w:pPr>
      <w:r>
        <w:rPr>
          <w:b w:val="0"/>
        </w:rPr>
        <w:t>La RACI fuente E11 contiene 35 procesos. R ejecuta, A responde por la aprobación, C se consulta e I se informa. Son responsabilidades funcionales propuestas, no nombres ni delegaciones aceptadas. El revisor debe confirmar la asignación organizacional real y la independencia exigida por la política efectiva.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52"/>
        <w:gridCol w:w="3240"/>
        <w:gridCol w:w="3974"/>
      </w:tblGrid>
      <w:tr>
        <w:trPr>
          <w:cantSplit/>
          <w:tblHeader w:val="true"/>
        </w:trPr>
        <w:tc>
          <w:tcPr>
            <w:tcW w:type="dxa" w:w="295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Actividad</w:t>
            </w:r>
          </w:p>
        </w:tc>
        <w:tc>
          <w:tcPr>
            <w:tcW w:type="dxa" w:w="324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 propuesto</w:t>
            </w:r>
          </w:p>
        </w:tc>
        <w:tc>
          <w:tcPr>
            <w:tcW w:type="dxa" w:w="397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 propuesto</w:t>
            </w:r>
          </w:p>
        </w:tc>
      </w:tr>
      <w:tr>
        <w:trPr>
          <w:cantSplit/>
        </w:trPr>
        <w:tc>
          <w:tcPr>
            <w:tcW w:type="dxa" w:w="29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Publicación de configuración</w:t>
            </w:r>
          </w:p>
        </w:tc>
        <w:tc>
          <w:tcPr>
            <w:tcW w:type="dxa" w:w="324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Administrador autor</w:t>
            </w:r>
          </w:p>
        </w:tc>
        <w:tc>
          <w:tcPr>
            <w:tcW w:type="dxa" w:w="397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Publicador independiente cuando se exige</w:t>
            </w:r>
          </w:p>
        </w:tc>
      </w:tr>
      <w:tr>
        <w:trPr>
          <w:cantSplit/>
        </w:trPr>
        <w:tc>
          <w:tcPr>
            <w:tcW w:type="dxa" w:w="295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Business Case</w:t>
            </w:r>
          </w:p>
        </w:tc>
        <w:tc>
          <w:tcPr>
            <w:tcW w:type="dxa" w:w="3240"/>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Preparador Business Case</w:t>
            </w:r>
          </w:p>
        </w:tc>
        <w:tc>
          <w:tcPr>
            <w:tcW w:type="dxa" w:w="397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Revisor Business Case independiente</w:t>
            </w:r>
          </w:p>
        </w:tc>
      </w:tr>
      <w:tr>
        <w:trPr>
          <w:cantSplit/>
        </w:trPr>
        <w:tc>
          <w:tcPr>
            <w:tcW w:type="dxa" w:w="29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Modelo y resultado QRA</w:t>
            </w:r>
          </w:p>
        </w:tc>
        <w:tc>
          <w:tcPr>
            <w:tcW w:type="dxa" w:w="324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Analista QRA</w:t>
            </w:r>
          </w:p>
        </w:tc>
        <w:tc>
          <w:tcPr>
            <w:tcW w:type="dxa" w:w="397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Revisor o aceptor independiente</w:t>
            </w:r>
          </w:p>
        </w:tc>
      </w:tr>
      <w:tr>
        <w:trPr>
          <w:cantSplit/>
        </w:trPr>
        <w:tc>
          <w:tcPr>
            <w:tcW w:type="dxa" w:w="295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Gate evidence y freeze</w:t>
            </w:r>
          </w:p>
        </w:tc>
        <w:tc>
          <w:tcPr>
            <w:tcW w:type="dxa" w:w="3240"/>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Gate Preparer</w:t>
            </w:r>
          </w:p>
        </w:tc>
        <w:tc>
          <w:tcPr>
            <w:tcW w:type="dxa" w:w="397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Investment Evidence Reviewer independiente</w:t>
            </w:r>
          </w:p>
        </w:tc>
      </w:tr>
      <w:tr>
        <w:trPr>
          <w:cantSplit/>
        </w:trPr>
        <w:tc>
          <w:tcPr>
            <w:tcW w:type="dxa" w:w="29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Decisión FID</w:t>
            </w:r>
          </w:p>
        </w:tc>
        <w:tc>
          <w:tcPr>
            <w:tcW w:type="dxa" w:w="324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Investment Decision Preparer</w:t>
            </w:r>
          </w:p>
        </w:tc>
        <w:tc>
          <w:tcPr>
            <w:tcW w:type="dxa" w:w="397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Decision Maker o comité autorizado</w:t>
            </w:r>
          </w:p>
        </w:tc>
      </w:tr>
      <w:tr>
        <w:trPr>
          <w:cantSplit/>
        </w:trPr>
        <w:tc>
          <w:tcPr>
            <w:tcW w:type="dxa" w:w="29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Inicialización y activación</w:t>
            </w:r>
          </w:p>
        </w:tc>
        <w:tc>
          <w:tcPr>
            <w:tcW w:type="dxa" w:w="324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Project Workspace Initializer</w:t>
            </w:r>
          </w:p>
        </w:tc>
        <w:tc>
          <w:tcPr>
            <w:tcW w:type="dxa" w:w="397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Project Workspace Activator independiente</w:t>
            </w:r>
          </w:p>
        </w:tc>
      </w:tr>
    </w:tbl>
    <w:p>
      <w:pPr>
        <w:widowControl/>
      </w:pPr>
      <w:r>
        <w:rPr>
          <w:b w:val="0"/>
        </w:rPr>
      </w:r>
    </w:p>
    <w:p>
      <w:r>
        <w:br w:type="page"/>
      </w:r>
    </w:p>
    <w:p>
      <w:pPr>
        <w:pStyle w:val="Heading1"/>
        <w:keepNext/>
        <w:keepLines/>
      </w:pPr>
      <w:r>
        <w:t>E F G Rutas de negocio bajo aceptación</w:t>
      </w:r>
    </w:p>
    <w:p>
      <w:pPr>
        <w:pStyle w:val="Heading2"/>
        <w:keepNext/>
        <w:keepLines/>
      </w:pPr>
      <w:r>
        <w:t>E CAPITAL OWNER</w:t>
      </w:r>
    </w:p>
    <w:p>
      <w:pPr>
        <w:widowControl/>
      </w:pPr>
      <w:r>
        <w:rPr>
          <w:b w:val="0"/>
        </w:rPr>
        <w:t>Preparar y decidir una inversión de capital mediante fuentes y autoridades gobernadas.</w:t>
      </w:r>
    </w:p>
    <w:p>
      <w:pPr>
        <w:widowControl/>
      </w:pPr>
      <w:r>
        <w:rPr>
          <w:b w:val="0"/>
        </w:rPr>
        <w:t>Capital Planning → Idea → BA según política → Proposal → Strategic Gate APPROVE → Project pending → Portfolio → escenarios y convergencia → Five Case y fuentes → Gate07J freeze → Gate07K FID → Post FID → inicialización → activación independiente.</w:t>
      </w:r>
    </w:p>
    <w:p>
      <w:pPr>
        <w:widowControl/>
      </w:pPr>
      <w:r>
        <w:rPr>
          <w:b w:val="0"/>
        </w:rPr>
        <w:t>Comprobación disponible: Cadena PostgreSQL histórica 16 del Tenant 1/Portfolio 3/Project 4 y browser 1 PASS de la misma identidad. No todas las transacciones se crearon por formularios browser; no es firma empresarial ni Project Delivery.</w:t>
      </w:r>
    </w:p>
    <w:p>
      <w:pPr>
        <w:widowControl/>
      </w:pPr>
      <w:r>
        <w:rPr>
          <w:b w:val="0"/>
        </w:rPr>
        <w:t>Evidencia propuesta: E04, E07, E10, E15, E16.</w:t>
      </w:r>
    </w:p>
    <w:p>
      <w:pPr>
        <w:pStyle w:val="Heading2"/>
        <w:keepNext/>
        <w:keepLines/>
      </w:pPr>
      <w:r>
        <w:t>F CONTRACTOR DELIVERY</w:t>
      </w:r>
    </w:p>
    <w:p>
      <w:pPr>
        <w:widowControl/>
      </w:pPr>
      <w:r>
        <w:rPr>
          <w:b w:val="0"/>
        </w:rPr>
        <w:t>Crear Project desde contrato adjudicado o necesidad de entrega autorizada.</w:t>
      </w:r>
    </w:p>
    <w:p>
      <w:pPr>
        <w:widowControl/>
      </w:pPr>
      <w:r>
        <w:rPr>
          <w:b w:val="0"/>
        </w:rPr>
        <w:t>CONTRACT_AWARD → solicitud y aprobación gobernadas → Project pending → inicialización → activación independiente con autorización contractual aplicable.</w:t>
      </w:r>
    </w:p>
    <w:p>
      <w:pPr>
        <w:widowControl/>
      </w:pPr>
      <w:r>
        <w:rPr>
          <w:b w:val="0"/>
        </w:rPr>
        <w:t>Comprobación disponible: HTTP real SQLite histórico 14: ACTIVATED y FID 0→0. No Idea, Portfolio, Funding, FEL, QRA o FID por defecto; opt-in explícito puede añadir controles. Sin browser actual ni aceptación humana.</w:t>
      </w:r>
    </w:p>
    <w:p>
      <w:pPr>
        <w:widowControl/>
      </w:pPr>
      <w:r>
        <w:rPr>
          <w:b w:val="0"/>
        </w:rPr>
        <w:t>Evidencia propuesta: E01, E02, E12, E21.</w:t>
      </w:r>
    </w:p>
    <w:p>
      <w:pPr>
        <w:pStyle w:val="Heading2"/>
        <w:keepNext/>
        <w:keepLines/>
      </w:pPr>
      <w:r>
        <w:t>G DIRECT INTERNAL</w:t>
      </w:r>
    </w:p>
    <w:p>
      <w:pPr>
        <w:widowControl/>
      </w:pPr>
      <w:r>
        <w:rPr>
          <w:b w:val="0"/>
        </w:rPr>
        <w:t>Crear Project mediante autorización interna gobernada.</w:t>
      </w:r>
    </w:p>
    <w:p>
      <w:pPr>
        <w:widowControl/>
      </w:pPr>
      <w:r>
        <w:rPr>
          <w:b w:val="0"/>
        </w:rPr>
        <w:t>DIRECT_AUTHORIZATION → solicitud y aprobación gobernadas → Project pending → inicialización → activación independiente con authorization_approved cuando aplique.</w:t>
      </w:r>
    </w:p>
    <w:p>
      <w:pPr>
        <w:widowControl/>
      </w:pPr>
      <w:r>
        <w:rPr>
          <w:b w:val="0"/>
        </w:rPr>
        <w:t>Comprobación disponible: HTTP real SQLite histórico 14: ACTIVATED y FID 0→0. No impone Capital Owner por defecto; no crea FID artificial. Sin browser actual ni aceptación humana.</w:t>
      </w:r>
    </w:p>
    <w:p>
      <w:pPr>
        <w:widowControl/>
      </w:pPr>
      <w:r>
        <w:rPr>
          <w:b w:val="0"/>
        </w:rPr>
        <w:t>Evidencia propuesta: E01, E02, E13, E21.</w:t>
      </w:r>
    </w:p>
    <w:p>
      <w:r>
        <w:br w:type="page"/>
      </w:r>
    </w:p>
    <w:p>
      <w:pPr>
        <w:pStyle w:val="Heading1"/>
        <w:keepNext/>
        <w:keepLines/>
      </w:pPr>
      <w:r>
        <w:t>H Gate07J FID y Post FID</w:t>
      </w:r>
    </w:p>
    <w:p>
      <w:pPr>
        <w:widowControl/>
      </w:pPr>
      <w:r>
        <w:rPr>
          <w:b w:val="0"/>
        </w:rPr>
        <w:t>El cierre técnico 16 documenta 19 requisitos required: 15 VALID y 4 MISSING no bloqueantes por la política publicada. La fila opcional Class C es NOT_REQUIRED. La cobertura Project es 100 %, pero no se declara 19 de 19 requisitos satisfechos.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84"/>
        <w:gridCol w:w="4982"/>
      </w:tblGrid>
      <w:tr>
        <w:trPr>
          <w:cantSplit/>
          <w:tblHeader w:val="true"/>
        </w:trPr>
        <w:tc>
          <w:tcPr>
            <w:tcW w:type="dxa" w:w="518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Requisito que permanece MISSING</w:t>
            </w:r>
          </w:p>
        </w:tc>
        <w:tc>
          <w:tcPr>
            <w:tcW w:type="dxa" w:w="498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Situación publicada</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environmental-social-readiness</w:t>
            </w:r>
          </w:p>
        </w:tc>
        <w:tc>
          <w:tcPr>
            <w:tcW w:type="dxa" w:w="498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MISSING no bloqueante; no satisfecho</w:t>
            </w:r>
          </w:p>
        </w:tc>
      </w:tr>
      <w:tr>
        <w:trPr>
          <w:cantSplit/>
        </w:trPr>
        <w:tc>
          <w:tcPr>
            <w:tcW w:type="dxa" w:w="518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land-access-readiness</w:t>
            </w:r>
          </w:p>
        </w:tc>
        <w:tc>
          <w:tcPr>
            <w:tcW w:type="dxa" w:w="498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MISSING no bloqueante; no satisfecho</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stakeholder-readiness</w:t>
            </w:r>
          </w:p>
        </w:tc>
        <w:tc>
          <w:tcPr>
            <w:tcW w:type="dxa" w:w="498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MISSING no bloqueante; no satisfecho</w:t>
            </w:r>
          </w:p>
        </w:tc>
      </w:tr>
      <w:tr>
        <w:trPr>
          <w:cantSplit/>
        </w:trPr>
        <w:tc>
          <w:tcPr>
            <w:tcW w:type="dxa" w:w="518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technical-assurance</w:t>
            </w:r>
          </w:p>
        </w:tc>
        <w:tc>
          <w:tcPr>
            <w:tcW w:type="dxa" w:w="498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MISSING no bloqueante; no satisfecho</w:t>
            </w:r>
          </w:p>
        </w:tc>
      </w:tr>
    </w:tbl>
    <w:p>
      <w:pPr>
        <w:widowControl/>
      </w:pPr>
      <w:r>
        <w:rPr>
          <w:b w:val="0"/>
        </w:rPr>
      </w:r>
    </w:p>
    <w:p>
      <w:pPr>
        <w:widowControl/>
      </w:pPr>
      <w:r>
        <w:rPr>
          <w:b w:val="0"/>
        </w:rPr>
        <w:t>Los cuatro Class B controlados fueron SUBMITTED por actor 4 y VALID por revisor 5, con EACH_PROJECT y cobertura 1 de 1. Son evidencia representativa UAT, no licencias reales, contratos firmados, NTP ni autorización para ejecutar Delivery.</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84"/>
        <w:gridCol w:w="4982"/>
      </w:tblGrid>
      <w:tr>
        <w:trPr>
          <w:cantSplit/>
          <w:tblHeader w:val="true"/>
        </w:trPr>
        <w:tc>
          <w:tcPr>
            <w:tcW w:type="dxa" w:w="518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Class B</w:t>
            </w:r>
          </w:p>
        </w:tc>
        <w:tc>
          <w:tcPr>
            <w:tcW w:type="dxa" w:w="498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Control y ventana de validez capturada</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permit-readiness</w:t>
            </w:r>
          </w:p>
        </w:tc>
        <w:tc>
          <w:tcPr>
            <w:tcW w:type="dxa" w:w="498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Revisión independiente; 180 días</w:t>
            </w:r>
          </w:p>
        </w:tc>
      </w:tr>
      <w:tr>
        <w:trPr>
          <w:cantSplit/>
        </w:trPr>
        <w:tc>
          <w:tcPr>
            <w:tcW w:type="dxa" w:w="518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contracting-strategy-readiness</w:t>
            </w:r>
          </w:p>
        </w:tc>
        <w:tc>
          <w:tcPr>
            <w:tcW w:type="dxa" w:w="498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Revisión independiente; 365 días</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execution-plan-readiness</w:t>
            </w:r>
          </w:p>
        </w:tc>
        <w:tc>
          <w:tcPr>
            <w:tcW w:type="dxa" w:w="498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Revisión independiente; 365 días</w:t>
            </w:r>
          </w:p>
        </w:tc>
      </w:tr>
      <w:tr>
        <w:trPr>
          <w:cantSplit/>
        </w:trPr>
        <w:tc>
          <w:tcPr>
            <w:tcW w:type="dxa" w:w="518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schedule-maturity</w:t>
            </w:r>
          </w:p>
        </w:tc>
        <w:tc>
          <w:tcPr>
            <w:tcW w:type="dxa" w:w="498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Revisión independiente; 180 días</w:t>
            </w:r>
          </w:p>
        </w:tc>
      </w:tr>
    </w:tbl>
    <w:p>
      <w:pPr>
        <w:widowControl/>
      </w:pPr>
      <w:r>
        <w:rPr>
          <w:b w:val="0"/>
        </w:rPr>
      </w:r>
    </w:p>
    <w:p>
      <w:pPr>
        <w:widowControl/>
      </w:pPr>
      <w:r>
        <w:rPr>
          <w:b w:val="0"/>
        </w:rPr>
        <w:t>Gate07J quedó READY y FROZEN sin auto-GO. Gate07K registró PYP-FFA / GO / DECIDED, is_fid=true, investment_authorized=true y full_funds_authorized=true, sin activación automática. Inicializó actor 12 y activó actor 13 mediante comandos canónicos separados. Post-FID quedó NO_REACTIVATION_REQUIRED después de la activación. Estos actores son cuentas de UAT, no representantes de aceptación empresarial.</w:t>
      </w:r>
    </w:p>
    <w:p>
      <w:pPr>
        <w:widowControl/>
      </w:pPr>
      <w:r>
        <w:rPr>
          <w:b w:val="0"/>
        </w:rPr>
        <w:t>La aceptación debe reconocer que Recommendation no es FID; Budget FROZEN no es inversión aprobada; HOLD_FOR_CAPACITY no es Gate07K HOLD; FEL es etapa y PDRI es madurez. Funding no es Budget y FIN conserva su cálculo determinístico. QRA Cost/Schedule es contextual, no universal. Integrated QRA no está liberado. Un resultado QRA no autoriza FID, contingencia, actualización Budget ni write-back de cronograma.</w:t>
      </w:r>
    </w:p>
    <w:p>
      <w:r>
        <w:br w:type="page"/>
      </w:r>
    </w:p>
    <w:p>
      <w:pPr>
        <w:pStyle w:val="Heading1"/>
        <w:keepNext/>
        <w:keepLines/>
      </w:pPr>
      <w:r>
        <w:t>I Hallazgos conocidos para decisión</w:t>
      </w:r>
    </w:p>
    <w:p>
      <w:pPr>
        <w:widowControl/>
      </w:pPr>
      <w:r>
        <w:rPr>
          <w:b w:val="0"/>
        </w:rPr>
        <w:t>Los seis hallazgos siguientes permanecen OPEN. Ninguno está aceptado como condición de negocio. Propietarios, fechas y decisiones requieren acuerdo autorizado y permanecen vacíos en los formularios y el tracker.</w:t>
      </w:r>
    </w:p>
    <w:p>
      <w:pPr>
        <w:pStyle w:val="Heading2"/>
        <w:keepNext/>
        <w:keepLines/>
      </w:pPr>
      <w:r>
        <w:t>UAT S3 006 S3 MAJOR</w:t>
      </w:r>
    </w:p>
    <w:p>
      <w:pPr>
        <w:keepNext/>
        <w:widowControl/>
      </w:pPr>
      <w:r>
        <w:rPr>
          <w:b/>
        </w:rPr>
        <w:t>Home omite responsable y plantilla y el filtro por responsable puede omitir Project</w:t>
      </w:r>
    </w:p>
    <w:p>
      <w:pPr>
        <w:keepNext/>
        <w:widowControl/>
      </w:pPr>
      <w:r>
        <w:rPr>
          <w:b w:val="0"/>
        </w:rPr>
        <w:t>Presentación, lista, filtro y ETag; no hay evidencia actual de consumo en autorización, lifecycle, elegibilidad o selección. No certifica clientes externos.</w:t>
      </w:r>
    </w:p>
    <w:p>
      <w:pPr>
        <w:keepNext/>
        <w:widowControl/>
      </w:pPr>
      <w:r>
        <w:rPr>
          <w:b w:val="0"/>
        </w:rPr>
        <w:t>Workaround: Overview canónico, Enterprise Explorer o ruta directa sin filtro por responsable.</w:t>
      </w:r>
    </w:p>
    <w:p>
      <w:pPr>
        <w:widowControl/>
      </w:pPr>
      <w:r>
        <w:rPr>
          <w:b w:val="0"/>
        </w:rPr>
        <w:t>Evidencia propuesta: E17, E18.</w:t>
      </w:r>
    </w:p>
    <w:p>
      <w:pPr>
        <w:pStyle w:val="Heading2"/>
        <w:keepNext/>
        <w:keepLines/>
      </w:pPr>
      <w:r>
        <w:t>UAT S4 001 S4 MINOR</w:t>
      </w:r>
    </w:p>
    <w:p>
      <w:pPr>
        <w:keepNext/>
        <w:widowControl/>
      </w:pPr>
      <w:r>
        <w:rPr>
          <w:b/>
        </w:rPr>
        <w:t>Navegación puede mostrar rutas no aplicables</w:t>
      </w:r>
    </w:p>
    <w:p>
      <w:pPr>
        <w:keepNext/>
        <w:widowControl/>
      </w:pPr>
      <w:r>
        <w:rPr>
          <w:b w:val="0"/>
        </w:rPr>
        <w:t>La presencia en el menú no significa requisito ni otorga autoridad.</w:t>
      </w:r>
    </w:p>
    <w:p>
      <w:pPr>
        <w:keepNext/>
        <w:widowControl/>
      </w:pPr>
      <w:r>
        <w:rPr>
          <w:b w:val="0"/>
        </w:rPr>
        <w:t>Workaround: Usar elegibilidad y allowed_actions del backend.</w:t>
      </w:r>
    </w:p>
    <w:p>
      <w:pPr>
        <w:widowControl/>
      </w:pPr>
      <w:r>
        <w:rPr>
          <w:b w:val="0"/>
        </w:rPr>
        <w:t>Evidencia propuesta: E19.</w:t>
      </w:r>
    </w:p>
    <w:p>
      <w:pPr>
        <w:pStyle w:val="Heading2"/>
        <w:keepNext/>
        <w:keepLines/>
      </w:pPr>
      <w:r>
        <w:t>UAT S4 002 S4 MINOR</w:t>
      </w:r>
    </w:p>
    <w:p>
      <w:pPr>
        <w:keepNext/>
        <w:widowControl/>
      </w:pPr>
      <w:r>
        <w:rPr>
          <w:b/>
        </w:rPr>
        <w:t>Renderers legacy de Business Case pendientes de deprecación</w:t>
      </w:r>
    </w:p>
    <w:p>
      <w:pPr>
        <w:keepNext/>
        <w:widowControl/>
      </w:pPr>
      <w:r>
        <w:rPr>
          <w:b w:val="0"/>
        </w:rPr>
        <w:t>Once renderers fuera del registro canónico pueden tener consumidores externos aún no confirmados.</w:t>
      </w:r>
    </w:p>
    <w:p>
      <w:pPr>
        <w:keepNext/>
        <w:widowControl/>
      </w:pPr>
      <w:r>
        <w:rPr>
          <w:b w:val="0"/>
        </w:rPr>
        <w:t>Workaround: Usar rutas canónicas Five Case; no retirar enlaces históricos sin revisar consumidores.</w:t>
      </w:r>
    </w:p>
    <w:p>
      <w:pPr>
        <w:widowControl/>
      </w:pPr>
      <w:r>
        <w:rPr>
          <w:b w:val="0"/>
        </w:rPr>
        <w:t>Evidencia propuesta: E19.</w:t>
      </w:r>
    </w:p>
    <w:p>
      <w:pPr>
        <w:pStyle w:val="Heading2"/>
        <w:keepNext/>
        <w:keepLines/>
      </w:pPr>
      <w:r>
        <w:t>UAT S4 003 S4 MINOR</w:t>
      </w:r>
    </w:p>
    <w:p>
      <w:pPr>
        <w:keepNext/>
        <w:widowControl/>
      </w:pPr>
      <w:r>
        <w:rPr>
          <w:b/>
        </w:rPr>
        <w:t>Clasificación metadata de Explorer incompleta</w:t>
      </w:r>
    </w:p>
    <w:p>
      <w:pPr>
        <w:keepNext/>
        <w:widowControl/>
      </w:pPr>
      <w:r>
        <w:rPr>
          <w:b w:val="0"/>
        </w:rPr>
        <w:t>READ_ONLY_SHARED no describe sus transacciones USER protegidas; no es un control de seguridad.</w:t>
      </w:r>
    </w:p>
    <w:p>
      <w:pPr>
        <w:keepNext/>
        <w:widowControl/>
      </w:pPr>
      <w:r>
        <w:rPr>
          <w:b w:val="0"/>
        </w:rPr>
        <w:t>Workaround: Distinguir lectura compartida de creación y lifecycle USER según guías.</w:t>
      </w:r>
    </w:p>
    <w:p>
      <w:pPr>
        <w:widowControl/>
      </w:pPr>
      <w:r>
        <w:rPr>
          <w:b w:val="0"/>
        </w:rPr>
        <w:t>Evidencia propuesta: E03, E19.</w:t>
      </w:r>
    </w:p>
    <w:p>
      <w:pPr>
        <w:pStyle w:val="Heading2"/>
        <w:keepNext/>
        <w:keepLines/>
      </w:pPr>
      <w:r>
        <w:t>UAT S4 004 S4 MINOR</w:t>
      </w:r>
    </w:p>
    <w:p>
      <w:pPr>
        <w:keepNext/>
        <w:widowControl/>
      </w:pPr>
      <w:r>
        <w:rPr>
          <w:b/>
        </w:rPr>
        <w:t>Desbordamiento de hashes texto y badges en Gate</w:t>
      </w:r>
    </w:p>
    <w:p>
      <w:pPr>
        <w:keepNext/>
        <w:widowControl/>
      </w:pPr>
      <w:r>
        <w:rPr>
          <w:b w:val="0"/>
        </w:rPr>
        <w:t>Legibilidad de tarjetas; reobservado en la captura técnica final.</w:t>
      </w:r>
    </w:p>
    <w:p>
      <w:pPr>
        <w:keepNext/>
        <w:widowControl/>
      </w:pPr>
      <w:r>
        <w:rPr>
          <w:b w:val="0"/>
        </w:rPr>
        <w:t>Workaround: Viewport amplio y consulta de evidencia API histórica; pendiente ajuste focalizado de wrapping.</w:t>
      </w:r>
    </w:p>
    <w:p>
      <w:pPr>
        <w:widowControl/>
      </w:pPr>
      <w:r>
        <w:rPr>
          <w:b w:val="0"/>
        </w:rPr>
        <w:t>Evidencia propuesta: E16, E19.</w:t>
      </w:r>
    </w:p>
    <w:p>
      <w:pPr>
        <w:pStyle w:val="Heading2"/>
        <w:keepNext/>
        <w:keepLines/>
      </w:pPr>
      <w:r>
        <w:t>UAT S4 005 S4 MINOR</w:t>
      </w:r>
    </w:p>
    <w:p>
      <w:pPr>
        <w:keepNext/>
        <w:widowControl/>
      </w:pPr>
      <w:r>
        <w:rPr>
          <w:b/>
        </w:rPr>
        <w:t>Navegación móvil extensa y orden visual confuso</w:t>
      </w:r>
    </w:p>
    <w:p>
      <w:pPr>
        <w:keepNext/>
        <w:widowControl/>
      </w:pPr>
      <w:r>
        <w:rPr>
          <w:b w:val="0"/>
        </w:rPr>
        <w:t>En 390 px la navegación ocupa aproximadamente 3700 px antes del contenido.</w:t>
      </w:r>
    </w:p>
    <w:p>
      <w:pPr>
        <w:keepNext/>
        <w:widowControl/>
      </w:pPr>
      <w:r>
        <w:rPr>
          <w:b w:val="0"/>
        </w:rPr>
        <w:t>Workaround: Colapsar navegación o usar escritorio.</w:t>
      </w:r>
    </w:p>
    <w:p>
      <w:pPr>
        <w:widowControl/>
      </w:pPr>
      <w:r>
        <w:rPr>
          <w:b w:val="0"/>
        </w:rPr>
        <w:t>Evidencia propuesta: E19.</w:t>
      </w:r>
    </w:p>
    <w:p>
      <w:pPr>
        <w:pStyle w:val="Heading2"/>
        <w:keepNext/>
        <w:keepLines/>
      </w:pPr>
      <w:r>
        <w:t>Observaciones de consistencia visual</w:t>
      </w:r>
    </w:p>
    <w:p>
      <w:pPr>
        <w:keepNext/>
        <w:widowControl/>
      </w:pPr>
      <w:r>
        <w:rPr>
          <w:b/>
        </w:rPr>
        <w:t>OBS-UI-01. Gate header BLOCKED Governance con cuerpo READY_FOR_INVESTMENT_DECISION</w:t>
      </w:r>
    </w:p>
    <w:p>
      <w:pPr>
        <w:widowControl/>
      </w:pPr>
      <w:r>
        <w:rPr>
          <w:b w:val="0"/>
        </w:rPr>
        <w:t>Lectura inconsistente de estados; se conserva la observación literal sin explicación causal no verificada. Revisar readiness, handoff y paquete autoritativo junto con la captura; no reescribir backend.</w:t>
      </w:r>
    </w:p>
    <w:p>
      <w:pPr>
        <w:keepNext/>
        <w:widowControl/>
      </w:pPr>
      <w:r>
        <w:rPr>
          <w:b/>
        </w:rPr>
        <w:t>OBS-UI-02. Post FID presenta guiones en columnas con API ACTIVATED</w:t>
      </w:r>
    </w:p>
    <w:p>
      <w:pPr>
        <w:widowControl/>
      </w:pPr>
      <w:r>
        <w:rPr>
          <w:b w:val="0"/>
        </w:rPr>
        <w:t>Columnas de inicialización y activación no muestran el lifecycle autoritativo cuando flags de elegibilidad son falsos. Consultar initialization_state autoritativo y Overview; no inferir un estado nuevo desde guiones.</w:t>
      </w:r>
    </w:p>
    <w:p>
      <w:pPr>
        <w:widowControl/>
      </w:pPr>
      <w:r>
        <w:rPr>
          <w:b w:val="0"/>
        </w:rPr>
        <w:t>UAT-S3-006 exige reconocimiento expreso por la posible omisión de Project al filtrar por responsable. El revisor elegirá aceptar una condición, rechazar la liberación o proponer reclasificación con justificación. No se cambia el backend para ajustar estados a su presentación.</w:t>
      </w:r>
    </w:p>
    <w:p>
      <w:r>
        <w:br w:type="page"/>
      </w:r>
    </w:p>
    <w:p>
      <w:pPr>
        <w:pStyle w:val="Heading1"/>
        <w:keepNext/>
        <w:keepLines/>
      </w:pPr>
      <w:r>
        <w:t>J Documentación de negocio y evidencia</w:t>
      </w:r>
    </w:p>
    <w:p>
      <w:pPr>
        <w:widowControl/>
      </w:pPr>
      <w:r>
        <w:rPr>
          <w:b w:val="0"/>
        </w:rPr>
        <w:t>El paquete utiliza las versiones controladas E01 a E06 sin reescribir las fuentes. Cada revisor registrará para cada documento ACCEPTABLE, ACCEPTABLE_WITH_CORRECTIONS o NOT_ACCEPTABLE; la decisión documental se conserva vacía hasta revisión real.</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35"/>
        <w:gridCol w:w="6509"/>
        <w:gridCol w:w="2822"/>
      </w:tblGrid>
      <w:tr>
        <w:trPr>
          <w:cantSplit/>
          <w:tblHeader w:val="true"/>
        </w:trPr>
        <w:tc>
          <w:tcPr>
            <w:tcW w:type="dxa" w:w="835"/>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ID</w:t>
            </w:r>
          </w:p>
        </w:tc>
        <w:tc>
          <w:tcPr>
            <w:tcW w:type="dxa" w:w="6509"/>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Documento y revisión</w:t>
            </w:r>
          </w:p>
        </w:tc>
        <w:tc>
          <w:tcPr>
            <w:tcW w:type="dxa" w:w="282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Aceptación registrada</w:t>
            </w:r>
          </w:p>
        </w:tc>
      </w:tr>
      <w:tr>
        <w:trPr>
          <w:cantSplit/>
        </w:trPr>
        <w:tc>
          <w:tcPr>
            <w:tcW w:type="dxa" w:w="835"/>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DOC01</w:t>
            </w:r>
          </w:p>
        </w:tc>
        <w:tc>
          <w:tcPr>
            <w:tcW w:type="dxa" w:w="6509"/>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Strategic Macroprocess Business Process</w:t>
              <w:br/>
              <w:t>Corte del 14 de octubre de 2026</w:t>
            </w:r>
          </w:p>
        </w:tc>
        <w:tc>
          <w:tcPr>
            <w:tcW w:type="dxa" w:w="282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DOC02</w:t>
            </w:r>
          </w:p>
        </w:tc>
        <w:tc>
          <w:tcPr>
            <w:tcW w:type="dxa" w:w="6509"/>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User Guide</w:t>
              <w:br/>
              <w:t>Corte del 14 de octubre de 2026 más addendum de vigencia del 18 de octubre</w:t>
            </w:r>
          </w:p>
        </w:tc>
        <w:tc>
          <w:tcPr>
            <w:tcW w:type="dxa" w:w="282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DOC03</w:t>
            </w:r>
          </w:p>
        </w:tc>
        <w:tc>
          <w:tcPr>
            <w:tcW w:type="dxa" w:w="6509"/>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Administration Guide</w:t>
              <w:br/>
              <w:t>Remediación del 15 de octubre de 2026 más addendum de vigencia del 18 de octubre</w:t>
            </w:r>
          </w:p>
        </w:tc>
        <w:tc>
          <w:tcPr>
            <w:tcW w:type="dxa" w:w="282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DOC04</w:t>
            </w:r>
          </w:p>
        </w:tc>
        <w:tc>
          <w:tcPr>
            <w:tcW w:type="dxa" w:w="6509"/>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UAT Plan and Results</w:t>
              <w:br/>
              <w:t>Cierre del 16 de octubre de 2026</w:t>
            </w:r>
          </w:p>
        </w:tc>
        <w:tc>
          <w:tcPr>
            <w:tcW w:type="dxa" w:w="282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DOC05</w:t>
            </w:r>
          </w:p>
        </w:tc>
        <w:tc>
          <w:tcPr>
            <w:tcW w:type="dxa" w:w="6509"/>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UAT Traceability</w:t>
              <w:br/>
              <w:t>Cierre del 16 de octubre de 2026</w:t>
            </w:r>
          </w:p>
        </w:tc>
        <w:tc>
          <w:tcPr>
            <w:tcW w:type="dxa" w:w="282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835"/>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DOC06</w:t>
            </w:r>
          </w:p>
        </w:tc>
        <w:tc>
          <w:tcPr>
            <w:tcW w:type="dxa" w:w="6509"/>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Final Release Closeout</w:t>
              <w:br/>
              <w:t>Cierre del 16 de octubre de 2026</w:t>
            </w:r>
          </w:p>
        </w:tc>
        <w:tc>
          <w:tcPr>
            <w:tcW w:type="dxa" w:w="282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pStyle w:val="Heading2"/>
        <w:keepNext/>
        <w:keepLines/>
      </w:pPr>
      <w:r>
        <w:t>Addendum de vigencia documental</w:t>
      </w:r>
    </w:p>
    <w:p>
      <w:pPr>
        <w:widowControl/>
      </w:pPr>
      <w:r>
        <w:rPr>
          <w:b w:val="0"/>
        </w:rPr>
        <w:t>El Admin Guide 15 conserva la frase histórica NO GO de su corte. La conclusión técnica vigente para este paquete es la del Final Release Closeout 16, no una reescritura del texto 15. No existe aún aceptación empresarial.</w:t>
      </w:r>
    </w:p>
    <w:p>
      <w:pPr>
        <w:widowControl/>
      </w:pPr>
      <w:r>
        <w:rPr>
          <w:b w:val="0"/>
        </w:rPr>
        <w:t>El User Guide 14 conserva A31 y sus límites. El cierre 16 acreditó comandos separados de inicialización y activación y Post FID NO_REACTIVATION_REQUIRED. La evidencia controlada 18 solo verifica integridad del baseline; no representa una nueva ejecución de esa cadena.</w:t>
      </w:r>
    </w:p>
    <w:p>
      <w:pPr>
        <w:widowControl/>
      </w:pPr>
      <w:r>
        <w:rPr>
          <w:b w:val="0"/>
        </w:rPr>
        <w:t>Los cuatro Class B son referencias representativas UAT sometidas a validación independiente y cobertura EACH_PROJECT. No certifican licencias reales, contratos firmados, ejecución ni NTP.</w:t>
      </w:r>
    </w:p>
    <w:p>
      <w:pPr>
        <w:widowControl/>
      </w:pPr>
      <w:r>
        <w:rPr>
          <w:b w:val="0"/>
        </w:rPr>
        <w:t>La matriz Gate conserva 19 required con 15 VALID y 4 MISSING no bloqueantes. La fila opcional Class C es NOT_REQUIRED. El representante debe reconocer los cuatro MISSING expresamente; no se consideran satisfechos.</w:t>
      </w:r>
    </w:p>
    <w:p>
      <w:pPr>
        <w:widowControl/>
      </w:pPr>
      <w:r>
        <w:rPr>
          <w:b w:val="0"/>
        </w:rPr>
        <w:t>Se mantienen abiertos S3-006 y S4-001 a 005 y se divulgan las dos observaciones UI. El PASS funcional no acredita presentación íntegramente limpia.</w:t>
      </w:r>
    </w:p>
    <w:p>
      <w:pPr>
        <w:widowControl/>
      </w:pPr>
      <w:r>
        <w:rPr>
          <w:b w:val="0"/>
        </w:rPr>
        <w:t>Final Release Closeout 16 permanece byte-idéntico: solo se actualizará con la sección de Business Sign-Off después de decisiones empresariales reales, preservando su conclusión e historia técnica.</w:t>
      </w:r>
    </w:p>
    <w:p>
      <w:r>
        <w:br w:type="page"/>
      </w:r>
    </w:p>
    <w:p>
      <w:pPr>
        <w:pStyle w:val="Heading1"/>
        <w:keepNext/>
        <w:keepLines/>
      </w:pPr>
      <w:r>
        <w:t>Registro de evidencias propuestas</w:t>
      </w:r>
    </w:p>
    <w:p>
      <w:pPr>
        <w:widowControl/>
      </w:pPr>
      <w:r>
        <w:rPr>
          <w:b w:val="0"/>
        </w:rPr>
        <w:t>Las referencias siguientes identifican las fuentes de revisión. Sus rutas, clasificación y límites de prueba están en la hoja 04 del tracker; los hashes constan en el manifiesto controlado del paquete. La revisión técnica histórica no constituye aceptación humana; E23 es continuidad SQL actual, no un E2E nuevo.</w:t>
      </w:r>
    </w:p>
    <w:p>
      <w:pPr>
        <w:widowControl/>
      </w:pPr>
      <w:r>
        <w:rPr>
          <w:b w:val="0"/>
        </w:rPr>
        <w:t>E01 Business Process. Corte 2026-10-14.</w:t>
      </w:r>
    </w:p>
    <w:p>
      <w:pPr>
        <w:widowControl/>
      </w:pPr>
      <w:r>
        <w:rPr>
          <w:b w:val="0"/>
        </w:rPr>
        <w:t>E02 User Guide. Corte 2026-10-14.</w:t>
      </w:r>
    </w:p>
    <w:p>
      <w:pPr>
        <w:widowControl/>
      </w:pPr>
      <w:r>
        <w:rPr>
          <w:b w:val="0"/>
        </w:rPr>
        <w:t>E03 Admin Guide. Corte 2026-10-15.</w:t>
      </w:r>
    </w:p>
    <w:p>
      <w:pPr>
        <w:widowControl/>
      </w:pPr>
      <w:r>
        <w:rPr>
          <w:b w:val="0"/>
        </w:rPr>
        <w:t>E04 UAT Plan and Results. Corte 2026-10-16.</w:t>
      </w:r>
    </w:p>
    <w:p>
      <w:pPr>
        <w:widowControl/>
      </w:pPr>
      <w:r>
        <w:rPr>
          <w:b w:val="0"/>
        </w:rPr>
        <w:t>E05 UAT Traceability. Corte 2026-10-16.</w:t>
      </w:r>
    </w:p>
    <w:p>
      <w:pPr>
        <w:widowControl/>
      </w:pPr>
      <w:r>
        <w:rPr>
          <w:b w:val="0"/>
        </w:rPr>
        <w:t>E06 Final Release Closeout. Corte 2026-10-16.</w:t>
      </w:r>
    </w:p>
    <w:p>
      <w:pPr>
        <w:widowControl/>
      </w:pPr>
      <w:r>
        <w:rPr>
          <w:b w:val="0"/>
        </w:rPr>
        <w:t>E07 Resultados técnicos consolidados. Corte 2026-10-16.</w:t>
      </w:r>
    </w:p>
    <w:p>
      <w:pPr>
        <w:widowControl/>
      </w:pPr>
      <w:r>
        <w:rPr>
          <w:b w:val="0"/>
        </w:rPr>
        <w:t>E08 Auditoría actual de baseline y Project 14. Corte 2026-10-18.</w:t>
      </w:r>
    </w:p>
    <w:p>
      <w:pPr>
        <w:widowControl/>
      </w:pPr>
      <w:r>
        <w:rPr>
          <w:b w:val="0"/>
        </w:rPr>
        <w:t>E09 Regresión broad final. Corte 2026-10-16.</w:t>
      </w:r>
    </w:p>
    <w:p>
      <w:pPr>
        <w:widowControl/>
      </w:pPr>
      <w:r>
        <w:rPr>
          <w:b w:val="0"/>
        </w:rPr>
        <w:t>E10 Recorrido Chromium Capital Owner. Corte 2026-10-16.</w:t>
      </w:r>
    </w:p>
    <w:p>
      <w:pPr>
        <w:widowControl/>
      </w:pPr>
      <w:r>
        <w:rPr>
          <w:b w:val="0"/>
        </w:rPr>
        <w:t>E11 RACI y responsabilidades reales propuestas. Corte 2026-10-14.</w:t>
      </w:r>
    </w:p>
    <w:p>
      <w:pPr>
        <w:widowControl/>
      </w:pPr>
      <w:r>
        <w:rPr>
          <w:b w:val="0"/>
        </w:rPr>
        <w:t>E12 Contractor Delivery hasta activación. Corte 2026-10-14.</w:t>
      </w:r>
    </w:p>
    <w:p>
      <w:pPr>
        <w:widowControl/>
      </w:pPr>
      <w:r>
        <w:rPr>
          <w:b w:val="0"/>
        </w:rPr>
        <w:t>E13 Direct Internal hasta activación. Corte 2026-10-14.</w:t>
      </w:r>
    </w:p>
    <w:p>
      <w:pPr>
        <w:widowControl/>
      </w:pPr>
      <w:r>
        <w:rPr>
          <w:b w:val="0"/>
        </w:rPr>
        <w:t>E14 Validación Class B controlada. Corte 2026-10-16.</w:t>
      </w:r>
    </w:p>
    <w:p>
      <w:pPr>
        <w:widowControl/>
      </w:pPr>
      <w:r>
        <w:rPr>
          <w:b w:val="0"/>
        </w:rPr>
        <w:t>E15 Cadena Capital Owner persistente. Corte 2026-10-16.</w:t>
      </w:r>
    </w:p>
    <w:p>
      <w:pPr>
        <w:widowControl/>
      </w:pPr>
      <w:r>
        <w:rPr>
          <w:b w:val="0"/>
        </w:rPr>
        <w:t>E16 Revisión visual y limitaciones Chromium. Corte 2026-10-16.</w:t>
      </w:r>
    </w:p>
    <w:p>
      <w:pPr>
        <w:widowControl/>
      </w:pPr>
      <w:r>
        <w:rPr>
          <w:b w:val="0"/>
        </w:rPr>
        <w:t>E17 Overview canónico Project 4. Corte 2026-10-16.</w:t>
      </w:r>
    </w:p>
    <w:p>
      <w:pPr>
        <w:widowControl/>
      </w:pPr>
      <w:r>
        <w:rPr>
          <w:b w:val="0"/>
        </w:rPr>
        <w:t>E18 Auditoría consumidores de Home. Corte 2026-10-16.</w:t>
      </w:r>
    </w:p>
    <w:p>
      <w:pPr>
        <w:widowControl/>
      </w:pPr>
      <w:r>
        <w:rPr>
          <w:b w:val="0"/>
        </w:rPr>
        <w:t>E19 Registro previo de hallazgos S4. Corte 2026-10-15.</w:t>
      </w:r>
    </w:p>
    <w:p>
      <w:pPr>
        <w:widowControl/>
      </w:pPr>
      <w:r>
        <w:rPr>
          <w:b w:val="0"/>
        </w:rPr>
        <w:t>E20 Home Project 4 con omisión metadata. Corte 2026-10-16.</w:t>
      </w:r>
    </w:p>
    <w:p>
      <w:pPr>
        <w:widowControl/>
      </w:pPr>
      <w:r>
        <w:rPr>
          <w:b w:val="0"/>
        </w:rPr>
        <w:t>E21 Rutas compactas JUnit. Corte 2026-10-14.</w:t>
      </w:r>
    </w:p>
    <w:p>
      <w:pPr>
        <w:widowControl/>
      </w:pPr>
      <w:r>
        <w:rPr>
          <w:b w:val="0"/>
        </w:rPr>
        <w:t>E22 Rutas de guías ADMIN y USER. Corte 2026-10-14.</w:t>
      </w:r>
    </w:p>
    <w:p>
      <w:pPr>
        <w:widowControl/>
      </w:pPr>
      <w:r>
        <w:rPr>
          <w:b w:val="0"/>
        </w:rPr>
        <w:t>E23 Continuidad persistida actual en SQL READ ONLY. Corte 2026-10-18.</w:t>
      </w:r>
    </w:p>
    <w:p>
      <w:r>
        <w:br w:type="page"/>
      </w:r>
    </w:p>
    <w:p>
      <w:pPr>
        <w:pStyle w:val="Heading1"/>
        <w:keepNext/>
        <w:keepLines/>
      </w:pPr>
      <w:r>
        <w:t>K Matriz de áreas y formularios de aprobación</w:t>
      </w:r>
    </w:p>
    <w:p>
      <w:pPr>
        <w:widowControl/>
      </w:pPr>
      <w:r>
        <w:rPr>
          <w:b w:val="0"/>
        </w:rPr>
        <w:t>La matriz resume cobertura y estado de registro; no anticipa el resultado de una revisión. Las 15 páginas de formulario posteriores capturan los 12 campos de cada área. La evidencia propuesta está separada de la evidencia efectivamente revisada.</w:t>
      </w:r>
    </w:p>
    <w:p>
      <w:pPr>
        <w:widowControl/>
      </w:pPr>
      <w:r>
        <w:rPr>
          <w:b w:val="0"/>
        </w:rPr>
        <w:t>El tracker contiene la matriz completa de sign-off con representante, rol, evidencia revisada, decisión, condiciones, propietario, plazo y aprobación. En este documento el índice siguiente remite a los formularios de captura, sin prellenar esos campos humanos.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824"/>
        <w:gridCol w:w="2606"/>
        <w:gridCol w:w="2736"/>
      </w:tblGrid>
      <w:tr>
        <w:trPr>
          <w:cantSplit/>
          <w:tblHeader w:val="true"/>
        </w:trPr>
        <w:tc>
          <w:tcPr>
            <w:tcW w:type="dxa" w:w="482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Área</w:t>
            </w:r>
          </w:p>
        </w:tc>
        <w:tc>
          <w:tcPr>
            <w:tcW w:type="dxa" w:w="260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Cobertura propuesta</w:t>
            </w:r>
          </w:p>
        </w:tc>
        <w:tc>
          <w:tcPr>
            <w:tcW w:type="dxa" w:w="273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Estado de registro</w:t>
            </w:r>
          </w:p>
        </w:tc>
      </w:tr>
      <w:tr>
        <w:trPr>
          <w:cantSplit/>
        </w:trPr>
        <w:tc>
          <w:tcPr>
            <w:tcW w:type="dxa" w:w="482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BA01 Enterprise / Strategic Governance</w:t>
            </w:r>
          </w:p>
        </w:tc>
        <w:tc>
          <w:tcPr>
            <w:tcW w:type="dxa" w:w="26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R01, R06, R14, R32</w:t>
            </w:r>
          </w:p>
        </w:tc>
        <w:tc>
          <w:tcPr>
            <w:tcW w:type="dxa" w:w="27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BA02 Enterprise Structure &amp; Workspace Governance</w:t>
            </w:r>
          </w:p>
        </w:tc>
        <w:tc>
          <w:tcPr>
            <w:tcW w:type="dxa" w:w="26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R01, R07, R34, R35</w:t>
            </w:r>
          </w:p>
        </w:tc>
        <w:tc>
          <w:tcPr>
            <w:tcW w:type="dxa" w:w="27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BA03 Capital Planning</w:t>
            </w:r>
          </w:p>
        </w:tc>
        <w:tc>
          <w:tcPr>
            <w:tcW w:type="dxa" w:w="26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R02</w:t>
            </w:r>
          </w:p>
        </w:tc>
        <w:tc>
          <w:tcPr>
            <w:tcW w:type="dxa" w:w="27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BA04 Investment Origination</w:t>
            </w:r>
          </w:p>
        </w:tc>
        <w:tc>
          <w:tcPr>
            <w:tcW w:type="dxa" w:w="26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R03, R04, R05, R06</w:t>
            </w:r>
          </w:p>
        </w:tc>
        <w:tc>
          <w:tcPr>
            <w:tcW w:type="dxa" w:w="27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BA05 Portfolio Management</w:t>
            </w:r>
          </w:p>
        </w:tc>
        <w:tc>
          <w:tcPr>
            <w:tcW w:type="dxa" w:w="26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R08, R09, R10, R13, R14</w:t>
            </w:r>
          </w:p>
        </w:tc>
        <w:tc>
          <w:tcPr>
            <w:tcW w:type="dxa" w:w="27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BA06 Project Controls / Planning</w:t>
            </w:r>
          </w:p>
        </w:tc>
        <w:tc>
          <w:tcPr>
            <w:tcW w:type="dxa" w:w="26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R12, R20</w:t>
            </w:r>
          </w:p>
        </w:tc>
        <w:tc>
          <w:tcPr>
            <w:tcW w:type="dxa" w:w="27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BA07 Cost / Budget / Resource Governance</w:t>
            </w:r>
          </w:p>
        </w:tc>
        <w:tc>
          <w:tcPr>
            <w:tcW w:type="dxa" w:w="26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R11, R12, R13</w:t>
            </w:r>
          </w:p>
        </w:tc>
        <w:tc>
          <w:tcPr>
            <w:tcW w:type="dxa" w:w="27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BA08 Business Case / Investment Development</w:t>
            </w:r>
          </w:p>
        </w:tc>
        <w:tc>
          <w:tcPr>
            <w:tcW w:type="dxa" w:w="26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R15, R16</w:t>
            </w:r>
          </w:p>
        </w:tc>
        <w:tc>
          <w:tcPr>
            <w:tcW w:type="dxa" w:w="27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BA09 Technical Assurance / FEL / Definition Maturity</w:t>
            </w:r>
          </w:p>
        </w:tc>
        <w:tc>
          <w:tcPr>
            <w:tcW w:type="dxa" w:w="26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R18, R19, R20, R24</w:t>
            </w:r>
          </w:p>
        </w:tc>
        <w:tc>
          <w:tcPr>
            <w:tcW w:type="dxa" w:w="27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BA10 Risk / Permits</w:t>
            </w:r>
          </w:p>
        </w:tc>
        <w:tc>
          <w:tcPr>
            <w:tcW w:type="dxa" w:w="26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R21, R22, R23</w:t>
            </w:r>
          </w:p>
        </w:tc>
        <w:tc>
          <w:tcPr>
            <w:tcW w:type="dxa" w:w="27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BA11 Commercial &amp; Contracting</w:t>
            </w:r>
          </w:p>
        </w:tc>
        <w:tc>
          <w:tcPr>
            <w:tcW w:type="dxa" w:w="26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R17</w:t>
            </w:r>
          </w:p>
        </w:tc>
        <w:tc>
          <w:tcPr>
            <w:tcW w:type="dxa" w:w="27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BA12 Finance / Funding / Economic Model</w:t>
            </w:r>
          </w:p>
        </w:tc>
        <w:tc>
          <w:tcPr>
            <w:tcW w:type="dxa" w:w="26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R25, R26</w:t>
            </w:r>
          </w:p>
        </w:tc>
        <w:tc>
          <w:tcPr>
            <w:tcW w:type="dxa" w:w="27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BA13 QRA / Quantitative Risk Analysis</w:t>
            </w:r>
          </w:p>
        </w:tc>
        <w:tc>
          <w:tcPr>
            <w:tcW w:type="dxa" w:w="26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R27, R28</w:t>
            </w:r>
          </w:p>
        </w:tc>
        <w:tc>
          <w:tcPr>
            <w:tcW w:type="dxa" w:w="27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BA14 Investment Gate / FID Authority</w:t>
            </w:r>
          </w:p>
        </w:tc>
        <w:tc>
          <w:tcPr>
            <w:tcW w:type="dxa" w:w="260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R29, R30, R31, R32</w:t>
            </w:r>
          </w:p>
        </w:tc>
        <w:tc>
          <w:tcPr>
            <w:tcW w:type="dxa" w:w="27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Pendiente sin decisión</w:t>
            </w:r>
          </w:p>
        </w:tc>
      </w:tr>
      <w:tr>
        <w:trPr>
          <w:cantSplit/>
        </w:trPr>
        <w:tc>
          <w:tcPr>
            <w:tcW w:type="dxa" w:w="482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BA15 Post FID / Project Governance</w:t>
            </w:r>
          </w:p>
        </w:tc>
        <w:tc>
          <w:tcPr>
            <w:tcW w:type="dxa" w:w="260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R33, R34, R35</w:t>
            </w:r>
          </w:p>
        </w:tc>
        <w:tc>
          <w:tcPr>
            <w:tcW w:type="dxa" w:w="27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Pendiente sin decisión</w:t>
            </w:r>
          </w:p>
        </w:tc>
      </w:tr>
    </w:tbl>
    <w:p>
      <w:pPr>
        <w:widowControl/>
      </w:pPr>
      <w:r>
        <w:rPr>
          <w:b w:val="0"/>
        </w:rPr>
      </w:r>
    </w:p>
    <w:p>
      <w:r>
        <w:br w:type="page"/>
      </w:r>
    </w:p>
    <w:p>
      <w:pPr>
        <w:pStyle w:val="Heading1"/>
        <w:keepNext/>
        <w:keepLines/>
      </w:pPr>
      <w:r>
        <w:t>BA01 Enterprise   Strategic Governance</w:t>
      </w:r>
    </w:p>
    <w:p>
      <w:pPr>
        <w:widowControl/>
      </w:pPr>
      <w:r>
        <w:rPr>
          <w:b w:val="0"/>
        </w:rPr>
        <w:t>Revisar coherencia del macroproceso, autoridades y límite de liberación.</w:t>
      </w:r>
    </w:p>
    <w:p>
      <w:pPr>
        <w:widowControl/>
      </w:pPr>
      <w:r>
        <w:rPr>
          <w:b w:val="0"/>
        </w:rPr>
        <w:t>Alcance de revisión: R01, R06, R14, R32.</w:t>
      </w:r>
    </w:p>
    <w:p>
      <w:pPr>
        <w:widowControl/>
      </w:pPr>
      <w:r>
        <w:rPr>
          <w:b w:val="0"/>
        </w:rPr>
        <w:t>Evidencia propuesta: E01 Business Process; E03 Admin Guide; E06 Final Release Closeout; E09 Regresión broad final; E10 Recorrido Chromium Capital Owner.</w:t>
      </w:r>
    </w:p>
    <w:p>
      <w:pPr>
        <w:widowControl/>
      </w:pPr>
      <w:r>
        <w:rPr>
          <w:b w:val="0"/>
        </w:rPr>
        <w:t>1. ¿El proceso representa la gobernanza estratégica esperada?</w:t>
      </w:r>
    </w:p>
    <w:p>
      <w:pPr>
        <w:widowControl/>
      </w:pPr>
      <w:r>
        <w:rPr>
          <w:b w:val="0"/>
        </w:rPr>
        <w:t>2. ¿Las autoridades y los límites de recomendación, decisión y ejecución son aceptables?</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BA02 Enterprise Structure and Workspace Governance</w:t>
      </w:r>
    </w:p>
    <w:p>
      <w:pPr>
        <w:widowControl/>
      </w:pPr>
      <w:r>
        <w:rPr>
          <w:b w:val="0"/>
        </w:rPr>
        <w:t>Revisar identidad canónica, separación de configuración y transacciones, y rutas de creación.</w:t>
      </w:r>
    </w:p>
    <w:p>
      <w:pPr>
        <w:widowControl/>
      </w:pPr>
      <w:r>
        <w:rPr>
          <w:b w:val="0"/>
        </w:rPr>
        <w:t>Alcance de revisión: R01, R07, R34, R35.</w:t>
      </w:r>
    </w:p>
    <w:p>
      <w:pPr>
        <w:widowControl/>
      </w:pPr>
      <w:r>
        <w:rPr>
          <w:b w:val="0"/>
        </w:rPr>
        <w:t>Evidencia propuesta: E01 Business Process; E02 User Guide; E03 Admin Guide; E12 Contractor Delivery hasta activación; E13 Direct Internal hasta activación; E17 Overview canónico Project 4; E20 Home Project 4 con omisión metadata.</w:t>
      </w:r>
    </w:p>
    <w:p>
      <w:pPr>
        <w:widowControl/>
      </w:pPr>
      <w:r>
        <w:rPr>
          <w:b w:val="0"/>
        </w:rPr>
        <w:t>1. ¿Project como Workspace Instance de tipo PROJECT es aceptable sin identidad paralela?</w:t>
      </w:r>
    </w:p>
    <w:p>
      <w:pPr>
        <w:widowControl/>
      </w:pPr>
      <w:r>
        <w:rPr>
          <w:b w:val="0"/>
        </w:rPr>
        <w:t>2. ¿Son aceptables pending, inicialización y activación separadas para las tres rutas?</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BA03 Capital Planning</w:t>
      </w:r>
    </w:p>
    <w:p>
      <w:pPr>
        <w:widowControl/>
      </w:pPr>
      <w:r>
        <w:rPr>
          <w:b w:val="0"/>
        </w:rPr>
        <w:t>Revisar demanda estratégica, ciclos, buckets y asignación de capital.</w:t>
      </w:r>
    </w:p>
    <w:p>
      <w:pPr>
        <w:widowControl/>
      </w:pPr>
      <w:r>
        <w:rPr>
          <w:b w:val="0"/>
        </w:rPr>
        <w:t>Alcance de revisión: R02.</w:t>
      </w:r>
    </w:p>
    <w:p>
      <w:pPr>
        <w:widowControl/>
      </w:pPr>
      <w:r>
        <w:rPr>
          <w:b w:val="0"/>
        </w:rPr>
        <w:t>Evidencia propuesta: E01 Business Process; E02 User Guide; E03 Admin Guide; E04 UAT Plan and Results; E09 Regresión broad final.</w:t>
      </w:r>
    </w:p>
    <w:p>
      <w:pPr>
        <w:widowControl/>
      </w:pPr>
      <w:r>
        <w:rPr>
          <w:b w:val="0"/>
        </w:rPr>
        <w:t>1. ¿Ciclos, demandas y buckets representan la planificación de capital esperada?</w:t>
      </w:r>
    </w:p>
    <w:p>
      <w:pPr>
        <w:widowControl/>
      </w:pPr>
      <w:r>
        <w:rPr>
          <w:b w:val="0"/>
        </w:rPr>
        <w:t>2. ¿Se distingue la asignación objetivo de la inversión formalmente aprobada?</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BA04 Investment Origination</w:t>
      </w:r>
    </w:p>
    <w:p>
      <w:pPr>
        <w:widowControl/>
      </w:pPr>
      <w:r>
        <w:rPr>
          <w:b w:val="0"/>
        </w:rPr>
        <w:t>Revisar Idea, Business Analysis, Proposal y Strategic Gate.</w:t>
      </w:r>
    </w:p>
    <w:p>
      <w:pPr>
        <w:widowControl/>
      </w:pPr>
      <w:r>
        <w:rPr>
          <w:b w:val="0"/>
        </w:rPr>
        <w:t>Alcance de revisión: R03, R04, R05, R06.</w:t>
      </w:r>
    </w:p>
    <w:p>
      <w:pPr>
        <w:widowControl/>
      </w:pPr>
      <w:r>
        <w:rPr>
          <w:b w:val="0"/>
        </w:rPr>
        <w:t>Evidencia propuesta: E01 Business Process; E02 User Guide; E04 UAT Plan and Results; E10 Recorrido Chromium Capital Owner; E11 RACI y responsabilidades reales propuestas.</w:t>
      </w:r>
    </w:p>
    <w:p>
      <w:pPr>
        <w:widowControl/>
      </w:pPr>
      <w:r>
        <w:rPr>
          <w:b w:val="0"/>
        </w:rPr>
        <w:t>1. ¿Es comprensible la secuencia de origen, análisis y aprobación estratégica?</w:t>
      </w:r>
    </w:p>
    <w:p>
      <w:pPr>
        <w:widowControl/>
      </w:pPr>
      <w:r>
        <w:rPr>
          <w:b w:val="0"/>
        </w:rPr>
        <w:t>2. ¿Se aplica BA según política sin confundir APPROVE estratégico con FID?</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BA05 Portfolio Management</w:t>
      </w:r>
    </w:p>
    <w:p>
      <w:pPr>
        <w:widowControl/>
      </w:pPr>
      <w:r>
        <w:rPr>
          <w:b w:val="0"/>
        </w:rPr>
        <w:t>Revisar intake, membership, evaluación, análisis, recomendación y revisión.</w:t>
      </w:r>
    </w:p>
    <w:p>
      <w:pPr>
        <w:widowControl/>
      </w:pPr>
      <w:r>
        <w:rPr>
          <w:b w:val="0"/>
        </w:rPr>
        <w:t>Alcance de revisión: R08, R09, R10, R13, R14.</w:t>
      </w:r>
    </w:p>
    <w:p>
      <w:pPr>
        <w:widowControl/>
      </w:pPr>
      <w:r>
        <w:rPr>
          <w:b w:val="0"/>
        </w:rPr>
        <w:t>Evidencia propuesta: E01 Business Process; E02 User Guide; E04 UAT Plan and Results; E09 Regresión broad final; E10 Recorrido Chromium Capital Owner.</w:t>
      </w:r>
    </w:p>
    <w:p>
      <w:pPr>
        <w:widowControl/>
      </w:pPr>
      <w:r>
        <w:rPr>
          <w:b w:val="0"/>
        </w:rPr>
        <w:t>1. ¿Son adecuados criterios, ranking y análisis para comparar inversiones?</w:t>
      </w:r>
    </w:p>
    <w:p>
      <w:pPr>
        <w:widowControl/>
      </w:pPr>
      <w:r>
        <w:rPr>
          <w:b w:val="0"/>
        </w:rPr>
        <w:t>2. ¿Se distingue recomendación de FID y HOLD_FOR_CAPACITY de Gate07K HOLD?</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BA06 Project Controls   Planning</w:t>
      </w:r>
    </w:p>
    <w:p>
      <w:pPr>
        <w:widowControl/>
      </w:pPr>
      <w:r>
        <w:rPr>
          <w:b w:val="0"/>
        </w:rPr>
        <w:t>Revisar preparación de planificación y calidad de datos sin ejecución operacional.</w:t>
      </w:r>
    </w:p>
    <w:p>
      <w:pPr>
        <w:widowControl/>
      </w:pPr>
      <w:r>
        <w:rPr>
          <w:b w:val="0"/>
        </w:rPr>
        <w:t>Alcance de revisión: R12, R20.</w:t>
      </w:r>
    </w:p>
    <w:p>
      <w:pPr>
        <w:widowControl/>
      </w:pPr>
      <w:r>
        <w:rPr>
          <w:b w:val="0"/>
        </w:rPr>
        <w:t>Evidencia propuesta: E01 Business Process; E02 User Guide; E04 UAT Plan and Results; E09 Regresión broad final.</w:t>
      </w:r>
    </w:p>
    <w:p>
      <w:pPr>
        <w:widowControl/>
      </w:pPr>
      <w:r>
        <w:rPr>
          <w:b w:val="0"/>
        </w:rPr>
        <w:t>1. ¿La información de capacidad y Basic Data permite preparar la inversión?</w:t>
      </w:r>
    </w:p>
    <w:p>
      <w:pPr>
        <w:widowControl/>
      </w:pPr>
      <w:r>
        <w:rPr>
          <w:b w:val="0"/>
        </w:rPr>
        <w:t>2. ¿Los estados y advertencias son utilizables sin atribuirles autoridad de ejecución?</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BA07 Cost   Budget   Resource Governance</w:t>
      </w:r>
    </w:p>
    <w:p>
      <w:pPr>
        <w:widowControl/>
      </w:pPr>
      <w:r>
        <w:rPr>
          <w:b w:val="0"/>
        </w:rPr>
        <w:t>Revisar escenarios de presupuesto y recursos y su convergencia.</w:t>
      </w:r>
    </w:p>
    <w:p>
      <w:pPr>
        <w:widowControl/>
      </w:pPr>
      <w:r>
        <w:rPr>
          <w:b w:val="0"/>
        </w:rPr>
        <w:t>Alcance de revisión: R11, R12, R13.</w:t>
      </w:r>
    </w:p>
    <w:p>
      <w:pPr>
        <w:widowControl/>
      </w:pPr>
      <w:r>
        <w:rPr>
          <w:b w:val="0"/>
        </w:rPr>
        <w:t>Evidencia propuesta: E01 Business Process; E02 User Guide; E03 Admin Guide; E04 UAT Plan and Results; E09 Regresión broad final.</w:t>
      </w:r>
    </w:p>
    <w:p>
      <w:pPr>
        <w:widowControl/>
      </w:pPr>
      <w:r>
        <w:rPr>
          <w:b w:val="0"/>
        </w:rPr>
        <w:t>1. ¿Budget y Resources producen alternativas útiles y trazables?</w:t>
      </w:r>
    </w:p>
    <w:p>
      <w:pPr>
        <w:widowControl/>
      </w:pPr>
      <w:r>
        <w:rPr>
          <w:b w:val="0"/>
        </w:rPr>
        <w:t>2. ¿Queda claro que Budget FROZEN no es inversión aprobada?</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BA08 Business Case   Investment Development</w:t>
      </w:r>
    </w:p>
    <w:p>
      <w:pPr>
        <w:widowControl/>
      </w:pPr>
      <w:r>
        <w:rPr>
          <w:b w:val="0"/>
        </w:rPr>
        <w:t>Revisar Five Case, Benefits y conservación de fuentes y revisiones.</w:t>
      </w:r>
    </w:p>
    <w:p>
      <w:pPr>
        <w:widowControl/>
      </w:pPr>
      <w:r>
        <w:rPr>
          <w:b w:val="0"/>
        </w:rPr>
        <w:t>Alcance de revisión: R15, R16.</w:t>
      </w:r>
    </w:p>
    <w:p>
      <w:pPr>
        <w:widowControl/>
      </w:pPr>
      <w:r>
        <w:rPr>
          <w:b w:val="0"/>
        </w:rPr>
        <w:t>Evidencia propuesta: E01 Business Process; E02 User Guide; E04 UAT Plan and Results; E10 Recorrido Chromium Capital Owner; E16 Revisión visual y limitaciones Chromium.</w:t>
      </w:r>
    </w:p>
    <w:p>
      <w:pPr>
        <w:widowControl/>
      </w:pPr>
      <w:r>
        <w:rPr>
          <w:b w:val="0"/>
        </w:rPr>
        <w:t>1. ¿Los cinco casos y la trazabilidad de beneficios son suficientes para preparar la inversión?</w:t>
      </w:r>
    </w:p>
    <w:p>
      <w:pPr>
        <w:widowControl/>
      </w:pPr>
      <w:r>
        <w:rPr>
          <w:b w:val="0"/>
        </w:rPr>
        <w:t>2. ¿Es aceptable conservar las revisiones completadas y sus fuentes históricas sin reescritura?</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BA09 Technical Assurance   FEL   Definition Maturity</w:t>
      </w:r>
    </w:p>
    <w:p>
      <w:pPr>
        <w:widowControl/>
      </w:pPr>
      <w:r>
        <w:rPr>
          <w:b w:val="0"/>
        </w:rPr>
        <w:t>Revisar etapa FEL, madurez PDRI, Basic Data y capacidad del propietario.</w:t>
      </w:r>
    </w:p>
    <w:p>
      <w:pPr>
        <w:widowControl/>
      </w:pPr>
      <w:r>
        <w:rPr>
          <w:b w:val="0"/>
        </w:rPr>
        <w:t>Alcance de revisión: R18, R19, R20, R24.</w:t>
      </w:r>
    </w:p>
    <w:p>
      <w:pPr>
        <w:widowControl/>
      </w:pPr>
      <w:r>
        <w:rPr>
          <w:b w:val="0"/>
        </w:rPr>
        <w:t>Evidencia propuesta: E01 Business Process; E02 User Guide; E03 Admin Guide; E04 UAT Plan and Results; E09 Regresión broad final.</w:t>
      </w:r>
    </w:p>
    <w:p>
      <w:pPr>
        <w:widowControl/>
      </w:pPr>
      <w:r>
        <w:rPr>
          <w:b w:val="0"/>
        </w:rPr>
        <w:t>1. ¿Se distinguen FEL y madurez de definición con gaps y acciones?</w:t>
      </w:r>
    </w:p>
    <w:p>
      <w:pPr>
        <w:widowControl/>
      </w:pPr>
      <w:r>
        <w:rPr>
          <w:b w:val="0"/>
        </w:rPr>
        <w:t>2. ¿Basic Data y Owner Capability respaldan la preparación de inversión de forma suficiente?</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BA10 Risk   Permits</w:t>
      </w:r>
    </w:p>
    <w:p>
      <w:pPr>
        <w:widowControl/>
      </w:pPr>
      <w:r>
        <w:rPr>
          <w:b w:val="0"/>
        </w:rPr>
        <w:t>Revisar controles de riesgo y permisos sin sustituirlos por QRA.</w:t>
      </w:r>
    </w:p>
    <w:p>
      <w:pPr>
        <w:widowControl/>
      </w:pPr>
      <w:r>
        <w:rPr>
          <w:b w:val="0"/>
        </w:rPr>
        <w:t>Alcance de revisión: R21, R22, R23.</w:t>
      </w:r>
    </w:p>
    <w:p>
      <w:pPr>
        <w:widowControl/>
      </w:pPr>
      <w:r>
        <w:rPr>
          <w:b w:val="0"/>
        </w:rPr>
        <w:t>Evidencia propuesta: E01 Business Process; E02 User Guide; E03 Admin Guide; E07 Resultados técnicos consolidados; E14 Validación Class B controlada; E16 Revisión visual y limitaciones Chromium.</w:t>
      </w:r>
    </w:p>
    <w:p>
      <w:pPr>
        <w:widowControl/>
      </w:pPr>
      <w:r>
        <w:rPr>
          <w:b w:val="0"/>
        </w:rPr>
        <w:t>1. ¿Se distinguen Risk Governance, Risk Readiness, Permit Readiness y QRA?</w:t>
      </w:r>
    </w:p>
    <w:p>
      <w:pPr>
        <w:widowControl/>
      </w:pPr>
      <w:r>
        <w:rPr>
          <w:b w:val="0"/>
        </w:rPr>
        <w:t>2. ¿Es aceptable el mecanismo Class B controlado de permit-readiness para esta UAT sin atribuirle una licencia real?</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BA11 Commercial and Contracting</w:t>
      </w:r>
    </w:p>
    <w:p>
      <w:pPr>
        <w:widowControl/>
      </w:pPr>
      <w:r>
        <w:rPr>
          <w:b w:val="0"/>
        </w:rPr>
        <w:t>Revisar estrategia comercial y separación de la ruta contractual de entrega.</w:t>
      </w:r>
    </w:p>
    <w:p>
      <w:pPr>
        <w:widowControl/>
      </w:pPr>
      <w:r>
        <w:rPr>
          <w:b w:val="0"/>
        </w:rPr>
        <w:t>Alcance de revisión: R17.</w:t>
      </w:r>
    </w:p>
    <w:p>
      <w:pPr>
        <w:widowControl/>
      </w:pPr>
      <w:r>
        <w:rPr>
          <w:b w:val="0"/>
        </w:rPr>
        <w:t>Evidencia propuesta: E01 Business Process; E02 User Guide; E03 Admin Guide; E12 Contractor Delivery hasta activación; E14 Validación Class B controlada; E16 Revisión visual y limitaciones Chromium.</w:t>
      </w:r>
    </w:p>
    <w:p>
      <w:pPr>
        <w:widowControl/>
      </w:pPr>
      <w:r>
        <w:rPr>
          <w:b w:val="0"/>
        </w:rPr>
        <w:t>1. ¿La estrategia comercial y de contratación es suficiente para preparar la inversión?</w:t>
      </w:r>
    </w:p>
    <w:p>
      <w:pPr>
        <w:widowControl/>
      </w:pPr>
      <w:r>
        <w:rPr>
          <w:b w:val="0"/>
        </w:rPr>
        <w:t>2. ¿Contractor Delivery está correctamente separado de Capital Owner, salvo configuración explícita?</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BA12 Finance   Funding   Economic Model</w:t>
      </w:r>
    </w:p>
    <w:p>
      <w:pPr>
        <w:widowControl/>
      </w:pPr>
      <w:r>
        <w:rPr>
          <w:b w:val="0"/>
        </w:rPr>
        <w:t>Revisar fuentes, fondos, asignaciones, readiness y FIN determinístico.</w:t>
      </w:r>
    </w:p>
    <w:p>
      <w:pPr>
        <w:widowControl/>
      </w:pPr>
      <w:r>
        <w:rPr>
          <w:b w:val="0"/>
        </w:rPr>
        <w:t>Alcance de revisión: R25, R26.</w:t>
      </w:r>
    </w:p>
    <w:p>
      <w:pPr>
        <w:widowControl/>
      </w:pPr>
      <w:r>
        <w:rPr>
          <w:b w:val="0"/>
        </w:rPr>
        <w:t>Evidencia propuesta: E01 Business Process; E02 User Guide; E03 Admin Guide; E04 UAT Plan and Results; E09 Regresión broad final; E16 Revisión visual y limitaciones Chromium.</w:t>
      </w:r>
    </w:p>
    <w:p>
      <w:pPr>
        <w:widowControl/>
      </w:pPr>
      <w:r>
        <w:rPr>
          <w:b w:val="0"/>
        </w:rPr>
        <w:t>1. ¿Funding se distingue de Budget y de la decisión FID?</w:t>
      </w:r>
    </w:p>
    <w:p>
      <w:pPr>
        <w:widowControl/>
      </w:pPr>
      <w:r>
        <w:rPr>
          <w:b w:val="0"/>
        </w:rPr>
        <w:t>2. ¿Son aceptables los indicadores y supuestos determinísticos sin reescritura automática por QRA?</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BA13 QRA   Quantitative Risk Analysis</w:t>
      </w:r>
    </w:p>
    <w:p>
      <w:pPr>
        <w:widowControl/>
      </w:pPr>
      <w:r>
        <w:rPr>
          <w:b w:val="0"/>
        </w:rPr>
        <w:t>Revisar aplicabilidad contextual, fuentes, metodología y aceptación independiente de resultados.</w:t>
      </w:r>
    </w:p>
    <w:p>
      <w:pPr>
        <w:widowControl/>
      </w:pPr>
      <w:r>
        <w:rPr>
          <w:b w:val="0"/>
        </w:rPr>
        <w:t>Alcance de revisión: R27, R28.</w:t>
      </w:r>
    </w:p>
    <w:p>
      <w:pPr>
        <w:widowControl/>
      </w:pPr>
      <w:r>
        <w:rPr>
          <w:b w:val="0"/>
        </w:rPr>
        <w:t>Evidencia propuesta: E01 Business Process; E02 User Guide; E03 Admin Guide; E04 UAT Plan and Results; E09 Regresión broad final.</w:t>
      </w:r>
    </w:p>
    <w:p>
      <w:pPr>
        <w:widowControl/>
      </w:pPr>
      <w:r>
        <w:rPr>
          <w:b w:val="0"/>
        </w:rPr>
        <w:t>1. ¿Es aceptable QRA Cost y Schedule contextual, no universal?</w:t>
      </w:r>
    </w:p>
    <w:p>
      <w:pPr>
        <w:widowControl/>
      </w:pPr>
      <w:r>
        <w:rPr>
          <w:b w:val="0"/>
        </w:rPr>
        <w:t>2. ¿Queda claro que Integrated QRA no está liberado y que un resultado no autoriza FID, contingencia ni write-back?</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BA14 Investment Gate   FID Authority</w:t>
      </w:r>
    </w:p>
    <w:p>
      <w:pPr>
        <w:widowControl/>
      </w:pPr>
      <w:r>
        <w:rPr>
          <w:b w:val="0"/>
        </w:rPr>
        <w:t>Revisar Evidence Matrix, criterios, freeze y autoridad formal FID.</w:t>
      </w:r>
    </w:p>
    <w:p>
      <w:pPr>
        <w:widowControl/>
      </w:pPr>
      <w:r>
        <w:rPr>
          <w:b w:val="0"/>
        </w:rPr>
        <w:t>Alcance de revisión: R29, R30, R31, R32.</w:t>
      </w:r>
    </w:p>
    <w:p>
      <w:pPr>
        <w:widowControl/>
      </w:pPr>
      <w:r>
        <w:rPr>
          <w:b w:val="0"/>
        </w:rPr>
        <w:t>Evidencia propuesta: E04 UAT Plan and Results; E06 Final Release Closeout; E07 Resultados técnicos consolidados; E14 Validación Class B controlada; E15 Cadena Capital Owner persistente; E16 Revisión visual y limitaciones Chromium.</w:t>
      </w:r>
    </w:p>
    <w:p>
      <w:pPr>
        <w:widowControl/>
      </w:pPr>
      <w:r>
        <w:rPr>
          <w:b w:val="0"/>
        </w:rPr>
        <w:t>1. ¿Son aceptables los cuatro Class B con revisión independiente y cobertura EACH_PROJECT?</w:t>
      </w:r>
    </w:p>
    <w:p>
      <w:pPr>
        <w:widowControl/>
      </w:pPr>
      <w:r>
        <w:rPr>
          <w:b w:val="0"/>
        </w:rPr>
        <w:t>2. ¿Reconoce expresamente los cuatro requisitos MISSING no bloqueantes sin tratarlos como satisfechos?</w:t>
      </w:r>
    </w:p>
    <w:p>
      <w:pPr>
        <w:widowControl/>
      </w:pPr>
      <w:r>
        <w:rPr>
          <w:b w:val="0"/>
        </w:rPr>
        <w:t>3. ¿Es adecuada la autoridad Gate07K separada del READY y del freeze de Gate07J?</w:t>
      </w:r>
    </w:p>
    <w:p>
      <w:pPr>
        <w:widowControl/>
      </w:pPr>
      <w:r>
        <w:rPr>
          <w:b w:val="0"/>
        </w:rPr>
        <w:t>Reconocimiento de los cuatro MISSING no bloqueantes revisado y registrado por el representante: ______________________________</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BA15 Post FID   Project Governance</w:t>
      </w:r>
    </w:p>
    <w:p>
      <w:pPr>
        <w:widowControl/>
      </w:pPr>
      <w:r>
        <w:rPr>
          <w:b w:val="0"/>
        </w:rPr>
        <w:t>Revisar elegibilidad posterior a FID y comandos separados de inicialización y activación.</w:t>
      </w:r>
    </w:p>
    <w:p>
      <w:pPr>
        <w:widowControl/>
      </w:pPr>
      <w:r>
        <w:rPr>
          <w:b w:val="0"/>
        </w:rPr>
        <w:t>Alcance de revisión: R33, R34, R35.</w:t>
      </w:r>
    </w:p>
    <w:p>
      <w:pPr>
        <w:widowControl/>
      </w:pPr>
      <w:r>
        <w:rPr>
          <w:b w:val="0"/>
        </w:rPr>
        <w:t>Evidencia propuesta: E02 User Guide; E04 UAT Plan and Results; E06 Final Release Closeout; E15 Cadena Capital Owner persistente; E17 Overview canónico Project 4; E18 Auditoría consumidores de Home; E20 Home Project 4 con omisión metadata.</w:t>
      </w:r>
    </w:p>
    <w:p>
      <w:pPr>
        <w:widowControl/>
      </w:pPr>
      <w:r>
        <w:rPr>
          <w:b w:val="0"/>
        </w:rPr>
        <w:t>1. ¿Es aceptable que FID no active automáticamente Project?</w:t>
      </w:r>
    </w:p>
    <w:p>
      <w:pPr>
        <w:widowControl/>
      </w:pPr>
      <w:r>
        <w:rPr>
          <w:b w:val="0"/>
        </w:rPr>
        <w:t>2. ¿Son adecuadas la inicialización y activación independientes y NO_REACTIVATION_REQUIRED después de activar?</w:t>
      </w:r>
    </w:p>
    <w:p>
      <w:pPr>
        <w:widowControl/>
      </w:pPr>
      <w:r>
        <w:rPr>
          <w:b w:val="0"/>
        </w:rPr>
        <w:t>3. ¿Acepta el límite previo al diseño y ejecución de Project Delivery?</w:t>
      </w:r>
    </w:p>
    <w:p>
      <w:pPr>
        <w:widowControl/>
      </w:pPr>
      <w:r>
        <w:rPr>
          <w:b w:val="0"/>
        </w:rPr>
        <w:t>Opciones permitidas: ACCEPT / ACCEPT_WITH_CONDITIONS / REJECT. No hay opción seleccionada.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6638"/>
      </w:tblGrid>
      <w:tr>
        <w:trPr>
          <w:cantSplit/>
          <w:tblHeader w:val="true"/>
        </w:trPr>
        <w:tc>
          <w:tcPr>
            <w:tcW w:type="dxa" w:w="352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Campo de registro autorizado</w:t>
            </w:r>
          </w:p>
        </w:tc>
        <w:tc>
          <w:tcPr>
            <w:tcW w:type="dxa" w:w="663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Respuesta</w:t>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Representante autorizado</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Cargo o rol designado</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Organización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Base de autoridad</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Fecha de decisión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Decisión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Condiciones acordadas</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Comentarios</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Evidencia efectivamente revisada</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Propietario de condición</w:t>
            </w:r>
          </w:p>
        </w:tc>
        <w:tc>
          <w:tcPr>
            <w:tcW w:type="dxa" w:w="663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r>
        <w:trPr>
          <w:cantSplit/>
        </w:trPr>
        <w:tc>
          <w:tcPr>
            <w:tcW w:type="dxa" w:w="352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 objetivo acordada</w:t>
            </w:r>
          </w:p>
        </w:tc>
        <w:tc>
          <w:tcPr>
            <w:tcW w:type="dxa" w:w="663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r>
    </w:p>
    <w:p>
      <w:pPr>
        <w:widowControl/>
      </w:pPr>
      <w:r>
        <w:rPr>
          <w:b w:val="0"/>
        </w:rPr>
        <w:t>Revisar propósito, workflow, evidencias y hallazgos antes de registrar decisión y aprobación. Un campo vacío no es aceptación ni rechazo.</w:t>
      </w:r>
    </w:p>
    <w:p>
      <w:r>
        <w:br w:type="page"/>
      </w:r>
    </w:p>
    <w:p>
      <w:pPr>
        <w:pStyle w:val="Heading1"/>
        <w:keepNext/>
        <w:keepLines/>
      </w:pPr>
      <w:r>
        <w:t>L Condiciones rechazos y decisión final</w:t>
      </w:r>
    </w:p>
    <w:p>
      <w:pPr>
        <w:widowControl/>
      </w:pPr>
      <w:r>
        <w:rPr>
          <w:b w:val="0"/>
        </w:rPr>
        <w:t>Registro de condiciones: no hay condiciones empresariales acordadas. Los hallazgos son candidatos a revisión, no condiciones aceptadas. El tracker permite capturar todos los atributos sin prellenar propietarios ni fechas.</w:t>
      </w:r>
    </w:p>
    <w:p>
      <w:pPr>
        <w:widowControl/>
      </w:pPr>
      <w:r>
        <w:rPr>
          <w:b w:val="0"/>
        </w:rPr>
        <w:t>Cada condición se registrará con ID, área, hallazgo o descripción, severidad, bloqueo de liberación explícito, workaround, propietario, fecha objetivo y estado. Ninguno de estos acuerdos se presupone.</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92"/>
        <w:gridCol w:w="2448"/>
        <w:gridCol w:w="2376"/>
        <w:gridCol w:w="2750"/>
      </w:tblGrid>
      <w:tr>
        <w:trPr>
          <w:cantSplit/>
          <w:tblHeader w:val="true"/>
        </w:trPr>
        <w:tc>
          <w:tcPr>
            <w:tcW w:type="dxa" w:w="259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Condición y área</w:t>
            </w:r>
          </w:p>
        </w:tc>
        <w:tc>
          <w:tcPr>
            <w:tcW w:type="dxa" w:w="244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Severidad e impacto</w:t>
            </w:r>
          </w:p>
        </w:tc>
        <w:tc>
          <w:tcPr>
            <w:tcW w:type="dxa" w:w="237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Workaround</w:t>
            </w:r>
          </w:p>
        </w:tc>
        <w:tc>
          <w:tcPr>
            <w:tcW w:type="dxa" w:w="275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Propietario fecha estado</w:t>
            </w:r>
          </w:p>
        </w:tc>
      </w:tr>
      <w:tr>
        <w:trPr>
          <w:cantSplit/>
        </w:trPr>
        <w:tc>
          <w:tcPr>
            <w:tcW w:type="dxa" w:w="259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c>
          <w:tcPr>
            <w:tcW w:type="dxa" w:w="244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c>
          <w:tcPr>
            <w:tcW w:type="dxa" w:w="237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c>
          <w:tcPr>
            <w:tcW w:type="dxa" w:w="275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bl>
    <w:p>
      <w:pPr>
        <w:widowControl/>
      </w:pPr>
      <w:r>
        <w:rPr>
          <w:b w:val="0"/>
        </w:rPr>
        <w:t>Registro de rechazos: no hay rechazos autorizados registrados.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3427"/>
        <w:gridCol w:w="3427"/>
      </w:tblGrid>
      <w:tr>
        <w:trPr>
          <w:cantSplit/>
          <w:tblHeader w:val="true"/>
        </w:trPr>
        <w:tc>
          <w:tcPr>
            <w:tcW w:type="dxa" w:w="331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Rechazo área representante</w:t>
            </w:r>
          </w:p>
        </w:tc>
        <w:tc>
          <w:tcPr>
            <w:tcW w:type="dxa" w:w="3427"/>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Motivo proceso evidencia</w:t>
            </w:r>
          </w:p>
        </w:tc>
        <w:tc>
          <w:tcPr>
            <w:tcW w:type="dxa" w:w="3427"/>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Severidad remediación impacto</w:t>
            </w:r>
          </w:p>
        </w:tc>
      </w:tr>
      <w:tr>
        <w:trPr>
          <w:cantSplit/>
        </w:trPr>
        <w:tc>
          <w:tcPr>
            <w:tcW w:type="dxa" w:w="33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c>
          <w:tcPr>
            <w:tcW w:type="dxa" w:w="3427"/>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c>
          <w:tcPr>
            <w:tcW w:type="dxa" w:w="3427"/>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r>
          </w:p>
        </w:tc>
      </w:tr>
    </w:tbl>
    <w:p>
      <w:pPr>
        <w:pStyle w:val="Heading2"/>
        <w:keepNext/>
        <w:keepLines/>
      </w:pPr>
      <w:r>
        <w:t>Reglas de decisión y declaración actual</w:t>
      </w:r>
    </w:p>
    <w:p>
      <w:pPr>
        <w:widowControl/>
      </w:pPr>
      <w:r>
        <w:rPr>
          <w:b w:val="0"/>
        </w:rPr>
        <w:t>BUSINESS_ACCEPTED exige 15 ACCEPT explícitos, personas autorizadas, evidencia completa, ningún rechazo y 0 S1/S2 abiertos. BUSINESS_ACCEPTED_WITH_CONDITIONS exige 15 decisiones completas sin REJECT, al menos un área con ACCEPT_WITH_CONDITIONS y condiciones no bloqueantes con propietarios, fechas y workarounds acordados, y 0 S1/S2. Un REJECT material o condición bloqueante produce BUSINESS_REJECTED hasta resolución autorizada.</w:t>
      </w:r>
    </w:p>
    <w:p>
      <w:pPr>
        <w:widowControl/>
      </w:pPr>
      <w:r>
        <w:rPr>
          <w:b w:val="0"/>
        </w:rPr>
        <w:t>Con decisiones o firmas incompletas se conserva UAT_SIGNOFF_PENDING. Hoy 0 de 15 áreas tienen decisión registrada: 0 ACCEPT, 0 ACCEPT_WITH_CONDITIONS, 0 REJECT y 15 pendientes. Hay 0 condiciones aceptadas y 0 rechazos empresariales registrados; esos ceros no afirman aceptabilidad de los hallazgos abiertos.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032"/>
        <w:gridCol w:w="6134"/>
      </w:tblGrid>
      <w:tr>
        <w:trPr>
          <w:cantSplit/>
          <w:tblHeader w:val="true"/>
        </w:trPr>
        <w:tc>
          <w:tcPr>
            <w:tcW w:type="dxa" w:w="403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Registro de decisión final autorizada</w:t>
            </w:r>
          </w:p>
        </w:tc>
        <w:tc>
          <w:tcPr>
            <w:tcW w:type="dxa" w:w="613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Contenido</w:t>
            </w:r>
          </w:p>
        </w:tc>
      </w:tr>
      <w:tr>
        <w:trPr>
          <w:cantSplit/>
        </w:trPr>
        <w:tc>
          <w:tcPr>
            <w:tcW w:type="dxa" w:w="403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Decisión</w:t>
            </w:r>
          </w:p>
        </w:tc>
        <w:tc>
          <w:tcPr>
            <w:tcW w:type="dxa" w:w="613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Representante y organización</w:t>
            </w:r>
          </w:p>
        </w:tc>
        <w:tc>
          <w:tcPr>
            <w:tcW w:type="dxa" w:w="613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Base de autoridad</w:t>
            </w:r>
          </w:p>
        </w:tc>
        <w:tc>
          <w:tcPr>
            <w:tcW w:type="dxa" w:w="613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Fecha</w:t>
            </w:r>
          </w:p>
        </w:tc>
        <w:tc>
          <w:tcPr>
            <w:tcW w:type="dxa" w:w="613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Condiciones o rechazos aplicables</w:t>
            </w:r>
          </w:p>
        </w:tc>
        <w:tc>
          <w:tcPr>
            <w:tcW w:type="dxa" w:w="613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r>
          </w:p>
        </w:tc>
      </w:tr>
      <w:tr>
        <w:trPr>
          <w:cantSplit/>
        </w:trPr>
        <w:tc>
          <w:tcPr>
            <w:tcW w:type="dxa" w:w="403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Firma o referencia de aprobación</w:t>
            </w:r>
          </w:p>
        </w:tc>
        <w:tc>
          <w:tcPr>
            <w:tcW w:type="dxa" w:w="613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r>
          </w:p>
        </w:tc>
      </w:tr>
    </w:tbl>
    <w:p>
      <w:pPr>
        <w:widowControl/>
      </w:pPr>
      <w:r>
        <w:rPr>
          <w:b w:val="0"/>
        </w:rPr>
        <w:t>Estado exacto conservado: STRATEGIC_MACROPROCESS_TECHNICALLY_READY_UAT_SIGNOFF_PENDING.</w:t>
      </w:r>
    </w:p>
    <w:p>
      <w:pPr>
        <w:widowControl/>
      </w:pPr>
      <w:r>
        <w:rPr>
          <w:b w:val="0"/>
        </w:rPr>
        <w:t>No se autoriza liberación empresarial ni producción. Recomendación única: COMPLETE AUTHORIZED BUSINESS UAT SIGN-OFF.</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18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FID y Post FID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4</cp:revision>
  <dcterms:created xsi:type="dcterms:W3CDTF">2013-12-23T23:15:00Z</dcterms:created>
  <dcterms:modified xsi:type="dcterms:W3CDTF">2013-12-23T23:15:00Z</dcterms:modified>
  <cp:category/>
</cp:coreProperties>
</file>