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658368" cy="592905"/>
            <wp:docPr id="1" name="Picture 1" descr="Logotipo de P&amp;Pmis Construction AI" title="P&amp;Pmis Construction A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pmis-construction-ai-log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592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Calibri" w:hAnsi="Calibri"/>
          <w:b/>
          <w:i w:val="0"/>
          <w:color w:val="0D8F8B"/>
          <w:sz w:val="20"/>
        </w:rPr>
        <w:t>INFORME TÉCNICO DE IMPLEMENTACIÓN</w:t>
      </w:r>
    </w:p>
    <w:p>
      <w:pPr>
        <w:spacing w:after="80"/>
      </w:pPr>
      <w:r>
        <w:rPr>
          <w:rFonts w:ascii="Calibri" w:hAnsi="Calibri"/>
          <w:b/>
          <w:i w:val="0"/>
          <w:color w:val="0B2545"/>
          <w:sz w:val="50"/>
        </w:rPr>
        <w:t>Gate 07J-EVID</w:t>
      </w:r>
    </w:p>
    <w:p>
      <w:pPr>
        <w:spacing w:after="320"/>
      </w:pPr>
      <w:r>
        <w:rPr>
          <w:rFonts w:ascii="Calibri" w:hAnsi="Calibri"/>
          <w:b/>
          <w:i w:val="0"/>
          <w:color w:val="1F4D78"/>
          <w:sz w:val="29"/>
        </w:rPr>
        <w:t>Investment Decision Evidence Matrix &amp; Readiness Policy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1"/>
        </w:rPr>
        <w:t xml:space="preserve">Aplicación: </w:t>
      </w:r>
      <w:r>
        <w:rPr>
          <w:rFonts w:ascii="Calibri" w:hAnsi="Calibri"/>
          <w:i w:val="0"/>
          <w:color w:val="000000"/>
          <w:sz w:val="21"/>
        </w:rPr>
        <w:t>P&amp;Pmis Construction AI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1"/>
        </w:rPr>
        <w:t xml:space="preserve">Fecha de corte: </w:t>
      </w:r>
      <w:r>
        <w:rPr>
          <w:rFonts w:ascii="Calibri" w:hAnsi="Calibri"/>
          <w:i w:val="0"/>
          <w:color w:val="000000"/>
          <w:sz w:val="21"/>
        </w:rPr>
        <w:t>30 de agosto de 2026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1"/>
        </w:rPr>
        <w:t xml:space="preserve">Repositorio: </w:t>
      </w:r>
      <w:r>
        <w:rPr>
          <w:rFonts w:ascii="Calibri" w:hAnsi="Calibri"/>
          <w:i w:val="0"/>
          <w:color w:val="000000"/>
          <w:sz w:val="21"/>
        </w:rPr>
        <w:t>pypmis-ia-sas · branch main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1"/>
        </w:rPr>
        <w:t xml:space="preserve">Alembic: </w:t>
      </w:r>
      <w:r>
        <w:rPr>
          <w:rFonts w:ascii="Calibri" w:hAnsi="Calibri"/>
          <w:i w:val="0"/>
          <w:color w:val="000000"/>
          <w:sz w:val="21"/>
        </w:rPr>
        <w:t>20260830_0052 (head, sin migración nueva)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1"/>
        </w:rPr>
        <w:t xml:space="preserve">Estado exclusivo: </w:t>
      </w:r>
      <w:r>
        <w:rPr>
          <w:rFonts w:ascii="Calibri" w:hAnsi="Calibri"/>
          <w:i w:val="0"/>
          <w:color w:val="000000"/>
          <w:sz w:val="21"/>
        </w:rPr>
        <w:t>GATE07J_EVID_POLICY_VALIDATED</w:t>
      </w:r>
    </w:p>
    <w:p>
      <w:pPr>
        <w:pBdr>
          <w:bottom w:val="single" w:sz="14" w:space="1" w:color="2E74B5"/>
        </w:pBdr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7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RESULTADO EJECUTIVO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Se implementó una política contextual A/B/C sobre AdminConfiguration, un registro de proveedores code-backed y la integración aditiva con Gate 07J. La solución impide degradar Class A a evidencia manual, resuelve overrides por Project Type, conserva Preparations históricas y no crea Investment Decision ni FID.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300"/>
        <w:gridCol w:w="6160"/>
      </w:tblGrid>
      <w:tr>
        <w:trPr>
          <w:tblHeader w:val="true"/>
          <w:cantSplit/>
        </w:trPr>
        <w:tc>
          <w:tcPr>
            <w:tcW w:type="dxa" w:w="19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Capa</w:t>
            </w:r>
          </w:p>
        </w:tc>
        <w:tc>
          <w:tcPr>
            <w:tcW w:type="dxa" w:w="1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Resultado</w:t>
            </w:r>
          </w:p>
        </w:tc>
        <w:tc>
          <w:tcPr>
            <w:tcW w:type="dxa" w:w="61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Política y Gate 07J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A/B/C, snapshot, no fallback, historial inmutable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Proveedores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6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7 entradas; 5 fuentes gobernadas reutilizadas; 2 reservadas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PostgreSQL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Head 0052; 69/69 + 68/68; downgrade/upgrade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Frontend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6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12 tabs ADMIN, TypeScript, Vitest 30/30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Browser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Clone, Preview, 412, Save, Publish; consola/red controladas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Localhost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ACTIVE</w:t>
            </w:r>
          </w:p>
        </w:tc>
        <w:tc>
          <w:tcPr>
            <w:tcW w:type="dxa" w:w="6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Frontend 5173; API 8000; draft inicial disponible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Baseline, alcance y REUSE BEFORE CREATE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ALCANCE APLICADO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Gate 07J-EVID es configuración + registro + validación. Gate 07J conserva ownership de Preparation, Evidence Items, readiness y handoff. La implementación no introduce un nuevo motor de readiness.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rPr>
          <w:tblHeader w:val="true"/>
          <w:cantSplit/>
        </w:trPr>
        <w:tc>
          <w:tcPr>
            <w:tcW w:type="dxa" w:w="31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Capacidad inspeccionada</w:t>
            </w:r>
          </w:p>
        </w:tc>
        <w:tc>
          <w:tcPr>
            <w:tcW w:type="dxa" w:w="62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Decisión de reutilización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Gate 07J profiles / requirements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Extensión aditiva mediante snapshot de política efectiva</w:t>
            </w:r>
          </w:p>
        </w:tc>
      </w:tr>
      <w:tr>
        <w:trPr>
          <w:cantSplit/>
        </w:trPr>
        <w:tc>
          <w:tcPr>
            <w:tcW w:type="dxa" w:w="3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Gate 07I</w:t>
            </w:r>
          </w:p>
        </w:tc>
        <w:tc>
          <w:tcPr>
            <w:tcW w:type="dxa" w:w="62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Fuente gobernada de Portfolio Recommendation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Gate 07G / 07G-A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Budget Feasibility, dependencies y CAPEX/EXPENSE como detalle</w:t>
            </w:r>
          </w:p>
        </w:tc>
      </w:tr>
      <w:tr>
        <w:trPr>
          <w:cantSplit/>
        </w:trPr>
        <w:tc>
          <w:tcPr>
            <w:tcW w:type="dxa" w:w="3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Gate 07H</w:t>
            </w:r>
          </w:p>
        </w:tc>
        <w:tc>
          <w:tcPr>
            <w:tcW w:type="dxa" w:w="62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Fuente gobernada de Resource Feasibility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Gate 07J-FEL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Definition, FEL, PDRI y Cost Estimate Maturity</w:t>
            </w:r>
          </w:p>
        </w:tc>
      </w:tr>
      <w:tr>
        <w:trPr>
          <w:cantSplit/>
        </w:trPr>
        <w:tc>
          <w:tcPr>
            <w:tcW w:type="dxa" w:w="3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Gate 07J-FUND</w:t>
            </w:r>
          </w:p>
        </w:tc>
        <w:tc>
          <w:tcPr>
            <w:tcW w:type="dxa" w:w="62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Fuente gobernada de Funding Readiness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AdminConfiguration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DRAFT/PUBLISHED/SUPERSEDED, herencia, hash y revisión</w:t>
            </w:r>
          </w:p>
        </w:tc>
      </w:tr>
      <w:tr>
        <w:trPr>
          <w:cantSplit/>
        </w:trPr>
        <w:tc>
          <w:tcPr>
            <w:tcW w:type="dxa" w:w="3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RBAC / SecurityEvent / ETag</w:t>
            </w:r>
          </w:p>
        </w:tc>
        <w:tc>
          <w:tcPr>
            <w:tcW w:type="dxa" w:w="62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Patrones existentes; sin autoridad de inversión</w:t>
            </w:r>
          </w:p>
        </w:tc>
      </w:tr>
    </w:tbl>
    <w:p>
      <w:pPr>
        <w:spacing w:after="0"/>
      </w:pPr>
    </w:p>
    <w:p>
      <w:pPr>
        <w:pStyle w:val="Heading2"/>
      </w:pPr>
      <w:r>
        <w:t>1.1 Baseline funcional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7760"/>
      </w:tblGrid>
      <w:tr>
        <w:trPr>
          <w:tblHeader w:val="true"/>
          <w:cantSplit/>
        </w:trPr>
        <w:tc>
          <w:tcPr>
            <w:tcW w:type="dxa" w:w="16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Gate</w:t>
            </w:r>
          </w:p>
        </w:tc>
        <w:tc>
          <w:tcPr>
            <w:tcW w:type="dxa" w:w="77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Contrato vigente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07G</w:t>
            </w:r>
          </w:p>
        </w:tc>
        <w:tc>
          <w:tcPr>
            <w:tcW w:type="dxa" w:w="7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READY_FOR_PORTFOLIO_BUDGET_RECOMMENDATION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07G-A</w:t>
            </w:r>
          </w:p>
        </w:tc>
        <w:tc>
          <w:tcPr>
            <w:tcW w:type="dxa" w:w="7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GATE07G_A_OPC_ALIGNMENT_VALIDATED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07H</w:t>
            </w:r>
          </w:p>
        </w:tc>
        <w:tc>
          <w:tcPr>
            <w:tcW w:type="dxa" w:w="7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READY_FOR_PORTFOLIO_RESOURCE_RECOMMENDATION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07I</w:t>
            </w:r>
          </w:p>
        </w:tc>
        <w:tc>
          <w:tcPr>
            <w:tcW w:type="dxa" w:w="7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READY_FOR_INVESTMENT_GATE_PREPARATION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07J</w:t>
            </w:r>
          </w:p>
        </w:tc>
        <w:tc>
          <w:tcPr>
            <w:tcW w:type="dxa" w:w="7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READY_FOR_INVESTMENT_DECISION; can_enter_fid=false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07J-FEL</w:t>
            </w:r>
          </w:p>
        </w:tc>
        <w:tc>
          <w:tcPr>
            <w:tcW w:type="dxa" w:w="7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GATE07J_FEL_RELEASE_VALIDATED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07J-FUND</w:t>
            </w:r>
          </w:p>
        </w:tc>
        <w:tc>
          <w:tcPr>
            <w:tcW w:type="dxa" w:w="7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GATE07J_FUND_RELEASE_VALIDATED</w:t>
            </w:r>
          </w:p>
        </w:tc>
      </w:tr>
    </w:tbl>
    <w:p>
      <w:pPr>
        <w:spacing w:after="0"/>
      </w:pPr>
    </w:p>
    <w:p>
      <w:pPr>
        <w:pStyle w:val="Heading1"/>
      </w:pPr>
      <w:r>
        <w:t>2. Arquitectura A/B/C y regla de no fallback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2600"/>
        <w:gridCol w:w="4000"/>
        <w:gridCol w:w="1960"/>
      </w:tblGrid>
      <w:tr>
        <w:trPr>
          <w:tblHeader w:val="true"/>
          <w:cantSplit/>
        </w:trPr>
        <w:tc>
          <w:tcPr>
            <w:tcW w:type="dxa" w:w="8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Clase</w:t>
            </w:r>
          </w:p>
        </w:tc>
        <w:tc>
          <w:tcPr>
            <w:tcW w:type="dxa" w:w="26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Semántica</w:t>
            </w:r>
          </w:p>
        </w:tc>
        <w:tc>
          <w:tcPr>
            <w:tcW w:type="dxa" w:w="40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Validación</w:t>
            </w:r>
          </w:p>
        </w:tc>
        <w:tc>
          <w:tcPr>
            <w:tcW w:type="dxa" w:w="19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Fallo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GOVERNED_SOURCE_REQUIRED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Provider AVAILABLE, contrato, scope, current y readiness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Bloquea; manual prohibido</w:t>
            </w:r>
          </w:p>
        </w:tc>
      </w:tr>
      <w:tr>
        <w:trPr>
          <w:cantSplit/>
        </w:trPr>
        <w:tc>
          <w:tcPr>
            <w:tcW w:type="dxa" w:w="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B</w:t>
            </w:r>
          </w:p>
        </w:tc>
        <w:tc>
          <w:tcPr>
            <w:tcW w:type="dxa" w:w="2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GOVERNED_EVIDENCE_SUFFICIENT</w:t>
            </w:r>
          </w:p>
        </w:tc>
        <w:tc>
          <w:tcPr>
            <w:tcW w:type="dxa" w:w="4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Referencia controlada, owner/issuer, fechas, hash y validación</w:t>
            </w:r>
          </w:p>
        </w:tc>
        <w:tc>
          <w:tcPr>
            <w:tcW w:type="dxa" w:w="19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SUBMITTED no es VALID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NOT_REQUIRED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No crea requisito efectivo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Sin blocker ni warning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CONTROL CRÍTICO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Class A nunca se convierte silenciosamente en Class B. Provider ausente produce SOURCE_PROVIDER_MISSING; contrato incompleto produce PROVIDER_CONTRACT_INVALID; scope incompatible produce SCOPE_UNSUPPORTED; source_current=false produce SOURCE_STALE.</w:t>
            </w:r>
          </w:p>
        </w:tc>
      </w:tr>
    </w:tbl>
    <w:p>
      <w:pPr>
        <w:spacing w:after="0"/>
      </w:pPr>
    </w:p>
    <w:p>
      <w:pPr>
        <w:pStyle w:val="Heading2"/>
      </w:pPr>
      <w:r>
        <w:t>2.1 Modelo de política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Grupo</w:t>
            </w:r>
          </w:p>
        </w:tc>
        <w:tc>
          <w:tcPr>
            <w:tcW w:type="dxa" w:w="71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Campos gobernados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Identidad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requirement_key, evidence_type, classification, required, blocking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Fuente</w:t>
            </w:r>
          </w:p>
        </w:tc>
        <w:tc>
          <w:tcPr>
            <w:tcW w:type="dxa" w:w="7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provider_key, provider_required, minimum readiness/stage/maturity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Contexto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Gate Profile, Governance Model, Project Type, scope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Freshness</w:t>
            </w:r>
          </w:p>
        </w:tc>
        <w:tc>
          <w:tcPr>
            <w:tcW w:type="dxa" w:w="7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validity_period_days y current-with source flags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Coverage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minimum coverage; EACH_PROJECT no promedia Projects faltantes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Manual</w:t>
            </w:r>
          </w:p>
        </w:tc>
        <w:tc>
          <w:tcPr>
            <w:tcW w:type="dxa" w:w="7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allow_manual_reference y manual_validation_required sólo para B</w:t>
            </w:r>
          </w:p>
        </w:tc>
      </w:tr>
    </w:tbl>
    <w:p>
      <w:pPr>
        <w:spacing w:after="0"/>
      </w:pPr>
    </w:p>
    <w:p>
      <w:pPr>
        <w:pStyle w:val="Heading1"/>
      </w:pPr>
      <w:r>
        <w:t>3. Provider Registry y validación de contrato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850"/>
        <w:gridCol w:w="1450"/>
        <w:gridCol w:w="1250"/>
        <w:gridCol w:w="1910"/>
      </w:tblGrid>
      <w:tr>
        <w:trPr>
          <w:tblHeader w:val="true"/>
          <w:cantSplit/>
        </w:trPr>
        <w:tc>
          <w:tcPr>
            <w:tcW w:type="dxa" w:w="19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Evidence</w:t>
            </w:r>
          </w:p>
        </w:tc>
        <w:tc>
          <w:tcPr>
            <w:tcW w:type="dxa" w:w="28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Provider</w:t>
            </w:r>
          </w:p>
        </w:tc>
        <w:tc>
          <w:tcPr>
            <w:tcW w:type="dxa" w:w="14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Source</w:t>
            </w:r>
          </w:p>
        </w:tc>
        <w:tc>
          <w:tcPr>
            <w:tcW w:type="dxa" w:w="12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Status</w:t>
            </w:r>
          </w:p>
        </w:tc>
        <w:tc>
          <w:tcPr>
            <w:tcW w:type="dxa" w:w="191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Scopes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Portfolio Recommendation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GATE07I_PORTFOLIO_RECOMMENDATION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Gate 07I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AVAILABLE</w:t>
            </w:r>
          </w:p>
        </w:tc>
        <w:tc>
          <w:tcPr>
            <w:tcW w:type="dxa" w:w="1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Portfolio / Set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Budget Feasibility</w:t>
            </w:r>
          </w:p>
        </w:tc>
        <w:tc>
          <w:tcPr>
            <w:tcW w:type="dxa" w:w="2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GATE07G_BUDGET_FEASIBILITY</w:t>
            </w:r>
          </w:p>
        </w:tc>
        <w:tc>
          <w:tcPr>
            <w:tcW w:type="dxa" w:w="14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Gate 07G/A</w:t>
            </w:r>
          </w:p>
        </w:tc>
        <w:tc>
          <w:tcPr>
            <w:tcW w:type="dxa" w:w="12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AVAILABLE</w:t>
            </w:r>
          </w:p>
        </w:tc>
        <w:tc>
          <w:tcPr>
            <w:tcW w:type="dxa" w:w="19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Portfolio / Set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Resource Feasibility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GATE07H_RESOURCE_FEASIBILITY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Gate 07H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AVAILABLE</w:t>
            </w:r>
          </w:p>
        </w:tc>
        <w:tc>
          <w:tcPr>
            <w:tcW w:type="dxa" w:w="1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Portfolio / Set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Definition/FEL/PDRI/Estimate</w:t>
            </w:r>
          </w:p>
        </w:tc>
        <w:tc>
          <w:tcPr>
            <w:tcW w:type="dxa" w:w="2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GATE07J_FEL_PROJECT_DEFINITION</w:t>
            </w:r>
          </w:p>
        </w:tc>
        <w:tc>
          <w:tcPr>
            <w:tcW w:type="dxa" w:w="14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Gate 07J-FEL</w:t>
            </w:r>
          </w:p>
        </w:tc>
        <w:tc>
          <w:tcPr>
            <w:tcW w:type="dxa" w:w="12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AVAILABLE</w:t>
            </w:r>
          </w:p>
        </w:tc>
        <w:tc>
          <w:tcPr>
            <w:tcW w:type="dxa" w:w="19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Each / Selected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Funding Readiness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GATE07J_FUND_FUNDING_READINESS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Gate 07J-FUND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AVAILABLE</w:t>
            </w:r>
          </w:p>
        </w:tc>
        <w:tc>
          <w:tcPr>
            <w:tcW w:type="dxa" w:w="1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Portfolio / Set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Risk Readiness</w:t>
            </w:r>
          </w:p>
        </w:tc>
        <w:tc>
          <w:tcPr>
            <w:tcW w:type="dxa" w:w="2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RISK_READINESS_PROVIDER</w:t>
            </w:r>
          </w:p>
        </w:tc>
        <w:tc>
          <w:tcPr>
            <w:tcW w:type="dxa" w:w="14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Reserved</w:t>
            </w:r>
          </w:p>
        </w:tc>
        <w:tc>
          <w:tcPr>
            <w:tcW w:type="dxa" w:w="12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UNAVAILABLE</w:t>
            </w:r>
          </w:p>
        </w:tc>
        <w:tc>
          <w:tcPr>
            <w:tcW w:type="dxa" w:w="19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Portfolio / Set / Each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Permit Readiness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PERMIT_READINESS_PROVIDER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Reserved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UNAVAILABLE</w:t>
            </w:r>
          </w:p>
        </w:tc>
        <w:tc>
          <w:tcPr>
            <w:tcW w:type="dxa" w:w="1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Each / Selected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CONTRATO MÍNIMO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evidence_type · scope · readiness_status · source_current · evidence_hash · as_of_date · warnings · blockers. El registro es code-backed y la UI no acepta endpoints ejecutables arbitrarios.</w:t>
            </w:r>
          </w:p>
        </w:tc>
      </w:tr>
    </w:tbl>
    <w:p>
      <w:pPr>
        <w:spacing w:after="0"/>
      </w:pPr>
    </w:p>
    <w:p>
      <w:pPr>
        <w:pStyle w:val="Heading1"/>
      </w:pPr>
      <w:r>
        <w:t>4. Matrices efectivas por Investment Gate Profile</w:t>
      </w:r>
    </w:p>
    <w:p>
      <w:pPr>
        <w:pStyle w:val="Heading2"/>
      </w:pPr>
      <w:r>
        <w:t>4.1 PYP-INV-SELECT — Investment Selection Preparation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00"/>
        <w:gridCol w:w="650"/>
        <w:gridCol w:w="1900"/>
        <w:gridCol w:w="1150"/>
        <w:gridCol w:w="1100"/>
        <w:gridCol w:w="1460"/>
      </w:tblGrid>
      <w:tr>
        <w:trPr>
          <w:tblHeader w:val="true"/>
          <w:cantSplit/>
        </w:trPr>
        <w:tc>
          <w:tcPr>
            <w:tcW w:type="dxa" w:w="25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Evidence</w:t>
            </w:r>
          </w:p>
        </w:tc>
        <w:tc>
          <w:tcPr>
            <w:tcW w:type="dxa" w:w="6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Class</w:t>
            </w:r>
          </w:p>
        </w:tc>
        <w:tc>
          <w:tcPr>
            <w:tcW w:type="dxa" w:w="6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Block</w:t>
            </w:r>
          </w:p>
        </w:tc>
        <w:tc>
          <w:tcPr>
            <w:tcW w:type="dxa" w:w="19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Provider</w:t>
            </w:r>
          </w:p>
        </w:tc>
        <w:tc>
          <w:tcPr>
            <w:tcW w:type="dxa" w:w="11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Scope</w:t>
            </w:r>
          </w:p>
        </w:tc>
        <w:tc>
          <w:tcPr>
            <w:tcW w:type="dxa" w:w="11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Validity</w:t>
            </w:r>
          </w:p>
        </w:tc>
        <w:tc>
          <w:tcPr>
            <w:tcW w:type="dxa" w:w="14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Coverage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Portfolio Recommendation</w:t>
            </w:r>
          </w:p>
        </w:tc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A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Sí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Gate07I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Portfolio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Contextual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Budget Feasibility</w:t>
            </w:r>
          </w:p>
        </w:tc>
        <w:tc>
          <w:tcPr>
            <w:tcW w:type="dxa" w:w="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A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Sí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Gate07G/A</w:t>
            </w:r>
          </w:p>
        </w:tc>
        <w:tc>
          <w:tcPr>
            <w:tcW w:type="dxa" w:w="1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Portfolio</w:t>
            </w:r>
          </w:p>
        </w:tc>
        <w:tc>
          <w:tcPr>
            <w:tcW w:type="dxa" w:w="1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Contextual</w:t>
            </w:r>
          </w:p>
        </w:tc>
        <w:tc>
          <w:tcPr>
            <w:tcW w:type="dxa" w:w="14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Resource Feasibility</w:t>
            </w:r>
          </w:p>
        </w:tc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B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No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Gate07H / manual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Portfolio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Contextual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Project Definition</w:t>
            </w:r>
          </w:p>
        </w:tc>
        <w:tc>
          <w:tcPr>
            <w:tcW w:type="dxa" w:w="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A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Sí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Gate07J-FEL</w:t>
            </w:r>
          </w:p>
        </w:tc>
        <w:tc>
          <w:tcPr>
            <w:tcW w:type="dxa" w:w="1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Each</w:t>
            </w:r>
          </w:p>
        </w:tc>
        <w:tc>
          <w:tcPr>
            <w:tcW w:type="dxa" w:w="1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365 d</w:t>
            </w:r>
          </w:p>
        </w:tc>
        <w:tc>
          <w:tcPr>
            <w:tcW w:type="dxa" w:w="14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100%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FEL Stage</w:t>
            </w:r>
          </w:p>
        </w:tc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A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Sí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Gate07J-FEL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Each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365 d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100%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PDRI / Definition</w:t>
            </w:r>
          </w:p>
        </w:tc>
        <w:tc>
          <w:tcPr>
            <w:tcW w:type="dxa" w:w="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A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Sí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Gate07J-FEL</w:t>
            </w:r>
          </w:p>
        </w:tc>
        <w:tc>
          <w:tcPr>
            <w:tcW w:type="dxa" w:w="1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Each</w:t>
            </w:r>
          </w:p>
        </w:tc>
        <w:tc>
          <w:tcPr>
            <w:tcW w:type="dxa" w:w="1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365 d</w:t>
            </w:r>
          </w:p>
        </w:tc>
        <w:tc>
          <w:tcPr>
            <w:tcW w:type="dxa" w:w="14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100%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Funding Readiness</w:t>
            </w:r>
          </w:p>
        </w:tc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B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No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Gate07J-FUND / manual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Portfolio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180 d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Risk Readiness</w:t>
            </w:r>
          </w:p>
        </w:tc>
        <w:tc>
          <w:tcPr>
            <w:tcW w:type="dxa" w:w="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B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No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Manual validated</w:t>
            </w:r>
          </w:p>
        </w:tc>
        <w:tc>
          <w:tcPr>
            <w:tcW w:type="dxa" w:w="1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Project Set</w:t>
            </w:r>
          </w:p>
        </w:tc>
        <w:tc>
          <w:tcPr>
            <w:tcW w:type="dxa" w:w="1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90 d</w:t>
            </w:r>
          </w:p>
        </w:tc>
        <w:tc>
          <w:tcPr>
            <w:tcW w:type="dxa" w:w="14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Permit Readiness</w:t>
            </w:r>
          </w:p>
        </w:tc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B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No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Manual validated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Each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180 d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80%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Contracting Strategy</w:t>
            </w:r>
          </w:p>
        </w:tc>
        <w:tc>
          <w:tcPr>
            <w:tcW w:type="dxa" w:w="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B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No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Manual validated</w:t>
            </w:r>
          </w:p>
        </w:tc>
        <w:tc>
          <w:tcPr>
            <w:tcW w:type="dxa" w:w="1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Each</w:t>
            </w:r>
          </w:p>
        </w:tc>
        <w:tc>
          <w:tcPr>
            <w:tcW w:type="dxa" w:w="1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365 d</w:t>
            </w:r>
          </w:p>
        </w:tc>
        <w:tc>
          <w:tcPr>
            <w:tcW w:type="dxa" w:w="14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80%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Execution Plan</w:t>
            </w:r>
          </w:p>
        </w:tc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B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No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Manual validated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Each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365 d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80%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Schedule Maturity</w:t>
            </w:r>
          </w:p>
        </w:tc>
        <w:tc>
          <w:tcPr>
            <w:tcW w:type="dxa" w:w="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B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No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Manual validated</w:t>
            </w:r>
          </w:p>
        </w:tc>
        <w:tc>
          <w:tcPr>
            <w:tcW w:type="dxa" w:w="1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Each</w:t>
            </w:r>
          </w:p>
        </w:tc>
        <w:tc>
          <w:tcPr>
            <w:tcW w:type="dxa" w:w="1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180 d</w:t>
            </w:r>
          </w:p>
        </w:tc>
        <w:tc>
          <w:tcPr>
            <w:tcW w:type="dxa" w:w="14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80%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Cost Estimate Maturity</w:t>
            </w:r>
          </w:p>
        </w:tc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B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No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Manual validated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Each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180 d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80%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Environmental / Social</w:t>
            </w:r>
          </w:p>
        </w:tc>
        <w:tc>
          <w:tcPr>
            <w:tcW w:type="dxa" w:w="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No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Manual / N/A</w:t>
            </w:r>
          </w:p>
        </w:tc>
        <w:tc>
          <w:tcPr>
            <w:tcW w:type="dxa" w:w="1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Each</w:t>
            </w:r>
          </w:p>
        </w:tc>
        <w:tc>
          <w:tcPr>
            <w:tcW w:type="dxa" w:w="1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—</w:t>
            </w:r>
          </w:p>
        </w:tc>
        <w:tc>
          <w:tcPr>
            <w:tcW w:type="dxa" w:w="14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Land Access</w:t>
            </w:r>
          </w:p>
        </w:tc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No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Manual / N/A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Each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—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Stakeholder Readiness</w:t>
            </w:r>
          </w:p>
        </w:tc>
        <w:tc>
          <w:tcPr>
            <w:tcW w:type="dxa" w:w="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No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Manual / N/A</w:t>
            </w:r>
          </w:p>
        </w:tc>
        <w:tc>
          <w:tcPr>
            <w:tcW w:type="dxa" w:w="1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Each</w:t>
            </w:r>
          </w:p>
        </w:tc>
        <w:tc>
          <w:tcPr>
            <w:tcW w:type="dxa" w:w="1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—</w:t>
            </w:r>
          </w:p>
        </w:tc>
        <w:tc>
          <w:tcPr>
            <w:tcW w:type="dxa" w:w="14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Technical Assurance</w:t>
            </w:r>
          </w:p>
        </w:tc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No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Manual / N/A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Each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—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Other Governed Evidence</w:t>
            </w:r>
          </w:p>
        </w:tc>
        <w:tc>
          <w:tcPr>
            <w:tcW w:type="dxa" w:w="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No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N/A</w:t>
            </w:r>
          </w:p>
        </w:tc>
        <w:tc>
          <w:tcPr>
            <w:tcW w:type="dxa" w:w="1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Portfolio</w:t>
            </w:r>
          </w:p>
        </w:tc>
        <w:tc>
          <w:tcPr>
            <w:tcW w:type="dxa" w:w="1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—</w:t>
            </w:r>
          </w:p>
        </w:tc>
        <w:tc>
          <w:tcPr>
            <w:tcW w:type="dxa" w:w="14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</w:pPr>
      <w:r>
        <w:t>4.2 PYP-FFA — Full Funds Authorization Preparation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00"/>
        <w:gridCol w:w="650"/>
        <w:gridCol w:w="1900"/>
        <w:gridCol w:w="1150"/>
        <w:gridCol w:w="1100"/>
        <w:gridCol w:w="1460"/>
      </w:tblGrid>
      <w:tr>
        <w:trPr>
          <w:tblHeader w:val="true"/>
          <w:cantSplit/>
        </w:trPr>
        <w:tc>
          <w:tcPr>
            <w:tcW w:type="dxa" w:w="25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Evidence</w:t>
            </w:r>
          </w:p>
        </w:tc>
        <w:tc>
          <w:tcPr>
            <w:tcW w:type="dxa" w:w="6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Class</w:t>
            </w:r>
          </w:p>
        </w:tc>
        <w:tc>
          <w:tcPr>
            <w:tcW w:type="dxa" w:w="6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Block</w:t>
            </w:r>
          </w:p>
        </w:tc>
        <w:tc>
          <w:tcPr>
            <w:tcW w:type="dxa" w:w="19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Provider</w:t>
            </w:r>
          </w:p>
        </w:tc>
        <w:tc>
          <w:tcPr>
            <w:tcW w:type="dxa" w:w="11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Scope</w:t>
            </w:r>
          </w:p>
        </w:tc>
        <w:tc>
          <w:tcPr>
            <w:tcW w:type="dxa" w:w="11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Validity</w:t>
            </w:r>
          </w:p>
        </w:tc>
        <w:tc>
          <w:tcPr>
            <w:tcW w:type="dxa" w:w="14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Coverage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Portfolio Recommendation</w:t>
            </w:r>
          </w:p>
        </w:tc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A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Sí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Gate07I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Portfolio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Contextual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Budget Feasibility</w:t>
            </w:r>
          </w:p>
        </w:tc>
        <w:tc>
          <w:tcPr>
            <w:tcW w:type="dxa" w:w="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A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Sí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Gate07G/A</w:t>
            </w:r>
          </w:p>
        </w:tc>
        <w:tc>
          <w:tcPr>
            <w:tcW w:type="dxa" w:w="1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Portfolio</w:t>
            </w:r>
          </w:p>
        </w:tc>
        <w:tc>
          <w:tcPr>
            <w:tcW w:type="dxa" w:w="1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Contextual</w:t>
            </w:r>
          </w:p>
        </w:tc>
        <w:tc>
          <w:tcPr>
            <w:tcW w:type="dxa" w:w="14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Resource Feasibility</w:t>
            </w:r>
          </w:p>
        </w:tc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A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Sí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Gate07H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Portfolio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Contextual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Project Definition</w:t>
            </w:r>
          </w:p>
        </w:tc>
        <w:tc>
          <w:tcPr>
            <w:tcW w:type="dxa" w:w="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A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Sí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Gate07J-FEL</w:t>
            </w:r>
          </w:p>
        </w:tc>
        <w:tc>
          <w:tcPr>
            <w:tcW w:type="dxa" w:w="1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Each</w:t>
            </w:r>
          </w:p>
        </w:tc>
        <w:tc>
          <w:tcPr>
            <w:tcW w:type="dxa" w:w="1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365 d</w:t>
            </w:r>
          </w:p>
        </w:tc>
        <w:tc>
          <w:tcPr>
            <w:tcW w:type="dxa" w:w="14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100%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FEL Stage</w:t>
            </w:r>
          </w:p>
        </w:tc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A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Sí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Gate07J-FEL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Each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365 d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100%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PDRI / Definition</w:t>
            </w:r>
          </w:p>
        </w:tc>
        <w:tc>
          <w:tcPr>
            <w:tcW w:type="dxa" w:w="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A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Sí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Gate07J-FEL</w:t>
            </w:r>
          </w:p>
        </w:tc>
        <w:tc>
          <w:tcPr>
            <w:tcW w:type="dxa" w:w="1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Each</w:t>
            </w:r>
          </w:p>
        </w:tc>
        <w:tc>
          <w:tcPr>
            <w:tcW w:type="dxa" w:w="1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365 d</w:t>
            </w:r>
          </w:p>
        </w:tc>
        <w:tc>
          <w:tcPr>
            <w:tcW w:type="dxa" w:w="14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100%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Funding Readiness</w:t>
            </w:r>
          </w:p>
        </w:tc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A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Sí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Gate07J-FUND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Portfolio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180 d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Risk Readiness</w:t>
            </w:r>
          </w:p>
        </w:tc>
        <w:tc>
          <w:tcPr>
            <w:tcW w:type="dxa" w:w="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A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Sí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Risk provider</w:t>
            </w:r>
          </w:p>
        </w:tc>
        <w:tc>
          <w:tcPr>
            <w:tcW w:type="dxa" w:w="1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Project Set</w:t>
            </w:r>
          </w:p>
        </w:tc>
        <w:tc>
          <w:tcPr>
            <w:tcW w:type="dxa" w:w="1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90 d</w:t>
            </w:r>
          </w:p>
        </w:tc>
        <w:tc>
          <w:tcPr>
            <w:tcW w:type="dxa" w:w="14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100%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Permit Readiness</w:t>
            </w:r>
          </w:p>
        </w:tc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B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Sí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Manual validated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Each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180 d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100%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Contracting Strategy</w:t>
            </w:r>
          </w:p>
        </w:tc>
        <w:tc>
          <w:tcPr>
            <w:tcW w:type="dxa" w:w="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B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Sí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Manual validated</w:t>
            </w:r>
          </w:p>
        </w:tc>
        <w:tc>
          <w:tcPr>
            <w:tcW w:type="dxa" w:w="1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Each</w:t>
            </w:r>
          </w:p>
        </w:tc>
        <w:tc>
          <w:tcPr>
            <w:tcW w:type="dxa" w:w="1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365 d</w:t>
            </w:r>
          </w:p>
        </w:tc>
        <w:tc>
          <w:tcPr>
            <w:tcW w:type="dxa" w:w="14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100%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Execution Plan</w:t>
            </w:r>
          </w:p>
        </w:tc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B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Sí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Manual validated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Each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365 d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100%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Schedule Maturity</w:t>
            </w:r>
          </w:p>
        </w:tc>
        <w:tc>
          <w:tcPr>
            <w:tcW w:type="dxa" w:w="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B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Sí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Manual validated</w:t>
            </w:r>
          </w:p>
        </w:tc>
        <w:tc>
          <w:tcPr>
            <w:tcW w:type="dxa" w:w="1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Each</w:t>
            </w:r>
          </w:p>
        </w:tc>
        <w:tc>
          <w:tcPr>
            <w:tcW w:type="dxa" w:w="1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180 d</w:t>
            </w:r>
          </w:p>
        </w:tc>
        <w:tc>
          <w:tcPr>
            <w:tcW w:type="dxa" w:w="14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100%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Cost Estimate Maturity</w:t>
            </w:r>
          </w:p>
        </w:tc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A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Sí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Gate07J-FEL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Each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180 d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100%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Environmental / Social</w:t>
            </w:r>
          </w:p>
        </w:tc>
        <w:tc>
          <w:tcPr>
            <w:tcW w:type="dxa" w:w="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B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No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Manual / N/A</w:t>
            </w:r>
          </w:p>
        </w:tc>
        <w:tc>
          <w:tcPr>
            <w:tcW w:type="dxa" w:w="1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Each</w:t>
            </w:r>
          </w:p>
        </w:tc>
        <w:tc>
          <w:tcPr>
            <w:tcW w:type="dxa" w:w="1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180 d</w:t>
            </w:r>
          </w:p>
        </w:tc>
        <w:tc>
          <w:tcPr>
            <w:tcW w:type="dxa" w:w="14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100%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Land Access</w:t>
            </w:r>
          </w:p>
        </w:tc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B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No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Manual / N/A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Each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180 d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100%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Stakeholder Readiness</w:t>
            </w:r>
          </w:p>
        </w:tc>
        <w:tc>
          <w:tcPr>
            <w:tcW w:type="dxa" w:w="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B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No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Manual / N/A</w:t>
            </w:r>
          </w:p>
        </w:tc>
        <w:tc>
          <w:tcPr>
            <w:tcW w:type="dxa" w:w="1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Each</w:t>
            </w:r>
          </w:p>
        </w:tc>
        <w:tc>
          <w:tcPr>
            <w:tcW w:type="dxa" w:w="1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180 d</w:t>
            </w:r>
          </w:p>
        </w:tc>
        <w:tc>
          <w:tcPr>
            <w:tcW w:type="dxa" w:w="14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100%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Technical Assurance</w:t>
            </w:r>
          </w:p>
        </w:tc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B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No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Manual / N/A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Each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365 d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100%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Other Governed Evidence</w:t>
            </w:r>
          </w:p>
        </w:tc>
        <w:tc>
          <w:tcPr>
            <w:tcW w:type="dxa" w:w="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No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N/A</w:t>
            </w:r>
          </w:p>
        </w:tc>
        <w:tc>
          <w:tcPr>
            <w:tcW w:type="dxa" w:w="1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Portfolio</w:t>
            </w:r>
          </w:p>
        </w:tc>
        <w:tc>
          <w:tcPr>
            <w:tcW w:type="dxa" w:w="1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—</w:t>
            </w:r>
          </w:p>
        </w:tc>
        <w:tc>
          <w:tcPr>
            <w:tcW w:type="dxa" w:w="14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—</w:t>
            </w:r>
          </w:p>
        </w:tc>
      </w:tr>
    </w:tbl>
    <w:p>
      <w:pPr>
        <w:spacing w:after="0"/>
      </w:pPr>
    </w:p>
    <w:p>
      <w:pPr>
        <w:pStyle w:val="Heading1"/>
      </w:pPr>
      <w:r>
        <w:t>5. Contexto, overrides y decisiones ADR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6160"/>
      </w:tblGrid>
      <w:tr>
        <w:trPr>
          <w:tblHeader w:val="true"/>
          <w:cantSplit/>
        </w:trPr>
        <w:tc>
          <w:tcPr>
            <w:tcW w:type="dxa" w:w="3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Resolución</w:t>
            </w:r>
          </w:p>
        </w:tc>
        <w:tc>
          <w:tcPr>
            <w:tcW w:type="dxa" w:w="61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Comportamiento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PYP-FFA + Mining + Permit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Base B → A; provider reservado; manual insuficiente; blocking 100%</w:t>
            </w:r>
          </w:p>
        </w:tc>
      </w:tr>
      <w:tr>
        <w:trPr>
          <w:cantSplit/>
        </w:trPr>
        <w:tc>
          <w:tcPr>
            <w:tcW w:type="dxa" w:w="3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PYP-FFA + Building + Permit</w:t>
            </w:r>
          </w:p>
        </w:tc>
        <w:tc>
          <w:tcPr>
            <w:tcW w:type="dxa" w:w="6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Conserva B; evidencia controlada requiere validación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Mixed Mining + Building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EACH_PROJECT resuelve ambos Projects sin colapsar tipo</w:t>
            </w:r>
          </w:p>
        </w:tc>
      </w:tr>
      <w:tr>
        <w:trPr>
          <w:cantSplit/>
        </w:trPr>
        <w:tc>
          <w:tcPr>
            <w:tcW w:type="dxa" w:w="3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DIRECT_INTERNAL / CONTRACTOR_DELIVERY</w:t>
            </w:r>
          </w:p>
        </w:tc>
        <w:tc>
          <w:tcPr>
            <w:tcW w:type="dxa" w:w="6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 por defecto; no vuelve obligatorio el gate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CAPITAL_OWNER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Aplica matriz publicada e inheritance contextual</w:t>
            </w:r>
          </w:p>
        </w:tc>
      </w:tr>
    </w:tbl>
    <w:p>
      <w:pPr>
        <w:spacing w:after="0"/>
      </w:pPr>
    </w:p>
    <w:p>
      <w:pPr>
        <w:pStyle w:val="Heading2"/>
      </w:pPr>
      <w:r>
        <w:t>5.1 Ocho decisiones obligatorias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900"/>
        <w:gridCol w:w="2600"/>
        <w:gridCol w:w="2960"/>
      </w:tblGrid>
      <w:tr>
        <w:trPr>
          <w:tblHeader w:val="true"/>
          <w:cantSplit/>
        </w:trPr>
        <w:tc>
          <w:tcPr>
            <w:tcW w:type="dxa" w:w="19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Domain</w:t>
            </w:r>
          </w:p>
        </w:tc>
        <w:tc>
          <w:tcPr>
            <w:tcW w:type="dxa" w:w="19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INV-SELECT</w:t>
            </w:r>
          </w:p>
        </w:tc>
        <w:tc>
          <w:tcPr>
            <w:tcW w:type="dxa" w:w="26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FFA / override</w:t>
            </w:r>
          </w:p>
        </w:tc>
        <w:tc>
          <w:tcPr>
            <w:tcW w:type="dxa" w:w="29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Decision y acción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Risk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B · 90 d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 · block · 100%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Provider missing; construir primero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Permit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B · 180 d · 80%</w:t>
            </w:r>
          </w:p>
        </w:tc>
        <w:tc>
          <w:tcPr>
            <w:tcW w:type="dxa" w:w="2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B; Mining=A · block · 100%</w:t>
            </w:r>
          </w:p>
        </w:tc>
        <w:tc>
          <w:tcPr>
            <w:tcW w:type="dxa" w:w="29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Manual base; provider después de Risk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Contracting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B · no block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B · block · 100%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Documento gobernado suficiente; no engine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Execution Plan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B · no block</w:t>
            </w:r>
          </w:p>
        </w:tc>
        <w:tc>
          <w:tcPr>
            <w:tcW w:type="dxa" w:w="2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B · block · 100%</w:t>
            </w:r>
          </w:p>
        </w:tc>
        <w:tc>
          <w:tcPr>
            <w:tcW w:type="dxa" w:w="29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PEP validado suficiente; no engine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Schedule Maturity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B · no block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B · block · 100%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Assessment suficiente; no CPM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Cost Estimate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B · manual</w:t>
            </w:r>
          </w:p>
        </w:tc>
        <w:tc>
          <w:tcPr>
            <w:tcW w:type="dxa" w:w="2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 · FEL · block · 100%</w:t>
            </w:r>
          </w:p>
        </w:tc>
        <w:tc>
          <w:tcPr>
            <w:tcW w:type="dxa" w:w="29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Reusar FEL; no duplicar fuente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Environmental/Social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B · 180 d · 100%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Validación manual; no nuevo módulo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Land Access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</w:t>
            </w:r>
          </w:p>
        </w:tc>
        <w:tc>
          <w:tcPr>
            <w:tcW w:type="dxa" w:w="2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B · 180 d · 100%</w:t>
            </w:r>
          </w:p>
        </w:tc>
        <w:tc>
          <w:tcPr>
            <w:tcW w:type="dxa" w:w="29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Validación manual; no nuevo módulo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FF5E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DECISIONES DE DETALLE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Project Dependencies permanece en el resumen de Budget Feasibility. CAPEX/EXPENSE/UNCLASSIFIED permanece como detalle presupuestal y de restricciones de funding; ninguno se convierte en evidence type independiente.</w:t>
            </w:r>
          </w:p>
        </w:tc>
      </w:tr>
    </w:tbl>
    <w:p>
      <w:pPr>
        <w:spacing w:after="0"/>
      </w:pPr>
    </w:p>
    <w:p>
      <w:pPr>
        <w:pStyle w:val="Heading1"/>
      </w:pPr>
      <w:r>
        <w:t>6. Integración con Gate 07J y compatibilidad histórica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Momento</w:t>
            </w:r>
          </w:p>
        </w:tc>
        <w:tc>
          <w:tcPr>
            <w:tcW w:type="dxa" w:w="67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Comportamiento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Nueva Preparation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Obtiene política PUBLISHED efectiva por portfolio/profile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Snapshot</w:t>
            </w:r>
          </w:p>
        </w:tc>
        <w:tc>
          <w:tcPr>
            <w:tcW w:type="dxa" w:w="6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policy id/revision/hash, matrix, providers y Project contexts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Class A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Resuelve adapter gobernado; error permanece blocking; manual prohibido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Class B</w:t>
            </w:r>
          </w:p>
        </w:tc>
        <w:tc>
          <w:tcPr>
            <w:tcW w:type="dxa" w:w="6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Governed source opcional o SUBMITTED → VALIDATED manual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Class C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NOT_REQUIRED; sin blocker/warning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Refresh</w:t>
            </w:r>
          </w:p>
        </w:tc>
        <w:tc>
          <w:tcPr>
            <w:tcW w:type="dxa" w:w="6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Conserva snapshot; no auto-upgrade silencioso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FROZEN / legacy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Hash, profile, requirements y evidence no se reinterpretan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Handoff</w:t>
            </w:r>
          </w:p>
        </w:tc>
        <w:tc>
          <w:tcPr>
            <w:tcW w:type="dxa" w:w="6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Gate 07J sigue siendo owner; can_enter_fid=false</w:t>
            </w:r>
          </w:p>
        </w:tc>
      </w:tr>
    </w:tbl>
    <w:p>
      <w:pPr>
        <w:spacing w:after="0"/>
      </w:pPr>
    </w:p>
    <w:p>
      <w:pPr>
        <w:pStyle w:val="Heading2"/>
      </w:pPr>
      <w:r>
        <w:t>6.1 Validity, coverage, blocking y conditions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Control</w:t>
            </w:r>
          </w:p>
        </w:tc>
        <w:tc>
          <w:tcPr>
            <w:tcW w:type="dxa" w:w="71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Regla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Validity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Por requirement; no existe expiración global única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Freshness</w:t>
            </w:r>
          </w:p>
        </w:tc>
        <w:tc>
          <w:tcPr>
            <w:tcW w:type="dxa" w:w="7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Current-with Project Set / Recommendation / Budget / FEL según evidence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Coverage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EACH_PROJECT valida todos; 2/3 = 66,67%; threshold 100% bloquea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Expired B</w:t>
            </w:r>
          </w:p>
        </w:tc>
        <w:tc>
          <w:tcPr>
            <w:tcW w:type="dxa" w:w="7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VALID vencida se vuelve EXPIRED y genera EVIDENCE_EXPIRED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Conditions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VALID_WITH_CONDITIONS sólo si Gate Profile lo permite; usa patrón Gate 07J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Blocking</w:t>
            </w:r>
          </w:p>
        </w:tc>
        <w:tc>
          <w:tcPr>
            <w:tcW w:type="dxa" w:w="7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A siempre bloquea si fuente inválida; B sólo cuando requirement.blocking</w:t>
            </w:r>
          </w:p>
        </w:tc>
      </w:tr>
    </w:tbl>
    <w:p>
      <w:pPr>
        <w:spacing w:after="0"/>
      </w:pPr>
    </w:p>
    <w:p>
      <w:pPr>
        <w:pStyle w:val="Heading1"/>
      </w:pPr>
      <w:r>
        <w:t>7. Superficies ADMIN/USER, APIs y seguridad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7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ADMIN MODE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Enterprise Strategy Manager → Investment Governance → Investment Decision Evidence Policy. Se usa CompactModuleHeader y 12 tabs: Overview, Investment Gate Profiles, Evidence Matrix, Project Type Overrides, Provider Registry, Readiness Rules, Validity, Coverage, Blocking Policy, Missing Providers, Preview e History.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50"/>
        <w:gridCol w:w="1000"/>
        <w:gridCol w:w="3710"/>
      </w:tblGrid>
      <w:tr>
        <w:trPr>
          <w:tblHeader w:val="true"/>
          <w:cantSplit/>
        </w:trPr>
        <w:tc>
          <w:tcPr>
            <w:tcW w:type="dxa" w:w="46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API</w:t>
            </w:r>
          </w:p>
        </w:tc>
        <w:tc>
          <w:tcPr>
            <w:tcW w:type="dxa" w:w="10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Método</w:t>
            </w:r>
          </w:p>
        </w:tc>
        <w:tc>
          <w:tcPr>
            <w:tcW w:type="dxa" w:w="371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Control</w:t>
            </w:r>
          </w:p>
        </w:tc>
      </w:tr>
      <w:tr>
        <w:trPr>
          <w:cantSplit/>
        </w:trPr>
        <w:tc>
          <w:tcPr>
            <w:tcW w:type="dxa" w:w="4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/investment-evidence-policy/overview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GET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Policy, providers, gaps, ADRs, boundaries</w:t>
            </w:r>
          </w:p>
        </w:tc>
      </w:tr>
      <w:tr>
        <w:trPr>
          <w:cantSplit/>
        </w:trPr>
        <w:tc>
          <w:tcPr>
            <w:tcW w:type="dxa" w:w="46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/configurations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GET</w:t>
            </w:r>
          </w:p>
        </w:tc>
        <w:tc>
          <w:tcPr>
            <w:tcW w:type="dxa" w:w="37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Historia por revisión</w:t>
            </w:r>
          </w:p>
        </w:tc>
      </w:tr>
      <w:tr>
        <w:trPr>
          <w:cantSplit/>
        </w:trPr>
        <w:tc>
          <w:tcPr>
            <w:tcW w:type="dxa" w:w="4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/configurations/{id}/clone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POST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If-Match; DRAFT</w:t>
            </w:r>
          </w:p>
        </w:tc>
      </w:tr>
      <w:tr>
        <w:trPr>
          <w:cantSplit/>
        </w:trPr>
        <w:tc>
          <w:tcPr>
            <w:tcW w:type="dxa" w:w="46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/configurations/{id}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PUT</w:t>
            </w:r>
          </w:p>
        </w:tc>
        <w:tc>
          <w:tcPr>
            <w:tcW w:type="dxa" w:w="37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If-Match; 412 ETAG_MISMATCH</w:t>
            </w:r>
          </w:p>
        </w:tc>
      </w:tr>
      <w:tr>
        <w:trPr>
          <w:cantSplit/>
        </w:trPr>
        <w:tc>
          <w:tcPr>
            <w:tcW w:type="dxa" w:w="4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/configurations/{id}/preview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POST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persisted=false</w:t>
            </w:r>
          </w:p>
        </w:tc>
      </w:tr>
      <w:tr>
        <w:trPr>
          <w:cantSplit/>
        </w:trPr>
        <w:tc>
          <w:tcPr>
            <w:tcW w:type="dxa" w:w="46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/configurations/{id}/publish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POST</w:t>
            </w:r>
          </w:p>
        </w:tc>
        <w:tc>
          <w:tcPr>
            <w:tcW w:type="dxa" w:w="37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Supersede + immutable publish</w:t>
            </w:r>
          </w:p>
        </w:tc>
      </w:tr>
      <w:tr>
        <w:trPr>
          <w:cantSplit/>
        </w:trPr>
        <w:tc>
          <w:tcPr>
            <w:tcW w:type="dxa" w:w="4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/providers[/{key}]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GET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Registry read-only</w:t>
            </w:r>
          </w:p>
        </w:tc>
      </w:tr>
      <w:tr>
        <w:trPr>
          <w:cantSplit/>
        </w:trPr>
        <w:tc>
          <w:tcPr>
            <w:tcW w:type="dxa" w:w="46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/effective/preview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POST</w:t>
            </w:r>
          </w:p>
        </w:tc>
        <w:tc>
          <w:tcPr>
            <w:tcW w:type="dxa" w:w="37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Contextual dry-run</w:t>
            </w:r>
          </w:p>
        </w:tc>
      </w:tr>
      <w:tr>
        <w:trPr>
          <w:cantSplit/>
        </w:trPr>
        <w:tc>
          <w:tcPr>
            <w:tcW w:type="dxa" w:w="4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/missing-providers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GET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Deterministic gap analysis</w:t>
            </w:r>
          </w:p>
        </w:tc>
      </w:tr>
    </w:tbl>
    <w:p>
      <w:pPr>
        <w:spacing w:after="0"/>
      </w:pPr>
    </w:p>
    <w:p>
      <w:pPr>
        <w:pStyle w:val="Heading2"/>
      </w:pPr>
      <w:r>
        <w:t>7.1 RBAC, ETag y auditoría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Área</w:t>
            </w:r>
          </w:p>
        </w:tc>
        <w:tc>
          <w:tcPr>
            <w:tcW w:type="dxa" w:w="68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Implementación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Permissions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read · configure · publish · provider.read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Roles</w:t>
            </w:r>
          </w:p>
        </w:tc>
        <w:tc>
          <w:tcPr>
            <w:tcW w:type="dxa" w:w="6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investment_evidence_policy_admin / viewer; organization_admin heredado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Actions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view, clone, edit, preview, publish, view registry, view gaps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Concurrency</w:t>
            </w:r>
          </w:p>
        </w:tc>
        <w:tc>
          <w:tcPr>
            <w:tcW w:type="dxa" w:w="6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DRAFT writes usan ETag/If-Match; stale = 412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SecurityEvent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cloned, updated, published, superseded; sin ruido por reads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USER</w:t>
            </w:r>
          </w:p>
        </w:tc>
        <w:tc>
          <w:tcPr>
            <w:tcW w:type="dxa" w:w="6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Consume resultado dentro de Gate 07J; no proceso transaccional independiente</w:t>
            </w:r>
          </w:p>
        </w:tc>
      </w:tr>
    </w:tbl>
    <w:p>
      <w:pPr>
        <w:spacing w:after="0"/>
      </w:pPr>
    </w:p>
    <w:p>
      <w:pPr>
        <w:pStyle w:val="Heading1"/>
      </w:pPr>
      <w:r>
        <w:t>8. Pruebas, PostgreSQL, browser y regresión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1500"/>
        <w:gridCol w:w="4760"/>
      </w:tblGrid>
      <w:tr>
        <w:trPr>
          <w:tblHeader w:val="true"/>
          <w:cantSplit/>
        </w:trPr>
        <w:tc>
          <w:tcPr>
            <w:tcW w:type="dxa" w:w="31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Validación</w:t>
            </w:r>
          </w:p>
        </w:tc>
        <w:tc>
          <w:tcPr>
            <w:tcW w:type="dxa" w:w="15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Resultado</w:t>
            </w:r>
          </w:p>
        </w:tc>
        <w:tc>
          <w:tcPr>
            <w:tcW w:type="dxa" w:w="47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Cobertura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Backend policy + Gate 07J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11/11 PASS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A/B/C, mixed types, stale, 412, audit, historical</w:t>
            </w:r>
          </w:p>
        </w:tc>
      </w:tr>
      <w:tr>
        <w:trPr>
          <w:cantSplit/>
        </w:trPr>
        <w:tc>
          <w:tcPr>
            <w:tcW w:type="dxa" w:w="3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PostgreSQL baseline suite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69/69 PASS</w:t>
            </w:r>
          </w:p>
        </w:tc>
        <w:tc>
          <w:tcPr>
            <w:tcW w:type="dxa" w:w="4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07D/07E y gobernanza transversal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PostgreSQL portfolio suite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68/68 PASS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07E–07J-EVID + provider/service tests</w:t>
            </w:r>
          </w:p>
        </w:tc>
      </w:tr>
      <w:tr>
        <w:trPr>
          <w:cantSplit/>
        </w:trPr>
        <w:tc>
          <w:tcPr>
            <w:tcW w:type="dxa" w:w="3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Migration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4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0052 → 0051 → 0052; EVID no añade schema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Frontend targeted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2/2 PASS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Matrix, registry, dry-run, next provider</w:t>
            </w:r>
          </w:p>
        </w:tc>
      </w:tr>
      <w:tr>
        <w:trPr>
          <w:cantSplit/>
        </w:trPr>
        <w:tc>
          <w:tcPr>
            <w:tcW w:type="dxa" w:w="3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Frontend AppFlow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28/28 PASS</w:t>
            </w:r>
          </w:p>
        </w:tc>
        <w:tc>
          <w:tcPr>
            <w:tcW w:type="dxa" w:w="4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USER/ADMIN navigation and existing modules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Browser 07J-EVID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1/1 PASS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Clone, override, Preview, 412, Save, Publish</w:t>
            </w:r>
          </w:p>
        </w:tc>
      </w:tr>
      <w:tr>
        <w:trPr>
          <w:cantSplit/>
        </w:trPr>
        <w:tc>
          <w:tcPr>
            <w:tcW w:type="dxa" w:w="3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Browser console/network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4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0 uncaught; 0 unexpected 4xx/5xx; controlled 412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Ruff / ESLint / TypeScript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Backend and frontend static validation</w:t>
            </w:r>
          </w:p>
        </w:tc>
      </w:tr>
    </w:tbl>
    <w:p>
      <w:pPr>
        <w:spacing w:after="0"/>
      </w:pPr>
    </w:p>
    <w:p>
      <w:pPr>
        <w:pStyle w:val="Heading2"/>
      </w:pPr>
      <w:r>
        <w:t>8.1 Casos funcionales críticos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Caso</w:t>
            </w:r>
          </w:p>
        </w:tc>
        <w:tc>
          <w:tcPr>
            <w:tcW w:type="dxa" w:w="63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Resultado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Risk A + provider unavailable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SOURCE_PROVIDER_MISSING; blocker; no manual fallback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Permit B manual</w:t>
            </w:r>
          </w:p>
        </w:tc>
        <w:tc>
          <w:tcPr>
            <w:tcW w:type="dxa" w:w="6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SUBMITTED hasta validación independiente; luego VALID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Land Access C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NOT_REQUIRED; sin blocker/warning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Mining override</w:t>
            </w:r>
          </w:p>
        </w:tc>
        <w:tc>
          <w:tcPr>
            <w:tcW w:type="dxa" w:w="6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PYP-FFA Permit B → A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Mixed Set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Mining y Building resueltos por Project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Stale A</w:t>
            </w:r>
          </w:p>
        </w:tc>
        <w:tc>
          <w:tcPr>
            <w:tcW w:type="dxa" w:w="6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SOURCE_STALE; no degradación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Expired B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EXPIRED por reglas Gate 07J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Coverage</w:t>
            </w:r>
          </w:p>
        </w:tc>
        <w:tc>
          <w:tcPr>
            <w:tcW w:type="dxa" w:w="6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No se promedian Projects faltantes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Invalid provider contract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PROVIDER_CONTRACT_INVALID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Historical</w:t>
            </w:r>
          </w:p>
        </w:tc>
        <w:tc>
          <w:tcPr>
            <w:tcW w:type="dxa" w:w="6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Preparation pre-policy queda intacta</w:t>
            </w:r>
          </w:p>
        </w:tc>
      </w:tr>
    </w:tbl>
    <w:p>
      <w:pPr>
        <w:spacing w:after="0"/>
      </w:pPr>
    </w:p>
    <w:p>
      <w:pPr>
        <w:pStyle w:val="Heading1"/>
      </w:pPr>
      <w:r>
        <w:t>9. Protección de baseline persistente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1900"/>
        <w:gridCol w:w="1900"/>
        <w:gridCol w:w="3060"/>
      </w:tblGrid>
      <w:tr>
        <w:trPr>
          <w:tblHeader w:val="true"/>
          <w:cantSplit/>
        </w:trPr>
        <w:tc>
          <w:tcPr>
            <w:tcW w:type="dxa" w:w="25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Medida</w:t>
            </w:r>
          </w:p>
        </w:tc>
        <w:tc>
          <w:tcPr>
            <w:tcW w:type="dxa" w:w="19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Antes</w:t>
            </w:r>
          </w:p>
        </w:tc>
        <w:tc>
          <w:tcPr>
            <w:tcW w:type="dxa" w:w="19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Después</w:t>
            </w:r>
          </w:p>
        </w:tc>
        <w:tc>
          <w:tcPr>
            <w:tcW w:type="dxa" w:w="30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Conclusión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Alembic head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20260830_0052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20260830_0052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Sin migración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AdminConfiguration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79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80</w:t>
            </w:r>
          </w:p>
        </w:tc>
        <w:tc>
          <w:tcPr>
            <w:tcW w:type="dxa" w:w="30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+1 starter DRAFT esperado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Gate Profiles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Sin reemplazo de lifecycle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EVID policy revisions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30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Starter DRAFT, no auto-publish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Provider registry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0 tablas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7 code-backed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Sin endpoints ejecutables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Gate07J Preparations / Items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0 / 0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0 / 0</w:t>
            </w:r>
          </w:p>
        </w:tc>
        <w:tc>
          <w:tcPr>
            <w:tcW w:type="dxa" w:w="30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Preview no persistió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Enterprise Workspaces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14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14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Sin cambio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Project ID14 hash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1ba97904…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1ba97904…</w:t>
            </w:r>
          </w:p>
        </w:tc>
        <w:tc>
          <w:tcPr>
            <w:tcW w:type="dxa" w:w="30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Inalterado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FEL / Funds / Funding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0 / 0 / 0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0 / 0 / 0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Inalterado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Budget / Resource Scenarios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0 / 0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0 / 0</w:t>
            </w:r>
          </w:p>
        </w:tc>
        <w:tc>
          <w:tcPr>
            <w:tcW w:type="dxa" w:w="30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Inalterado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ENTORNO EFÍMERO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Las suites PostgreSQL se ejecutaron en PostgreSQL 16 con tmpfs y proyecto Compose aislado. Al terminar se eliminaron contenedores y red. El baseline local sólo recibió el único starter DRAFT solicitado.</w:t>
            </w:r>
          </w:p>
        </w:tc>
      </w:tr>
    </w:tbl>
    <w:p>
      <w:pPr>
        <w:spacing w:after="0"/>
      </w:pPr>
    </w:p>
    <w:p>
      <w:pPr>
        <w:pStyle w:val="Heading1"/>
      </w:pPr>
      <w:r>
        <w:t>10. Final Gap Analysis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Grupo exacto</w:t>
            </w:r>
          </w:p>
        </w:tc>
        <w:tc>
          <w:tcPr>
            <w:tcW w:type="dxa" w:w="63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Salida validada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AVAILABLE GOVERNED SOURCES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Portfolio, Budget, Resource, Definition, FEL, PDRI, Funding y Cost Estimate (FFA vía FEL)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MISSING GOVERNED SOURCES</w:t>
            </w:r>
          </w:p>
        </w:tc>
        <w:tc>
          <w:tcPr>
            <w:tcW w:type="dxa" w:w="6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Risk para PYP-FFA; Permit para PYP-FFA + Mining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GOVERNED EVIDENCE SUFFICIENT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Risk Selection; Permit base; Contracting; Execution; Schedule; Cost Selection; FFA E&amp;S/Land/Stakeholder/Technical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NOT REQUIRED</w:t>
            </w:r>
          </w:p>
        </w:tc>
        <w:tc>
          <w:tcPr>
            <w:tcW w:type="dxa" w:w="6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Selection E&amp;S/Land/Stakeholder/Technical; Other; governance fuera de CAPITAL_OWNER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FF5E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DECISIÓN ÚNICA SIGUIENTE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NEXT = BUILD_MISSING_GOVERNED_PROVIDER · provider = RISK_READINESS_PROVIDER. Es el primer gap blocking Class A para PYP-FFA. No se inicia su implementación en este gate.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7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ESTADO EXCLUSIVO FINAL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GATE07J_EVID_POLICY_VALIDATED. final_output = READY_FOR_INVESTMENT_DECISION_EVIDENCE_POLICY. can_design_investment_decision_gate=false mientras exista el gap Risk; can_enter_fid=false siempre.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STOP BOUNDARY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No Risk Manager, Permit Manager, Contracting Manager, Execution Plan Manager, Schedule Manager, Cost Estimate Manager, Investment Decision, FID, GO/HOLD/RECYCLE/KILL, Project Initialization, Activation o Execution.</w:t>
            </w:r>
          </w:p>
        </w:tc>
      </w:tr>
    </w:tbl>
    <w:p>
      <w:pPr>
        <w:spacing w:after="0"/>
      </w:pPr>
    </w:p>
    <w:p>
      <w:pPr>
        <w:pStyle w:val="Heading1"/>
      </w:pPr>
      <w:r>
        <w:t>11. Trazabilidad de entregables 1–41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5000"/>
        <w:gridCol w:w="1760"/>
        <w:gridCol w:w="2000"/>
      </w:tblGrid>
      <w:tr>
        <w:trPr>
          <w:tblHeader w:val="true"/>
          <w:cantSplit/>
        </w:trPr>
        <w:tc>
          <w:tcPr>
            <w:tcW w:type="dxa" w:w="6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#</w:t>
            </w:r>
          </w:p>
        </w:tc>
        <w:tc>
          <w:tcPr>
            <w:tcW w:type="dxa" w:w="50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Entregable</w:t>
            </w:r>
          </w:p>
        </w:tc>
        <w:tc>
          <w:tcPr>
            <w:tcW w:type="dxa" w:w="17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Evidencia</w:t>
            </w:r>
          </w:p>
        </w:tc>
        <w:tc>
          <w:tcPr>
            <w:tcW w:type="dxa" w:w="20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Executive summary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Portada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5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ADR Gate07J-EVID</w:t>
            </w:r>
          </w:p>
        </w:tc>
        <w:tc>
          <w:tcPr>
            <w:tcW w:type="dxa" w:w="1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ADR 55</w:t>
            </w:r>
          </w:p>
        </w:tc>
        <w:tc>
          <w:tcPr>
            <w:tcW w:type="dxa" w:w="2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Baseline assessment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§1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5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REUSE BEFORE CREATE</w:t>
            </w:r>
          </w:p>
        </w:tc>
        <w:tc>
          <w:tcPr>
            <w:tcW w:type="dxa" w:w="1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§1</w:t>
            </w:r>
          </w:p>
        </w:tc>
        <w:tc>
          <w:tcPr>
            <w:tcW w:type="dxa" w:w="2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A/B/C architecture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§2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6</w:t>
            </w:r>
          </w:p>
        </w:tc>
        <w:tc>
          <w:tcPr>
            <w:tcW w:type="dxa" w:w="5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No-silent-fallback rule</w:t>
            </w:r>
          </w:p>
        </w:tc>
        <w:tc>
          <w:tcPr>
            <w:tcW w:type="dxa" w:w="1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§2</w:t>
            </w:r>
          </w:p>
        </w:tc>
        <w:tc>
          <w:tcPr>
            <w:tcW w:type="dxa" w:w="2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7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Gate Profile integration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§4 / §6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5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Evidence policy model</w:t>
            </w:r>
          </w:p>
        </w:tc>
        <w:tc>
          <w:tcPr>
            <w:tcW w:type="dxa" w:w="1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§2</w:t>
            </w:r>
          </w:p>
        </w:tc>
        <w:tc>
          <w:tcPr>
            <w:tcW w:type="dxa" w:w="2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9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Provider Registry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§3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5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Existing provider inventory</w:t>
            </w:r>
          </w:p>
        </w:tc>
        <w:tc>
          <w:tcPr>
            <w:tcW w:type="dxa" w:w="1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§3</w:t>
            </w:r>
          </w:p>
        </w:tc>
        <w:tc>
          <w:tcPr>
            <w:tcW w:type="dxa" w:w="2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11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Provider contract validation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§3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12</w:t>
            </w:r>
          </w:p>
        </w:tc>
        <w:tc>
          <w:tcPr>
            <w:tcW w:type="dxa" w:w="5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PYP-INV-SELECT matrix</w:t>
            </w:r>
          </w:p>
        </w:tc>
        <w:tc>
          <w:tcPr>
            <w:tcW w:type="dxa" w:w="1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§4.1</w:t>
            </w:r>
          </w:p>
        </w:tc>
        <w:tc>
          <w:tcPr>
            <w:tcW w:type="dxa" w:w="2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13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PYP-FFA matrix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§4.2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14</w:t>
            </w:r>
          </w:p>
        </w:tc>
        <w:tc>
          <w:tcPr>
            <w:tcW w:type="dxa" w:w="5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Project Type override matrix</w:t>
            </w:r>
          </w:p>
        </w:tc>
        <w:tc>
          <w:tcPr>
            <w:tcW w:type="dxa" w:w="1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§5</w:t>
            </w:r>
          </w:p>
        </w:tc>
        <w:tc>
          <w:tcPr>
            <w:tcW w:type="dxa" w:w="2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15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Mixed Project Set behavior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§5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16</w:t>
            </w:r>
          </w:p>
        </w:tc>
        <w:tc>
          <w:tcPr>
            <w:tcW w:type="dxa" w:w="5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Risk ADR</w:t>
            </w:r>
          </w:p>
        </w:tc>
        <w:tc>
          <w:tcPr>
            <w:tcW w:type="dxa" w:w="1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§5.1</w:t>
            </w:r>
          </w:p>
        </w:tc>
        <w:tc>
          <w:tcPr>
            <w:tcW w:type="dxa" w:w="2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17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Permit ADR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§5.1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18</w:t>
            </w:r>
          </w:p>
        </w:tc>
        <w:tc>
          <w:tcPr>
            <w:tcW w:type="dxa" w:w="5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Contracting ADR</w:t>
            </w:r>
          </w:p>
        </w:tc>
        <w:tc>
          <w:tcPr>
            <w:tcW w:type="dxa" w:w="1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§5.1</w:t>
            </w:r>
          </w:p>
        </w:tc>
        <w:tc>
          <w:tcPr>
            <w:tcW w:type="dxa" w:w="2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19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Execution Plan ADR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§5.1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20</w:t>
            </w:r>
          </w:p>
        </w:tc>
        <w:tc>
          <w:tcPr>
            <w:tcW w:type="dxa" w:w="5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Schedule Maturity ADR</w:t>
            </w:r>
          </w:p>
        </w:tc>
        <w:tc>
          <w:tcPr>
            <w:tcW w:type="dxa" w:w="1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§5.1</w:t>
            </w:r>
          </w:p>
        </w:tc>
        <w:tc>
          <w:tcPr>
            <w:tcW w:type="dxa" w:w="2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21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Cost Estimate Maturity ADR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§5.1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22</w:t>
            </w:r>
          </w:p>
        </w:tc>
        <w:tc>
          <w:tcPr>
            <w:tcW w:type="dxa" w:w="5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Environmental/Social ADR</w:t>
            </w:r>
          </w:p>
        </w:tc>
        <w:tc>
          <w:tcPr>
            <w:tcW w:type="dxa" w:w="1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§5.1</w:t>
            </w:r>
          </w:p>
        </w:tc>
        <w:tc>
          <w:tcPr>
            <w:tcW w:type="dxa" w:w="2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23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Land Access ADR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§5.1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24</w:t>
            </w:r>
          </w:p>
        </w:tc>
        <w:tc>
          <w:tcPr>
            <w:tcW w:type="dxa" w:w="5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Dependency reuse decision</w:t>
            </w:r>
          </w:p>
        </w:tc>
        <w:tc>
          <w:tcPr>
            <w:tcW w:type="dxa" w:w="1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§5.1</w:t>
            </w:r>
          </w:p>
        </w:tc>
        <w:tc>
          <w:tcPr>
            <w:tcW w:type="dxa" w:w="2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25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CAPEX/EXPENSE evidence decision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§5.1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26</w:t>
            </w:r>
          </w:p>
        </w:tc>
        <w:tc>
          <w:tcPr>
            <w:tcW w:type="dxa" w:w="5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Validity/coverage/blocking rules</w:t>
            </w:r>
          </w:p>
        </w:tc>
        <w:tc>
          <w:tcPr>
            <w:tcW w:type="dxa" w:w="1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§6.1</w:t>
            </w:r>
          </w:p>
        </w:tc>
        <w:tc>
          <w:tcPr>
            <w:tcW w:type="dxa" w:w="2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27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Missing Provider Analysis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§10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28</w:t>
            </w:r>
          </w:p>
        </w:tc>
        <w:tc>
          <w:tcPr>
            <w:tcW w:type="dxa" w:w="5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Gate07J integration</w:t>
            </w:r>
          </w:p>
        </w:tc>
        <w:tc>
          <w:tcPr>
            <w:tcW w:type="dxa" w:w="1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§6</w:t>
            </w:r>
          </w:p>
        </w:tc>
        <w:tc>
          <w:tcPr>
            <w:tcW w:type="dxa" w:w="2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29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Historical compatibility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§6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30</w:t>
            </w:r>
          </w:p>
        </w:tc>
        <w:tc>
          <w:tcPr>
            <w:tcW w:type="dxa" w:w="5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ADMIN/USER surfaces</w:t>
            </w:r>
          </w:p>
        </w:tc>
        <w:tc>
          <w:tcPr>
            <w:tcW w:type="dxa" w:w="1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§7</w:t>
            </w:r>
          </w:p>
        </w:tc>
        <w:tc>
          <w:tcPr>
            <w:tcW w:type="dxa" w:w="2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31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APIs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§7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32</w:t>
            </w:r>
          </w:p>
        </w:tc>
        <w:tc>
          <w:tcPr>
            <w:tcW w:type="dxa" w:w="5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Persistence/migration decision</w:t>
            </w:r>
          </w:p>
        </w:tc>
        <w:tc>
          <w:tcPr>
            <w:tcW w:type="dxa" w:w="1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§2 / ADR 55</w:t>
            </w:r>
          </w:p>
        </w:tc>
        <w:tc>
          <w:tcPr>
            <w:tcW w:type="dxa" w:w="2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33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Tests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§8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34</w:t>
            </w:r>
          </w:p>
        </w:tc>
        <w:tc>
          <w:tcPr>
            <w:tcW w:type="dxa" w:w="5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Browser ADMIN E2E</w:t>
            </w:r>
          </w:p>
        </w:tc>
        <w:tc>
          <w:tcPr>
            <w:tcW w:type="dxa" w:w="1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§8</w:t>
            </w:r>
          </w:p>
        </w:tc>
        <w:tc>
          <w:tcPr>
            <w:tcW w:type="dxa" w:w="2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35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Browser Gate07J integration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§8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36</w:t>
            </w:r>
          </w:p>
        </w:tc>
        <w:tc>
          <w:tcPr>
            <w:tcW w:type="dxa" w:w="5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Regression</w:t>
            </w:r>
          </w:p>
        </w:tc>
        <w:tc>
          <w:tcPr>
            <w:tcW w:type="dxa" w:w="1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§8</w:t>
            </w:r>
          </w:p>
        </w:tc>
        <w:tc>
          <w:tcPr>
            <w:tcW w:type="dxa" w:w="2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37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Baseline before/after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§9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38</w:t>
            </w:r>
          </w:p>
        </w:tc>
        <w:tc>
          <w:tcPr>
            <w:tcW w:type="dxa" w:w="5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Final Gap Analysis</w:t>
            </w:r>
          </w:p>
        </w:tc>
        <w:tc>
          <w:tcPr>
            <w:tcW w:type="dxa" w:w="1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§10</w:t>
            </w:r>
          </w:p>
        </w:tc>
        <w:tc>
          <w:tcPr>
            <w:tcW w:type="dxa" w:w="2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39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Next-step decision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§10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40</w:t>
            </w:r>
          </w:p>
        </w:tc>
        <w:tc>
          <w:tcPr>
            <w:tcW w:type="dxa" w:w="5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Updated technical report</w:t>
            </w:r>
          </w:p>
        </w:tc>
        <w:tc>
          <w:tcPr>
            <w:tcW w:type="dxa" w:w="1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Documento</w:t>
            </w:r>
          </w:p>
        </w:tc>
        <w:tc>
          <w:tcPr>
            <w:tcW w:type="dxa" w:w="2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41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Final exclusive status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§10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CERRADO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i w:val="0"/>
        <w:color w:val="5F6B76"/>
        <w:sz w:val="16"/>
      </w:rPr>
      <w:t xml:space="preserve">P&amp;Pmis Construction AI  | 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i w:val="0"/>
        <w:color w:val="5F6B76"/>
        <w:sz w:val="16"/>
      </w:rPr>
      <w:t>1</w: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i w:val="0"/>
        <w:color w:val="5F6B76"/>
        <w:sz w:val="16"/>
      </w:rPr>
      <w:t xml:space="preserve">P&amp;Pmis Construction AI  | 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i w:val="0"/>
        <w:color w:val="5F6B76"/>
        <w:sz w:val="16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1" w:color="D9E1E8"/>
      </w:pBdr>
    </w:pPr>
    <w:r>
      <w:rPr>
        <w:rFonts w:ascii="Calibri" w:hAnsi="Calibri"/>
        <w:b/>
        <w:i w:val="0"/>
        <w:color w:val="5F6B76"/>
        <w:sz w:val="17"/>
      </w:rPr>
      <w:t>TECHNICAL REPORT · GATE 07J-EVID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1" w:color="D9E1E8"/>
      </w:pBdr>
    </w:pPr>
    <w:r>
      <w:rPr>
        <w:rFonts w:ascii="Calibri" w:hAnsi="Calibri"/>
        <w:b/>
        <w:i w:val="0"/>
        <w:color w:val="5F6B76"/>
        <w:sz w:val="17"/>
      </w:rPr>
      <w:t>TECHNICAL REPORT · GATE 07J-EVID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Gate 07J-EVID — Investment Decision Evidence Policy</dc:title>
  <dc:subject>Política contextual A/B/C, proveedores gobernados e integración con Gate 07J</dc:subject>
  <dc:creator>P&amp;Pmis Construction AI</dc:creator>
  <cp:keywords>Gate 07J-EVID, Evidence Policy, A/B/C, Provider Registry, Investment Gate Preparation</cp:keywords>
  <dc:description>Generated from verified repository evidence on 2026-08-30.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