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658368" cy="592905"/>
            <wp:docPr id="1" name="Picture 1" descr="Logotipo de P&amp;Pmis Construction AI" title="P&amp;Pmis Construction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pmis-construction-ai-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59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/>
          <w:b/>
          <w:i w:val="0"/>
          <w:color w:val="0D8F8B"/>
          <w:sz w:val="20"/>
        </w:rPr>
        <w:t>INFORME TÉCNICO DE IMPLEMENTACIÓN</w:t>
      </w:r>
    </w:p>
    <w:p>
      <w:pPr>
        <w:keepNext/>
        <w:spacing w:after="80"/>
      </w:pPr>
      <w:r>
        <w:rPr>
          <w:rFonts w:ascii="Calibri" w:hAnsi="Calibri"/>
          <w:b/>
          <w:i w:val="0"/>
          <w:color w:val="0B2545"/>
          <w:sz w:val="50"/>
        </w:rPr>
        <w:t>Gate 07L</w:t>
      </w:r>
    </w:p>
    <w:p>
      <w:pPr>
        <w:spacing w:after="320"/>
      </w:pPr>
      <w:r>
        <w:rPr>
          <w:rFonts w:ascii="Calibri" w:hAnsi="Calibri"/>
          <w:b/>
          <w:i w:val="0"/>
          <w:color w:val="1F4D78"/>
          <w:sz w:val="30"/>
        </w:rPr>
        <w:t>Post-FID Project Governance and Activation Eligibility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1"/>
        </w:rPr>
        <w:t xml:space="preserve">Aplicación: </w:t>
      </w:r>
      <w:r>
        <w:rPr>
          <w:rFonts w:ascii="Calibri" w:hAnsi="Calibri"/>
          <w:i w:val="0"/>
          <w:color w:val="000000"/>
          <w:sz w:val="21"/>
        </w:rPr>
        <w:t>P&amp;Pmis Construction AI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1"/>
        </w:rPr>
        <w:t xml:space="preserve">Fecha de corte: </w:t>
      </w:r>
      <w:r>
        <w:rPr>
          <w:rFonts w:ascii="Calibri" w:hAnsi="Calibri"/>
          <w:i w:val="0"/>
          <w:color w:val="000000"/>
          <w:sz w:val="21"/>
        </w:rPr>
        <w:t>1 de septiembre de 2026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1"/>
        </w:rPr>
        <w:t xml:space="preserve">Repositorio: </w:t>
      </w:r>
      <w:r>
        <w:rPr>
          <w:rFonts w:ascii="Calibri" w:hAnsi="Calibri"/>
          <w:i w:val="0"/>
          <w:color w:val="000000"/>
          <w:sz w:val="21"/>
        </w:rPr>
        <w:t>pypmis-ia-sas · branch main · base fde6027 · cambios sin commit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1"/>
        </w:rPr>
        <w:t xml:space="preserve">Migración: </w:t>
      </w:r>
      <w:r>
        <w:rPr>
          <w:rFonts w:ascii="Calibri" w:hAnsi="Calibri"/>
          <w:i w:val="0"/>
          <w:color w:val="000000"/>
          <w:sz w:val="21"/>
        </w:rPr>
        <w:t>20260901_0056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1"/>
        </w:rPr>
        <w:t xml:space="preserve">Dependencia de entrada: </w:t>
      </w:r>
      <w:r>
        <w:rPr>
          <w:rFonts w:ascii="Calibri" w:hAnsi="Calibri"/>
          <w:i w:val="0"/>
          <w:color w:val="000000"/>
          <w:sz w:val="21"/>
        </w:rPr>
        <w:t>Gate 07K · PYP-FFA · GO · FID vigente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1"/>
        </w:rPr>
        <w:t xml:space="preserve">Estado exclusivo: </w:t>
      </w:r>
      <w:r>
        <w:rPr>
          <w:rFonts w:ascii="Calibri" w:hAnsi="Calibri"/>
          <w:i w:val="0"/>
          <w:color w:val="000000"/>
          <w:sz w:val="21"/>
        </w:rPr>
        <w:t>GATE07L_POST_FID_GOVERNANCE_RELEASE_VALIDATED</w:t>
      </w:r>
    </w:p>
    <w:p>
      <w:pPr>
        <w:spacing w:before="200" w:after="280"/>
        <w:pBdr>
          <w:bottom w:val="single" w:sz="14" w:space="1" w:color="2E74B5"/>
        </w:pBdr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EAF7E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RESULTADO EJECUTIVO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Se implementó Gate 07L como capa de gobernanza, elegibilidad y handoff posterior a un FID vigente. La solución clasifica cada Project canónico, congela snapshots inmutables, separa bloqueadores de Activation de condiciones de Commitment y delega —sin ejecutar— los procesos existentes de Project Workspace Initialization y Activation. No crea Project, NTP ni registros operativos o financieros.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300"/>
        <w:gridCol w:w="6160"/>
      </w:tblGrid>
      <w:tr>
        <w:trPr>
          <w:tblHeader w:val="true"/>
          <w:cantSplit/>
        </w:trPr>
        <w:tc>
          <w:tcPr>
            <w:tcW w:type="dxa" w:w="19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Capa</w:t>
            </w:r>
          </w:p>
        </w:tc>
        <w:tc>
          <w:tcPr>
            <w:tcW w:type="dxa" w:w="13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Resultado</w:t>
            </w:r>
          </w:p>
        </w:tc>
        <w:tc>
          <w:tcPr>
            <w:tcW w:type="dxa" w:w="61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Evidencia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Dominio / API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6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Agregado inmutable; 12 rutas USER/ADMIN; ETag e idempotencia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Reglas</w:t>
            </w:r>
          </w:p>
        </w:tc>
        <w:tc>
          <w:tcPr>
            <w:tcW w:type="dxa" w:w="1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61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4 pruebas Gate 07L; estados, condiciones, guardrail y FID real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PostgreSQL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6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0055→0056→0055→0056; 5 pruebas/validaciones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Frontend</w:t>
            </w:r>
          </w:p>
        </w:tc>
        <w:tc>
          <w:tcPr>
            <w:tcW w:type="dxa" w:w="1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61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7 vistas USER; 14 secciones ADMIN; 3 pruebas Vitest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Browser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6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Chromium USER/ADMIN; rutas init/activation, bloqueado y mixed set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Localhost</w:t>
            </w:r>
          </w:p>
        </w:tc>
        <w:tc>
          <w:tcPr>
            <w:tcW w:type="dxa" w:w="1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ACTIVE</w:t>
            </w:r>
          </w:p>
        </w:tc>
        <w:tc>
          <w:tcPr>
            <w:tcW w:type="dxa" w:w="61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Frontend 5173; API 8000; Alembic 0056; servicios healthy</w:t>
            </w:r>
          </w:p>
        </w:tc>
      </w:tr>
    </w:tbl>
    <w:p>
      <w:pPr>
        <w:spacing w:after="0"/>
      </w:pPr>
    </w:p>
    <w:p>
      <w:pPr>
        <w:spacing w:after="0"/>
      </w:pPr>
      <w:r>
        <w:br w:type="page"/>
      </w:r>
    </w:p>
    <w:p>
      <w:pPr>
        <w:spacing w:before="0" w:after="0" w:line="24" w:lineRule="auto"/>
      </w:pPr>
      <w:r>
        <w:rPr>
          <w:rFonts w:ascii="Calibri" w:hAnsi="Calibri"/>
          <w:i w:val="0"/>
          <w:color w:val="FFFFFF"/>
          <w:sz w:val="2"/>
        </w:rPr>
        <w:t>​</w:t>
      </w:r>
    </w:p>
    <w:p>
      <w:pPr>
        <w:pStyle w:val="Heading1"/>
        <w:spacing w:before="0"/>
      </w:pPr>
      <w:r>
        <w:t>Contenido y trazabilidad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5600"/>
        <w:gridCol w:w="2560"/>
      </w:tblGrid>
      <w:tr>
        <w:trPr>
          <w:tblHeader w:val="true"/>
          <w:cantSplit/>
        </w:trPr>
        <w:tc>
          <w:tcPr>
            <w:tcW w:type="dxa" w:w="12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Capítulo</w:t>
            </w:r>
          </w:p>
        </w:tc>
        <w:tc>
          <w:tcPr>
            <w:tcW w:type="dxa" w:w="56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Contenido</w:t>
            </w:r>
          </w:p>
        </w:tc>
        <w:tc>
          <w:tcPr>
            <w:tcW w:type="dxa" w:w="25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Entregables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Baseline, alcance y reutilización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1-8</w:t>
            </w:r>
          </w:p>
        </w:tc>
      </w:tr>
      <w:tr>
        <w:trPr>
          <w:cantSplit/>
        </w:trPr>
        <w:tc>
          <w:tcPr>
            <w:tcW w:type="dxa" w:w="1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6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Contrato FID, scope y condiciones</w:t>
            </w:r>
          </w:p>
        </w:tc>
        <w:tc>
          <w:tcPr>
            <w:tcW w:type="dxa" w:w="2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9-11, 21, 31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Máquina de estados y handoffs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12-20, 23-30</w:t>
            </w:r>
          </w:p>
        </w:tc>
      </w:tr>
      <w:tr>
        <w:trPr>
          <w:cantSplit/>
        </w:trPr>
        <w:tc>
          <w:tcPr>
            <w:tcW w:type="dxa" w:w="1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6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Persistencia, API, seguridad y concurrencia</w:t>
            </w:r>
          </w:p>
        </w:tc>
        <w:tc>
          <w:tcPr>
            <w:tcW w:type="dxa" w:w="2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22, 38-46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Superficies USER y ADMIN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32-37</w:t>
            </w:r>
          </w:p>
        </w:tc>
      </w:tr>
      <w:tr>
        <w:trPr>
          <w:cantSplit/>
        </w:trPr>
        <w:tc>
          <w:tcPr>
            <w:tcW w:type="dxa" w:w="1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6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Pruebas backend, PostgreSQL y browser</w:t>
            </w:r>
          </w:p>
        </w:tc>
        <w:tc>
          <w:tcPr>
            <w:tcW w:type="dxa" w:w="2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47-69, 75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Despliegue y protección de baseline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70-76</w:t>
            </w:r>
          </w:p>
        </w:tc>
      </w:tr>
      <w:tr>
        <w:trPr>
          <w:cantSplit/>
        </w:trPr>
        <w:tc>
          <w:tcPr>
            <w:tcW w:type="dxa" w:w="1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6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Riesgos y cierre</w:t>
            </w:r>
          </w:p>
        </w:tc>
        <w:tc>
          <w:tcPr>
            <w:tcW w:type="dxa" w:w="2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77-79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Matriz integral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1-79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CRITERIO DE CIERRE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La evidencia distingue implementación, validación automática y límites deliberados. Los valores de PostgreSQL y localhost provienen del despliegue de esta entrega; la matriz final relaciona los 79 entregables con código, pruebas, ADR o controles de baseline.</w:t>
            </w:r>
          </w:p>
        </w:tc>
      </w:tr>
    </w:tbl>
    <w:p>
      <w:pPr>
        <w:spacing w:after="0"/>
      </w:pPr>
    </w:p>
    <w:p>
      <w:pPr>
        <w:spacing w:after="0"/>
      </w:pPr>
      <w:r>
        <w:br w:type="page"/>
      </w:r>
    </w:p>
    <w:p>
      <w:pPr>
        <w:spacing w:before="0" w:after="0" w:line="24" w:lineRule="auto"/>
      </w:pPr>
      <w:r>
        <w:rPr>
          <w:rFonts w:ascii="Calibri" w:hAnsi="Calibri"/>
          <w:i w:val="0"/>
          <w:color w:val="FFFFFF"/>
          <w:sz w:val="2"/>
        </w:rPr>
        <w:t>​</w:t>
      </w:r>
    </w:p>
    <w:p>
      <w:pPr>
        <w:pStyle w:val="Heading1"/>
      </w:pPr>
      <w:r>
        <w:t>1. Baseline, alcance y REUSE BEFORE CREATE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300"/>
        <w:gridCol w:w="4660"/>
      </w:tblGrid>
      <w:tr>
        <w:trPr>
          <w:tblHeader w:val="true"/>
          <w:cantSplit/>
        </w:trPr>
        <w:tc>
          <w:tcPr>
            <w:tcW w:type="dxa" w:w="24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Elemento</w:t>
            </w:r>
          </w:p>
        </w:tc>
        <w:tc>
          <w:tcPr>
            <w:tcW w:type="dxa" w:w="23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Antes</w:t>
            </w:r>
          </w:p>
        </w:tc>
        <w:tc>
          <w:tcPr>
            <w:tcW w:type="dxa" w:w="46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Después / decisión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Alembic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20260831_0055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Sucesora aditiva y reversible 20260901_0056</w:t>
            </w:r>
          </w:p>
        </w:tc>
      </w:tr>
      <w:tr>
        <w:trPr>
          <w:cantSplit/>
        </w:trPr>
        <w:tc>
          <w:tcPr>
            <w:tcW w:type="dxa" w:w="24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EnterpriseWorkspace</w:t>
            </w:r>
          </w:p>
        </w:tc>
        <w:tc>
          <w:tcPr>
            <w:tcW w:type="dxa" w:w="2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6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14; sin creación ni borrado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Project activo ID 14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hash a7fd2ef0…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mismo hash a7fd2ef0…</w:t>
            </w:r>
          </w:p>
        </w:tc>
      </w:tr>
      <w:tr>
        <w:trPr>
          <w:cantSplit/>
        </w:trPr>
        <w:tc>
          <w:tcPr>
            <w:tcW w:type="dxa" w:w="24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Initializations</w:t>
            </w:r>
          </w:p>
        </w:tc>
        <w:tc>
          <w:tcPr>
            <w:tcW w:type="dxa" w:w="2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46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0; Gate 07L no ejecutó Initialization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InvestmentDecision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0; no se fabricó un FID local</w:t>
            </w:r>
          </w:p>
        </w:tc>
      </w:tr>
      <w:tr>
        <w:trPr>
          <w:cantSplit/>
        </w:trPr>
        <w:tc>
          <w:tcPr>
            <w:tcW w:type="dxa" w:w="24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SecurityEvent</w:t>
            </w:r>
          </w:p>
        </w:tc>
        <w:tc>
          <w:tcPr>
            <w:tcW w:type="dxa" w:w="2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6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17 antes del smoke autenticado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Post-FID snapshots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tabla ausente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tabla presente; 0 filas de negocio</w:t>
            </w:r>
          </w:p>
        </w:tc>
      </w:tr>
      <w:tr>
        <w:trPr>
          <w:cantSplit/>
        </w:trPr>
        <w:tc>
          <w:tcPr>
            <w:tcW w:type="dxa" w:w="24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AdminConfiguration</w:t>
            </w:r>
          </w:p>
        </w:tc>
        <w:tc>
          <w:tcPr>
            <w:tcW w:type="dxa" w:w="2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83</w:t>
            </w:r>
          </w:p>
        </w:tc>
        <w:tc>
          <w:tcPr>
            <w:tcW w:type="dxa" w:w="46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83 antes del seed on-demand Gate 07L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/>
          <w:i/>
          <w:color w:val="5F6B76"/>
          <w:sz w:val="16"/>
        </w:rPr>
        <w:t>Fuente: PostgreSQL local antes/después de Alembic 0056 y hash de la fila canónica ID 14.</w:t>
      </w:r>
    </w:p>
    <w:p>
      <w:pPr>
        <w:pStyle w:val="Heading2"/>
      </w:pPr>
      <w:r>
        <w:t>1.1 Capacidades reutilizadas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  <w:cantSplit/>
        </w:trPr>
        <w:tc>
          <w:tcPr>
            <w:tcW w:type="dxa" w:w="30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Capacidad existente</w:t>
            </w:r>
          </w:p>
        </w:tc>
        <w:tc>
          <w:tcPr>
            <w:tcW w:type="dxa" w:w="63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Uso en Gate 07L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Gate 07K InvestmentDecision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FID, paquete congelado, hashes, outcome y vigencia</w:t>
            </w:r>
          </w:p>
        </w:tc>
      </w:tr>
      <w:tr>
        <w:trPr>
          <w:cantSplit/>
        </w:trPr>
        <w:tc>
          <w:tcPr>
            <w:tcW w:type="dxa" w:w="3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EnterpriseWorkspace</w:t>
            </w:r>
          </w:p>
        </w:tc>
        <w:tc>
          <w:tcPr>
            <w:tcW w:type="dxa" w:w="63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Identidad canónica, estado, versión y alcance exacto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ProjectWorkspaceInitialization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Estado y revisión del proceso de Initialization existente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Project Activation</w:t>
            </w:r>
          </w:p>
        </w:tc>
        <w:tc>
          <w:tcPr>
            <w:tcW w:type="dxa" w:w="63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Endpoint existente; Gate 07L sólo prepara contrato de handoff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AdminConfiguration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Política versionada, clone, preview, update y publish</w:t>
            </w:r>
          </w:p>
        </w:tc>
      </w:tr>
      <w:tr>
        <w:trPr>
          <w:cantSplit/>
        </w:trPr>
        <w:tc>
          <w:tcPr>
            <w:tcW w:type="dxa" w:w="3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Enterprise RBAC</w:t>
            </w:r>
          </w:p>
        </w:tc>
        <w:tc>
          <w:tcPr>
            <w:tcW w:type="dxa" w:w="63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Permisos tenant-scoped y acciones calculadas por backend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SecurityEvent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Auditoría de evaluación, refresh, handoff y configuración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FF5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REUSE BEFORE CREATE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El único agregado nuevo es PostFIDProjectEligibility. No se duplicaron Project, InvestmentDecision, Initialization, Activation, configuración, identidad, auditoría ni navegación de contexto.</w:t>
            </w:r>
          </w:p>
        </w:tc>
      </w:tr>
    </w:tbl>
    <w:p>
      <w:pPr>
        <w:spacing w:after="0"/>
      </w:pPr>
    </w:p>
    <w:p>
      <w:pPr>
        <w:spacing w:after="0"/>
      </w:pPr>
      <w:r>
        <w:br w:type="page"/>
      </w:r>
    </w:p>
    <w:p>
      <w:pPr>
        <w:spacing w:before="0" w:after="0" w:line="24" w:lineRule="auto"/>
      </w:pPr>
      <w:r>
        <w:rPr>
          <w:rFonts w:ascii="Calibri" w:hAnsi="Calibri"/>
          <w:i w:val="0"/>
          <w:color w:val="FFFFFF"/>
          <w:sz w:val="2"/>
        </w:rPr>
        <w:t>​</w:t>
      </w:r>
    </w:p>
    <w:p>
      <w:pPr>
        <w:pStyle w:val="Heading1"/>
      </w:pPr>
      <w:r>
        <w:t>2. Contrato FID, scope y condiciones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60"/>
        <w:gridCol w:w="2900"/>
      </w:tblGrid>
      <w:tr>
        <w:trPr>
          <w:tblHeader w:val="true"/>
          <w:cantSplit/>
        </w:trPr>
        <w:tc>
          <w:tcPr>
            <w:tcW w:type="dxa" w:w="22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Control de entrada</w:t>
            </w:r>
          </w:p>
        </w:tc>
        <w:tc>
          <w:tcPr>
            <w:tcW w:type="dxa" w:w="42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Regla implementada</w:t>
            </w:r>
          </w:p>
        </w:tc>
        <w:tc>
          <w:tcPr>
            <w:tcW w:type="dxa" w:w="29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Salida si falla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Estado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InvestmentDecision.status = DECIDED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NOT_APPLICABLE / bloqueado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Perfil</w:t>
            </w:r>
          </w:p>
        </w:tc>
        <w:tc>
          <w:tcPr>
            <w:tcW w:type="dxa" w:w="4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profile_code = PYP-FFA</w:t>
            </w:r>
          </w:p>
        </w:tc>
        <w:tc>
          <w:tcPr>
            <w:tcW w:type="dxa" w:w="2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Decisión no FID excluida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Resultado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outcome = GO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HOLD/RECYCLE/KILL no aplican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Autorización</w:t>
            </w:r>
          </w:p>
        </w:tc>
        <w:tc>
          <w:tcPr>
            <w:tcW w:type="dxa" w:w="4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is_fid + full_funds_authorized + investment_authorized</w:t>
            </w:r>
          </w:p>
        </w:tc>
        <w:tc>
          <w:tcPr>
            <w:tcW w:type="dxa" w:w="2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elegibilidad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Handoff 07K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READY_FOR_POST_FID_PROJECT_GOVERNANCE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Contrato inválido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Integridad</w:t>
            </w:r>
          </w:p>
        </w:tc>
        <w:tc>
          <w:tcPr>
            <w:tcW w:type="dxa" w:w="4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decision_hash y source_package_hash recomputados</w:t>
            </w:r>
          </w:p>
        </w:tc>
        <w:tc>
          <w:tcPr>
            <w:tcW w:type="dxa" w:w="2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STALE / bloqueador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Vigencia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effective_from ≤ now ≤ valid_until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vigente / expirada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Supersession</w:t>
            </w:r>
          </w:p>
        </w:tc>
        <w:tc>
          <w:tcPr>
            <w:tcW w:type="dxa" w:w="4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sin ronda DECIDED posterior</w:t>
            </w:r>
          </w:p>
        </w:tc>
        <w:tc>
          <w:tcPr>
            <w:tcW w:type="dxa" w:w="2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FID_SUPERSEDED</w:t>
            </w:r>
          </w:p>
        </w:tc>
      </w:tr>
    </w:tbl>
    <w:p>
      <w:pPr>
        <w:spacing w:after="0"/>
      </w:pPr>
    </w:p>
    <w:p>
      <w:pPr>
        <w:pStyle w:val="Heading2"/>
      </w:pPr>
      <w:r>
        <w:t>2.1 Exact scope e identidad canónica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Dimensión</w:t>
            </w:r>
          </w:p>
        </w:tc>
        <w:tc>
          <w:tcPr>
            <w:tcW w:type="dxa" w:w="67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Implementación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Identidad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EnterpriseWorkspace.id como project_workspace_id canónico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Scope</w:t>
            </w:r>
          </w:p>
        </w:tc>
        <w:tc>
          <w:tcPr>
            <w:tcW w:type="dxa" w:w="67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Snapshot Gate 07K; sólo Project Workspace del tenant y alcance autorizado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Multi-Project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Una evaluación y snapshot por Project; nunca un resultado agregado ambiguo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Gobernanza</w:t>
            </w:r>
          </w:p>
        </w:tc>
        <w:tc>
          <w:tcPr>
            <w:tcW w:type="dxa" w:w="67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CAPITAL_OWNER por defecto; CONTRACTOR_DELIVERY y DIRECT_INTERNAL protegidos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Project ID 14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ACTIVE → NO_REACTIVATION_REQUIRED; no reactivación ni mutación</w:t>
            </w:r>
          </w:p>
        </w:tc>
      </w:tr>
    </w:tbl>
    <w:p>
      <w:pPr>
        <w:spacing w:after="0"/>
      </w:pPr>
    </w:p>
    <w:p>
      <w:pPr>
        <w:pStyle w:val="Heading2"/>
      </w:pPr>
      <w:r>
        <w:t>2.2 Semántica de condiciones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200"/>
        <w:gridCol w:w="366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Tipo</w:t>
            </w:r>
          </w:p>
        </w:tc>
        <w:tc>
          <w:tcPr>
            <w:tcW w:type="dxa" w:w="32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Efecto sobre Activation</w:t>
            </w:r>
          </w:p>
        </w:tc>
        <w:tc>
          <w:tcPr>
            <w:tcW w:type="dxa" w:w="36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Tratamiento downstream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ACTIVATION_BLOCKER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Bloquea can_activate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Debe resolverse antes del handoff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COMMITMENT_ONLY</w:t>
            </w:r>
          </w:p>
        </w:tc>
        <w:tc>
          <w:tcPr>
            <w:tcW w:type="dxa" w:w="3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bloquea Activation</w:t>
            </w:r>
          </w:p>
        </w:tc>
        <w:tc>
          <w:tcPr>
            <w:tcW w:type="dxa" w:w="36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Se conserva y arrastra al contexto posterior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Satisfecha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Sin bloqueo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Permanece en snapshot/auditoría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Cambio posterior</w:t>
            </w:r>
          </w:p>
        </w:tc>
        <w:tc>
          <w:tcPr>
            <w:tcW w:type="dxa" w:w="3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Marca snapshot STALE</w:t>
            </w:r>
          </w:p>
        </w:tc>
        <w:tc>
          <w:tcPr>
            <w:tcW w:type="dxa" w:w="36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Refresh Preview antes de aplicar nueva ronda</w:t>
            </w:r>
          </w:p>
        </w:tc>
      </w:tr>
    </w:tbl>
    <w:p>
      <w:pPr>
        <w:spacing w:after="0"/>
      </w:pPr>
    </w:p>
    <w:p>
      <w:pPr>
        <w:spacing w:after="0"/>
      </w:pPr>
      <w:r>
        <w:br w:type="page"/>
      </w:r>
    </w:p>
    <w:p>
      <w:pPr>
        <w:spacing w:before="0" w:after="0" w:line="24" w:lineRule="auto"/>
      </w:pPr>
      <w:r>
        <w:rPr>
          <w:rFonts w:ascii="Calibri" w:hAnsi="Calibri"/>
          <w:i w:val="0"/>
          <w:color w:val="FFFFFF"/>
          <w:sz w:val="2"/>
        </w:rPr>
        <w:t>​</w:t>
      </w:r>
    </w:p>
    <w:p>
      <w:pPr>
        <w:pStyle w:val="Heading1"/>
      </w:pPr>
      <w:r>
        <w:t>3. Máquina de estados y handoffs delegados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4000"/>
        <w:gridCol w:w="2560"/>
      </w:tblGrid>
      <w:tr>
        <w:trPr>
          <w:tblHeader w:val="true"/>
          <w:cantSplit/>
        </w:trPr>
        <w:tc>
          <w:tcPr>
            <w:tcW w:type="dxa" w:w="28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Estado Project observado</w:t>
            </w:r>
          </w:p>
        </w:tc>
        <w:tc>
          <w:tcPr>
            <w:tcW w:type="dxa" w:w="40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Eligibility status</w:t>
            </w:r>
          </w:p>
        </w:tc>
        <w:tc>
          <w:tcPr>
            <w:tcW w:type="dxa" w:w="25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Acción permitida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initialization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READY_FOR_PROJECT_WORKSPACE_INITIALIZATION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Preparar handoff existente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Initialized, not active</w:t>
            </w:r>
          </w:p>
        </w:tc>
        <w:tc>
          <w:tcPr>
            <w:tcW w:type="dxa" w:w="4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READY_FOR_PROJECT_WORKSPACE_ACTIVATION</w:t>
            </w:r>
          </w:p>
        </w:tc>
        <w:tc>
          <w:tcPr>
            <w:tcW w:type="dxa" w:w="2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Preparar handoff existente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Active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NO_REACTIVATION_REQUIRED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Sólo lectura / historial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Invalid or blocked</w:t>
            </w:r>
          </w:p>
        </w:tc>
        <w:tc>
          <w:tcPr>
            <w:tcW w:type="dxa" w:w="4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POST_FID_PROJECT_GOVERNANCE_BLOCKED</w:t>
            </w:r>
          </w:p>
        </w:tc>
        <w:tc>
          <w:tcPr>
            <w:tcW w:type="dxa" w:w="2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Resolver bloqueadores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Source/config changed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STALE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Preview + refresh controlado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Non-FID / wrong governance</w:t>
            </w:r>
          </w:p>
        </w:tc>
        <w:tc>
          <w:tcPr>
            <w:tcW w:type="dxa" w:w="4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NOT_APPLICABLE</w:t>
            </w:r>
          </w:p>
        </w:tc>
        <w:tc>
          <w:tcPr>
            <w:tcW w:type="dxa" w:w="2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Sin acción lifecycle</w:t>
            </w:r>
          </w:p>
        </w:tc>
      </w:tr>
    </w:tbl>
    <w:p>
      <w:pPr>
        <w:spacing w:after="0"/>
      </w:pPr>
    </w:p>
    <w:p>
      <w:pPr>
        <w:pStyle w:val="Heading2"/>
      </w:pPr>
      <w:r>
        <w:t>3.1 Contratos de handoff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2200"/>
        <w:gridCol w:w="2060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Contrato</w:t>
            </w:r>
          </w:p>
        </w:tc>
        <w:tc>
          <w:tcPr>
            <w:tcW w:type="dxa" w:w="33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Destino delegado</w:t>
            </w:r>
          </w:p>
        </w:tc>
        <w:tc>
          <w:tcPr>
            <w:tcW w:type="dxa" w:w="22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Revisión enviada</w:t>
            </w:r>
          </w:p>
        </w:tc>
        <w:tc>
          <w:tcPr>
            <w:tcW w:type="dxa" w:w="20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Garantía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Initialization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/project-workspaces/{id}/initialization/start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EnterpriseWorkspace.version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mutación por Gate 07L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Activation</w:t>
            </w:r>
          </w:p>
        </w:tc>
        <w:tc>
          <w:tcPr>
            <w:tcW w:type="dxa" w:w="3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/project-workspaces/{id}/activate</w:t>
            </w:r>
          </w:p>
        </w:tc>
        <w:tc>
          <w:tcPr>
            <w:tcW w:type="dxa" w:w="2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Initialization.revision_version</w:t>
            </w:r>
          </w:p>
        </w:tc>
        <w:tc>
          <w:tcPr>
            <w:tcW w:type="dxa" w:w="20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mutación por Gate 07L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FRONTERA DE RESPONSABILIDAD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Gate 07L produce elegibilidad y un contrato verificable. El servicio canónico receptor mantiene la autoridad de iniciar o activar, sus propias validaciones, ETag, idempotencia, SoD y auditoría.</w:t>
            </w:r>
          </w:p>
        </w:tc>
      </w:tr>
    </w:tbl>
    <w:p>
      <w:pPr>
        <w:spacing w:after="0"/>
      </w:pPr>
    </w:p>
    <w:p>
      <w:pPr>
        <w:pStyle w:val="Heading2"/>
      </w:pPr>
      <w:r>
        <w:t>3.2 Re-evaluación y NEXT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Contexto</w:t>
            </w:r>
          </w:p>
        </w:tc>
        <w:tc>
          <w:tcPr>
            <w:tcW w:type="dxa" w:w="60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NEXT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inicializado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READY_FOR_EXISTING_PROJECT_WORKSPACE_INITIALIZATION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Inicializado no activo</w:t>
            </w:r>
          </w:p>
        </w:tc>
        <w:tc>
          <w:tcPr>
            <w:tcW w:type="dxa" w:w="60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READY_FOR_EXISTING_PROJECT_WORKSPACE_ACTIVATION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Activo / contexto cerrado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POST_FID_GOVERNANCE_COMPLETE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Todos los Projects activos</w:t>
            </w:r>
          </w:p>
        </w:tc>
        <w:tc>
          <w:tcPr>
            <w:tcW w:type="dxa" w:w="60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READY_TO_ENTER_OPERATIONAL_MACROPROCESSES_REVIEW</w:t>
            </w:r>
          </w:p>
        </w:tc>
      </w:tr>
    </w:tbl>
    <w:p>
      <w:pPr>
        <w:spacing w:after="0"/>
      </w:pPr>
    </w:p>
    <w:p>
      <w:pPr>
        <w:spacing w:after="0"/>
      </w:pPr>
      <w:r>
        <w:br w:type="page"/>
      </w:r>
    </w:p>
    <w:p>
      <w:pPr>
        <w:spacing w:before="0" w:after="0" w:line="24" w:lineRule="auto"/>
      </w:pPr>
      <w:r>
        <w:rPr>
          <w:rFonts w:ascii="Calibri" w:hAnsi="Calibri"/>
          <w:i w:val="0"/>
          <w:color w:val="FFFFFF"/>
          <w:sz w:val="2"/>
        </w:rPr>
        <w:t>​</w:t>
      </w:r>
    </w:p>
    <w:p>
      <w:pPr>
        <w:pStyle w:val="Heading1"/>
      </w:pPr>
      <w:r>
        <w:t>4. Persistencia, APIs, seguridad y concurrencia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Persistencia</w:t>
            </w:r>
          </w:p>
        </w:tc>
        <w:tc>
          <w:tcPr>
            <w:tcW w:type="dxa" w:w="6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Diseño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Tabla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post_fid_project_eligibilities; append-only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Snapshot</w:t>
            </w:r>
          </w:p>
        </w:tc>
        <w:tc>
          <w:tcPr>
            <w:tcW w:type="dxa" w:w="68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FID/package hashes, estado Project, condiciones, configuración y actor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Identidad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tenant + decision + project + eligibility_round únicos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Idempotencia</w:t>
            </w:r>
          </w:p>
        </w:tc>
        <w:tc>
          <w:tcPr>
            <w:tcW w:type="dxa" w:w="68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tenant + decision + operation_key únicos; payload hash protegido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Concurrencia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If-Match contra ronda vigente; 409 POST_FID_VERSION_CONFLICT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Inmutabilidad</w:t>
            </w:r>
          </w:p>
        </w:tc>
        <w:tc>
          <w:tcPr>
            <w:tcW w:type="dxa" w:w="68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event listeners rechazan UPDATE y DELETE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Índices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tenant/decision, project/status, evaluation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4.1 API USER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5000"/>
        <w:gridCol w:w="3260"/>
      </w:tblGrid>
      <w:tr>
        <w:trPr>
          <w:tblHeader w:val="true"/>
          <w:cantSplit/>
        </w:trPr>
        <w:tc>
          <w:tcPr>
            <w:tcW w:type="dxa" w:w="11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Método</w:t>
            </w:r>
          </w:p>
        </w:tc>
        <w:tc>
          <w:tcPr>
            <w:tcW w:type="dxa" w:w="50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Ruta</w:t>
            </w:r>
          </w:p>
        </w:tc>
        <w:tc>
          <w:tcPr>
            <w:tcW w:type="dxa" w:w="32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Propósito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GET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/post-fid-governance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Queue de decisiones DECIDED</w:t>
            </w:r>
          </w:p>
        </w:tc>
      </w:tr>
      <w:tr>
        <w:trPr>
          <w:cantSplit/>
        </w:trPr>
        <w:tc>
          <w:tcPr>
            <w:tcW w:type="dxa" w:w="11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GET</w:t>
            </w:r>
          </w:p>
        </w:tc>
        <w:tc>
          <w:tcPr>
            <w:tcW w:type="dxa" w:w="5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/{decision_id}</w:t>
            </w:r>
          </w:p>
        </w:tc>
        <w:tc>
          <w:tcPr>
            <w:tcW w:type="dxa" w:w="3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Read model FID + Projects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GET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/{decision_id}/projects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Matriz por Project</w:t>
            </w:r>
          </w:p>
        </w:tc>
      </w:tr>
      <w:tr>
        <w:trPr>
          <w:cantSplit/>
        </w:trPr>
        <w:tc>
          <w:tcPr>
            <w:tcW w:type="dxa" w:w="11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POST</w:t>
            </w:r>
          </w:p>
        </w:tc>
        <w:tc>
          <w:tcPr>
            <w:tcW w:type="dxa" w:w="5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/{decision_id}/evaluate</w:t>
            </w:r>
          </w:p>
        </w:tc>
        <w:tc>
          <w:tcPr>
            <w:tcW w:type="dxa" w:w="3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Persistir primera ronda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POST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/{decision_id}/refresh/preview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Delta persisted=false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POST</w:t>
            </w:r>
          </w:p>
        </w:tc>
        <w:tc>
          <w:tcPr>
            <w:tcW w:type="dxa" w:w="5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/{decision_id}/refresh</w:t>
            </w:r>
          </w:p>
        </w:tc>
        <w:tc>
          <w:tcPr>
            <w:tcW w:type="dxa" w:w="3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Nueva ronda sólo con cambios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GET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/{decision_id}/projects/{project_id}/eligibility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Elegibilidad vigente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GET</w:t>
            </w:r>
          </w:p>
        </w:tc>
        <w:tc>
          <w:tcPr>
            <w:tcW w:type="dxa" w:w="5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/.../initialization-handoff</w:t>
            </w:r>
          </w:p>
        </w:tc>
        <w:tc>
          <w:tcPr>
            <w:tcW w:type="dxa" w:w="3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Contrato delegado Initialization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GET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/.../activation-handoff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Contrato delegado Activation</w:t>
            </w:r>
          </w:p>
        </w:tc>
      </w:tr>
      <w:tr>
        <w:trPr>
          <w:cantSplit/>
        </w:trPr>
        <w:tc>
          <w:tcPr>
            <w:tcW w:type="dxa" w:w="11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GET</w:t>
            </w:r>
          </w:p>
        </w:tc>
        <w:tc>
          <w:tcPr>
            <w:tcW w:type="dxa" w:w="5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/{decision_id}/history</w:t>
            </w:r>
          </w:p>
        </w:tc>
        <w:tc>
          <w:tcPr>
            <w:tcW w:type="dxa" w:w="32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SecurityEvent / historial</w:t>
            </w:r>
          </w:p>
        </w:tc>
      </w:tr>
    </w:tbl>
    <w:p>
      <w:pPr>
        <w:spacing w:after="0"/>
      </w:pPr>
    </w:p>
    <w:p>
      <w:pPr>
        <w:pStyle w:val="Heading2"/>
      </w:pPr>
      <w:r>
        <w:t>4.2 API ADMIN y RBAC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Control</w:t>
            </w:r>
          </w:p>
        </w:tc>
        <w:tc>
          <w:tcPr>
            <w:tcW w:type="dxa" w:w="6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Implementación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ADMIN API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list, preview, clone, update y publish de AdminConfiguration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Permisos</w:t>
            </w:r>
          </w:p>
        </w:tc>
        <w:tc>
          <w:tcPr>
            <w:tcW w:type="dxa" w:w="68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read, evaluate, refresh, admin.configure, admin.publish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Roles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manager, viewer y configuration_admin; grants tenant-scoped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SoD</w:t>
            </w:r>
          </w:p>
        </w:tc>
        <w:tc>
          <w:tcPr>
            <w:tcW w:type="dxa" w:w="68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Investment Decision Maker no obtiene Initialization/Activation por pertenecer a Gate 07K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Allowed actions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Calculadas en backend según status, contexto y permisos</w:t>
            </w:r>
          </w:p>
        </w:tc>
      </w:tr>
      <w:tr>
        <w:trPr>
          <w:cantSplit/>
        </w:trPr>
        <w:tc>
          <w:tcPr>
            <w:tcW w:type="dxa" w:w="25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SecurityEvent</w:t>
            </w:r>
          </w:p>
        </w:tc>
        <w:tc>
          <w:tcPr>
            <w:tcW w:type="dxa" w:w="68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preview, evaluate, refresh, handoff y lifecycle de configuración</w:t>
            </w:r>
          </w:p>
        </w:tc>
      </w:tr>
    </w:tbl>
    <w:p>
      <w:pPr>
        <w:spacing w:after="0"/>
      </w:pPr>
    </w:p>
    <w:p>
      <w:pPr>
        <w:pStyle w:val="Heading1"/>
      </w:pPr>
      <w:r>
        <w:t>5. Superficies USER y 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  <w:cantSplit/>
        </w:trPr>
        <w:tc>
          <w:tcPr>
            <w:tcW w:type="dxa" w:w="29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USER view</w:t>
            </w:r>
          </w:p>
        </w:tc>
        <w:tc>
          <w:tcPr>
            <w:tcW w:type="dxa" w:w="64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Información / acción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Post-FID Queue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Decisión, FID handoff, Project count y NEXT</w:t>
            </w:r>
          </w:p>
        </w:tc>
      </w:tr>
      <w:tr>
        <w:trPr>
          <w:cantSplit/>
        </w:trPr>
        <w:tc>
          <w:tcPr>
            <w:tcW w:type="dxa" w:w="2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FID Handoff</w:t>
            </w:r>
          </w:p>
        </w:tc>
        <w:tc>
          <w:tcPr>
            <w:tcW w:type="dxa" w:w="64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 model congelado de Gate 07K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Project Eligibility Matrix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Estado, blockers, can_initialize/can_activate y próxima ruta</w:t>
            </w:r>
          </w:p>
        </w:tc>
      </w:tr>
      <w:tr>
        <w:trPr>
          <w:cantSplit/>
        </w:trPr>
        <w:tc>
          <w:tcPr>
            <w:tcW w:type="dxa" w:w="2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Post-FID Conditions</w:t>
            </w:r>
          </w:p>
        </w:tc>
        <w:tc>
          <w:tcPr>
            <w:tcW w:type="dxa" w:w="64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Activation blockers vs commitment-only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Initialization Handoff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Contrato a servicio existente, no ejecución</w:t>
            </w:r>
          </w:p>
        </w:tc>
      </w:tr>
      <w:tr>
        <w:trPr>
          <w:cantSplit/>
        </w:trPr>
        <w:tc>
          <w:tcPr>
            <w:tcW w:type="dxa" w:w="2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Activation Handoff</w:t>
            </w:r>
          </w:p>
        </w:tc>
        <w:tc>
          <w:tcPr>
            <w:tcW w:type="dxa" w:w="64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Contrato a servicio existente, no ejecución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Post-FID History/Audit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SecurityEvent y rondas de elegibilidad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ADMIN section</w:t>
            </w:r>
          </w:p>
        </w:tc>
        <w:tc>
          <w:tcPr>
            <w:tcW w:type="dxa" w:w="60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Propósito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Overview / Applicability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Perfiles y modelos de gobernanza aplicables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Project State Mapping</w:t>
            </w:r>
          </w:p>
        </w:tc>
        <w:tc>
          <w:tcPr>
            <w:tcW w:type="dxa" w:w="60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Mapeo canónico de estados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Conditions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Semántica blocker/commitment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FID Validity / Exact Scope</w:t>
            </w:r>
          </w:p>
        </w:tc>
        <w:tc>
          <w:tcPr>
            <w:tcW w:type="dxa" w:w="60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Integridad, vigencia y alcance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Initialization / Activation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Reglas de handoff y no automatización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Contractor Guardrail / ID14</w:t>
            </w:r>
          </w:p>
        </w:tc>
        <w:tc>
          <w:tcPr>
            <w:tcW w:type="dxa" w:w="60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Exclusiones y protección de baseline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Refresh / Staleness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Preview y criterios de nueva ronda</w:t>
            </w:r>
          </w:p>
        </w:tc>
      </w:tr>
      <w:tr>
        <w:trPr>
          <w:cantSplit/>
        </w:trPr>
        <w:tc>
          <w:tcPr>
            <w:tcW w:type="dxa" w:w="33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Roles / SecurityEvent</w:t>
            </w:r>
          </w:p>
        </w:tc>
        <w:tc>
          <w:tcPr>
            <w:tcW w:type="dxa" w:w="60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RBAC, SoD y auditoría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Dry-run / Publish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Validación persisted=false y publicación versionada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FF5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SALVAGUARDA VISUAL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La UI no presenta botones de crear Project, ejecutar Initialization/Activation, emitir NTP o iniciar procurement. Los botones de handoff sólo solicitan un contrato delegado.</w:t>
            </w:r>
          </w:p>
        </w:tc>
      </w:tr>
    </w:tbl>
    <w:p>
      <w:pPr>
        <w:spacing w:after="0"/>
      </w:pPr>
    </w:p>
    <w:p>
      <w:pPr>
        <w:pStyle w:val="Heading1"/>
      </w:pPr>
      <w:r>
        <w:t>6. Validación automática y aceptación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1800"/>
        <w:gridCol w:w="4760"/>
      </w:tblGrid>
      <w:tr>
        <w:trPr>
          <w:tblHeader w:val="true"/>
          <w:cantSplit/>
        </w:trPr>
        <w:tc>
          <w:tcPr>
            <w:tcW w:type="dxa" w:w="28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Suite / control</w:t>
            </w:r>
          </w:p>
        </w:tc>
        <w:tc>
          <w:tcPr>
            <w:tcW w:type="dxa" w:w="18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Resultado</w:t>
            </w:r>
          </w:p>
        </w:tc>
        <w:tc>
          <w:tcPr>
            <w:tcW w:type="dxa" w:w="47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Cobertura principal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Ruff focal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Módulo, router y pruebas Gate 07L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Backend Gate 07L</w:t>
            </w:r>
          </w:p>
        </w:tc>
        <w:tc>
          <w:tcPr>
            <w:tcW w:type="dxa" w:w="1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4 passed</w:t>
            </w:r>
          </w:p>
        </w:tc>
        <w:tc>
          <w:tcPr>
            <w:tcW w:type="dxa" w:w="47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Estados, condiciones, contractor, FID Gate 07K real e idempotencia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PostgreSQL disposable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5 passed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Migración, constraints, indexes y escenarios estructurales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Reversibilidad</w:t>
            </w:r>
          </w:p>
        </w:tc>
        <w:tc>
          <w:tcPr>
            <w:tcW w:type="dxa" w:w="1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47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0055→0056→0055→0056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Regresión Gate 07K + Project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62 passed; 2 skipped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Contratos previos y lifecycle existente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Vitest</w:t>
            </w:r>
          </w:p>
        </w:tc>
        <w:tc>
          <w:tcPr>
            <w:tcW w:type="dxa" w:w="1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3 passed</w:t>
            </w:r>
          </w:p>
        </w:tc>
        <w:tc>
          <w:tcPr>
            <w:tcW w:type="dxa" w:w="47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USER matrix, ID14, ADMIN 14 secciones y dry-run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Prettier / ESLint / TypeScript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Formato, estática y tipos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Vite production build</w:t>
            </w:r>
          </w:p>
        </w:tc>
        <w:tc>
          <w:tcPr>
            <w:tcW w:type="dxa" w:w="1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47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2,426 módulos transformados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Playwright Chromium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 passed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Mixed Project Set, init/activation, blocker, active y ADMIN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Browser real</w:t>
            </w:r>
          </w:p>
        </w:tc>
        <w:tc>
          <w:tcPr>
            <w:tcW w:type="dxa" w:w="1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PASS</w:t>
            </w:r>
          </w:p>
        </w:tc>
        <w:tc>
          <w:tcPr>
            <w:tcW w:type="dxa" w:w="47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Título/logo/login servido; sin error de carga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FF5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NOTA SOBRE COBERTURA FOCAL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La ejecución aislada de las 4 pruebas termina funcionalmente en PASS; pytest retorna código global de cobertura al medir el repositorio completo con un solo archivo. El resultado funcional se complementó con la regresión de 62 casos y la suite PostgreSQL desechable.</w:t>
            </w:r>
          </w:p>
        </w:tc>
      </w:tr>
    </w:tbl>
    <w:p>
      <w:pPr>
        <w:spacing w:after="0"/>
      </w:pPr>
    </w:p>
    <w:p>
      <w:pPr>
        <w:pStyle w:val="Heading2"/>
      </w:pPr>
      <w:r>
        <w:t>6.1 Casos de aceptación consolidados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  <w:cantSplit/>
        </w:trPr>
        <w:tc>
          <w:tcPr>
            <w:tcW w:type="dxa" w:w="30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Escenario</w:t>
            </w:r>
          </w:p>
        </w:tc>
        <w:tc>
          <w:tcPr>
            <w:tcW w:type="dxa" w:w="63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Control observado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Not initialized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READY_FOR_PROJECT_WORKSPACE_INITIALIZATION; can_initialize=true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Initialized not active</w:t>
            </w:r>
          </w:p>
        </w:tc>
        <w:tc>
          <w:tcPr>
            <w:tcW w:type="dxa" w:w="63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READY_FOR_PROJECT_WORKSPACE_ACTIVATION; can_activate=true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Already active / ID14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NO_REACTIVATION_REQUIRED; ninguna acción lifecycle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Activation blocker</w:t>
            </w:r>
          </w:p>
        </w:tc>
        <w:tc>
          <w:tcPr>
            <w:tcW w:type="dxa" w:w="63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BLOCKED y can_activate=false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Commitment-only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bloqueo de Activation; carry-forward</w:t>
            </w:r>
          </w:p>
        </w:tc>
      </w:tr>
      <w:tr>
        <w:trPr>
          <w:cantSplit/>
        </w:trPr>
        <w:tc>
          <w:tcPr>
            <w:tcW w:type="dxa" w:w="3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Non-FID / alternate outcome</w:t>
            </w:r>
          </w:p>
        </w:tc>
        <w:tc>
          <w:tcPr>
            <w:tcW w:type="dxa" w:w="63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NOT_APPLICABLE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Expired / stale / superseded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Bloqueado o STALE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Mixed Project Set</w:t>
            </w:r>
          </w:p>
        </w:tc>
        <w:tc>
          <w:tcPr>
            <w:tcW w:type="dxa" w:w="63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Resultado independiente por Project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Contractor/Direct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Sin captura accidental por CAPITAL_OWNER</w:t>
            </w:r>
          </w:p>
        </w:tc>
      </w:tr>
      <w:tr>
        <w:trPr>
          <w:cantSplit/>
        </w:trPr>
        <w:tc>
          <w:tcPr>
            <w:tcW w:type="dxa" w:w="30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Handoffs</w:t>
            </w:r>
          </w:p>
        </w:tc>
        <w:tc>
          <w:tcPr>
            <w:tcW w:type="dxa" w:w="63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Endpoint y revisión canónica; no transición ejecutada</w:t>
            </w:r>
          </w:p>
        </w:tc>
      </w:tr>
    </w:tbl>
    <w:p>
      <w:pPr>
        <w:spacing w:after="0"/>
      </w:pPr>
    </w:p>
    <w:p>
      <w:pPr>
        <w:pStyle w:val="Heading1"/>
      </w:pPr>
      <w:r>
        <w:t>7. Despliegue local y protección de baseline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Control</w:t>
            </w:r>
          </w:p>
        </w:tc>
        <w:tc>
          <w:tcPr>
            <w:tcW w:type="dxa" w:w="65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Resultado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Frontend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http://127.0.0.1:5173/app · HTTP 200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API</w:t>
            </w:r>
          </w:p>
        </w:tc>
        <w:tc>
          <w:tcPr>
            <w:tcW w:type="dxa" w:w="6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http://127.0.0.1:8000 · healthy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Readiness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api=ok; database=ok; redis=ok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Alembic</w:t>
            </w:r>
          </w:p>
        </w:tc>
        <w:tc>
          <w:tcPr>
            <w:tcW w:type="dxa" w:w="6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20260901_0056 (head)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Workers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Celery worker y beat activos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Ruta Gate 07L</w:t>
            </w:r>
          </w:p>
        </w:tc>
        <w:tc>
          <w:tcPr>
            <w:tcW w:type="dxa" w:w="6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Existe; sin token responde 401 como corresponde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Project count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14 antes / 14 después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Project ID14 hash</w:t>
            </w:r>
          </w:p>
        </w:tc>
        <w:tc>
          <w:tcPr>
            <w:tcW w:type="dxa" w:w="6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a7fd2ef05c28dd5071a412d89f8164af antes y después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Initializations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 antes / 0 después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Investment Decisions</w:t>
            </w:r>
          </w:p>
        </w:tc>
        <w:tc>
          <w:tcPr>
            <w:tcW w:type="dxa" w:w="6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 antes / 0 después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Post-FID snapshots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0 después; sin fabricar datos de negocio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EAF7E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PERSISTENCIA PROTEGIDA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La migración se ejecutó con la imagen nueva antes de reiniciar la API. El hash del Project activo ID 14 y todos los conteos críticos permanecieron estables. La tabla Gate 07L quedó disponible y vacía porque el entorno no contiene un FID DECIDED válido.</w:t>
            </w:r>
          </w:p>
        </w:tc>
      </w:tr>
    </w:tbl>
    <w:p>
      <w:pPr>
        <w:spacing w:after="0"/>
      </w:pPr>
    </w:p>
    <w:p>
      <w:pPr>
        <w:spacing w:after="0"/>
      </w:pPr>
      <w:r>
        <w:br w:type="page"/>
      </w:r>
    </w:p>
    <w:p>
      <w:pPr>
        <w:spacing w:before="0" w:after="0" w:line="24" w:lineRule="auto"/>
      </w:pPr>
      <w:r>
        <w:rPr>
          <w:rFonts w:ascii="Calibri" w:hAnsi="Calibri"/>
          <w:i w:val="0"/>
          <w:color w:val="FFFFFF"/>
          <w:sz w:val="2"/>
        </w:rPr>
        <w:t>​</w:t>
      </w:r>
    </w:p>
    <w:p>
      <w:pPr>
        <w:pStyle w:val="Heading1"/>
      </w:pPr>
      <w:r>
        <w:t>8. Riesgos, deuda técnica y cierre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2700"/>
        <w:gridCol w:w="3960"/>
      </w:tblGrid>
      <w:tr>
        <w:trPr>
          <w:tblHeader w:val="true"/>
          <w:cantSplit/>
        </w:trP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Riesgo / deuda</w:t>
            </w:r>
          </w:p>
        </w:tc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Impacto</w:t>
            </w:r>
          </w:p>
        </w:tc>
        <w:tc>
          <w:tcPr>
            <w:tcW w:type="dxa" w:w="39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Tratamiento recomendado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Sin FID real en localhost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No hay smoke E2E persistente de negocio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Seed firmado desechable para CI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Browser usa mocks de Gate 07L</w:t>
            </w:r>
          </w:p>
        </w:tc>
        <w:tc>
          <w:tcPr>
            <w:tcW w:type="dxa" w:w="2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UI y backend se prueban en suites separadas</w:t>
            </w:r>
          </w:p>
        </w:tc>
        <w:tc>
          <w:tcPr>
            <w:tcW w:type="dxa" w:w="39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Full-stack seeded E2E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SLO no definido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Performance sin umbral contractual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Definir volumen, p95 y concurrencia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Import/export ADMIN</w:t>
            </w:r>
          </w:p>
        </w:tc>
        <w:tc>
          <w:tcPr>
            <w:tcW w:type="dxa" w:w="2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Configuración sin paquete portable</w:t>
            </w:r>
          </w:p>
        </w:tc>
        <w:tc>
          <w:tcPr>
            <w:tcW w:type="dxa" w:w="39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Formato firmado/versionado futuro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Métricas de dominio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SecurityEvent sin dashboard dedicado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Alertas de stale y blockers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Cambios sin commit</w:t>
            </w:r>
          </w:p>
        </w:tc>
        <w:tc>
          <w:tcPr>
            <w:tcW w:type="dxa" w:w="2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Entrega aún no integrada a main remoto</w:t>
            </w:r>
          </w:p>
        </w:tc>
        <w:tc>
          <w:tcPr>
            <w:tcW w:type="dxa" w:w="39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6"/>
              </w:rPr>
              <w:t>Revisión y commit posterior autorizado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STOP BOUNDARY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No se implementaron procurement, contratos, PO, pagos, accounting, treasury, NTP, programación, construcción ni operación de Project Controls. Gate 07L termina en governance + eligibility + handoff.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EAF7E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CIERRE</w:t>
            </w:r>
          </w:p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000000"/>
                <w:sz w:val="18"/>
              </w:rPr>
              <w:t>Estado exclusivo: GATE07L_POST_FID_GOVERNANCE_RELEASE_VALIDATED. En el contexto local sin un FID vigente y sin transición pendiente: NEXT = POST_FID_GOVERNANCE_COMPLETE.</w:t>
            </w:r>
          </w:p>
        </w:tc>
      </w:tr>
    </w:tbl>
    <w:p>
      <w:pPr>
        <w:spacing w:after="0"/>
      </w:pPr>
    </w:p>
    <w:p>
      <w:pPr>
        <w:spacing w:after="0"/>
      </w:pPr>
      <w:r>
        <w:br w:type="page"/>
      </w:r>
    </w:p>
    <w:p>
      <w:pPr>
        <w:spacing w:before="0" w:after="0" w:line="24" w:lineRule="auto"/>
      </w:pPr>
      <w:r>
        <w:rPr>
          <w:rFonts w:ascii="Calibri" w:hAnsi="Calibri"/>
          <w:i w:val="0"/>
          <w:color w:val="FFFFFF"/>
          <w:sz w:val="2"/>
        </w:rPr>
        <w:t>​</w:t>
      </w:r>
    </w:p>
    <w:p>
      <w:pPr>
        <w:pStyle w:val="Heading1"/>
        <w:pageBreakBefore w:val="0"/>
      </w:pPr>
      <w:r>
        <w:t>9. Matriz de trazabilidad 1-79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5200"/>
        <w:gridCol w:w="1900"/>
        <w:gridCol w:w="1700"/>
      </w:tblGrid>
      <w:tr>
        <w:trPr>
          <w:tblHeader w:val="true"/>
          <w:cantSplit/>
        </w:trPr>
        <w:tc>
          <w:tcPr>
            <w:tcW w:type="dxa" w:w="5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#</w:t>
            </w:r>
          </w:p>
        </w:tc>
        <w:tc>
          <w:tcPr>
            <w:tcW w:type="dxa" w:w="52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Entregable</w:t>
            </w:r>
          </w:p>
        </w:tc>
        <w:tc>
          <w:tcPr>
            <w:tcW w:type="dxa" w:w="19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Evidencia</w:t>
            </w:r>
          </w:p>
        </w:tc>
        <w:tc>
          <w:tcPr>
            <w:tcW w:type="dxa" w:w="1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Executive summary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§1 / ADR 59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ADR Gate07L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§1 / ADR 59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Baseline assessment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§1 / ADR 59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REUSE BEFORE CREATE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§1 / ADR 59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Gate07K FID entry contract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§1 / ADR 59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Non-FID exclusion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§1 / ADR 59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Canonical Project identity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§1 / ADR 59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8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Exact scope validation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§1 / ADR 59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9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Post-FID conditions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§2 / service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10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Activation vs commitment condition semantics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§2 / service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11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FID validity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§2 / service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12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Project state mapping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13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Initialization route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14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Activation route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15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Already Active route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16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Invalid-state route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17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Initialization reuse decision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18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Activation reuse decision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19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Project ID14 protection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20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Contractor/Direct guardrail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21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Multi-Project routing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§2 / service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22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Eligibility persistence decision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23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Eligibility statuses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24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Eligibility hash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25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Staleness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26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Refresh Preview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27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Initialization handoff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28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Activation handoff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29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Post-Initialization re-evaluation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30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Post-Activation re-evaluation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§3 / state machine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31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Commitment-condition carry-forward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§2 / service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32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ADMIN MODE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33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USER MODE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34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Eligibility Matrix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35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FID Handoff UI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36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Conditions UI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37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Allowed actions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38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Roles/permissions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39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SoD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40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ETag/idempotency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41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SecurityEvent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42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APIs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43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Persistence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44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Migration decision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45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Constraints/indexes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46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Concurrency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§4-5 / API+UI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47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Not Initialized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48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Initialized-not-Active E2E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49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Already Active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50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Activation blocker E2E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51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Commitment-only condition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52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Expired authorization E2E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53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Non-FID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54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HOLD/RECYCLE/KILL E2E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55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Mixed Project Set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56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Exact-scope E2E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57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Contractor guardrail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58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Initialization-handoff reuse E2E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59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Activation-handoff reuse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60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Post-Initialization E2E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61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Post-Activation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62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Stale-FID E2E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63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Project ID14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64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Frontend tests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65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Browser Initialization path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66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Browser Activation path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67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Browser blocker path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68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Browser mixed Project Set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69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Browser ADMIN E2E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70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Performance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§7 / localhost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71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No-operational-scope safeguards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§7 / localhost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72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No-Project-Creation safeguard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§7 / localhost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73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No-Initialization-duplication safeguard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§7 / localhost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74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No-Activation-duplication safeguard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§7 / localhost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75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Regression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§6 /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76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Baseline before/after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§7 / localhost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77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Risks / technical debt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§8 / closeout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78</w:t>
            </w:r>
          </w:p>
        </w:tc>
        <w:tc>
          <w:tcPr>
            <w:tcW w:type="dxa" w:w="52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Updated technical report</w:t>
            </w:r>
          </w:p>
        </w:tc>
        <w:tc>
          <w:tcPr>
            <w:tcW w:type="dxa" w:w="19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§8 / closeout</w:t>
            </w:r>
          </w:p>
        </w:tc>
        <w:tc>
          <w:tcPr>
            <w:tcW w:type="dxa" w:w="1700"/>
            <w:vAlign w:val="center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  <w:tr>
        <w:trPr>
          <w:cantSplit/>
        </w:trPr>
        <w:tc>
          <w:tcPr>
            <w:tcW w:type="dxa" w:w="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79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Final exclusive status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§8 / closeout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i w:val="0"/>
                <w:color w:val="000000"/>
                <w:sz w:val="15"/>
              </w:rPr>
              <w:t>CERRADO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i w:val="0"/>
        <w:color w:val="5F6B76"/>
        <w:sz w:val="16"/>
      </w:rPr>
      <w:t xml:space="preserve">P&amp;Pmis Construction AI  | 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i w:val="0"/>
        <w:color w:val="5F6B76"/>
        <w:sz w:val="16"/>
      </w:rP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i w:val="0"/>
        <w:color w:val="5F6B76"/>
        <w:sz w:val="16"/>
      </w:rPr>
      <w:t xml:space="preserve">P&amp;Pmis Construction AI  | 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i w:val="0"/>
        <w:color w:val="5F6B76"/>
        <w:sz w:val="16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9E1E8"/>
      </w:pBdr>
    </w:pPr>
    <w:r>
      <w:rPr>
        <w:rFonts w:ascii="Calibri" w:hAnsi="Calibri"/>
        <w:b/>
        <w:i w:val="0"/>
        <w:color w:val="5F6B76"/>
        <w:sz w:val="17"/>
      </w:rPr>
      <w:t>TECHNICAL REPORT · GATE 07L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9E1E8"/>
      </w:pBdr>
    </w:pPr>
    <w:r>
      <w:rPr>
        <w:rFonts w:ascii="Calibri" w:hAnsi="Calibri"/>
        <w:b/>
        <w:i w:val="0"/>
        <w:color w:val="5F6B76"/>
        <w:sz w:val="17"/>
      </w:rPr>
      <w:t>TECHNICAL REPORT · GATE 07L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Gate 07L — Post-FID Project Governance</dc:title>
  <dc:subject>Gobernanza, elegibilidad y handoff posterior a FID</dc:subject>
  <dc:creator>P&amp;Pmis Construction AI</dc:creator>
  <cp:keywords>Gate 07L, Post-FID, Project Governance, Eligibility, Activation</cp:keywords>
  <dc:description>Generated from verified repository, PostgreSQL and localhost evidence on 2026-09-01.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