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320"/>
        <w:jc w:val="center"/>
      </w:pPr>
      <w:r>
        <w:drawing>
          <wp:inline xmlns:a="http://schemas.openxmlformats.org/drawingml/2006/main" xmlns:pic="http://schemas.openxmlformats.org/drawingml/2006/picture">
            <wp:extent cx="1170432" cy="1054054"/>
            <wp:docPr id="1" name="Picture 1" descr="Logo de 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" cy="1054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20" w:line="240" w:lineRule="auto"/>
        <w:jc w:val="center"/>
      </w:pPr>
      <w:r>
        <w:rPr>
          <w:rFonts w:ascii="Calibri" w:hAnsi="Calibri"/>
          <w:b/>
          <w:color w:val="14989A"/>
          <w:sz w:val="20"/>
        </w:rPr>
        <w:t>INFORME TÉCNICO · GATE DE CONTROL</w:t>
      </w:r>
    </w:p>
    <w:p>
      <w:pPr>
        <w:pStyle w:val="Title"/>
        <w:jc w:val="center"/>
      </w:pPr>
      <w:r>
        <w:t>P&amp;Pmis Construction AI</w:t>
      </w:r>
    </w:p>
    <w:p>
      <w:pPr>
        <w:pStyle w:val="Subtitle"/>
        <w:jc w:val="center"/>
      </w:pPr>
      <w:r>
        <w:t>Nivel 2B Fase 2 — P&amp;P Ingeniería y Proyectos</w:t>
      </w:r>
    </w:p>
    <w:p>
      <w:pPr>
        <w:spacing w:before="0" w:after="560" w:line="240" w:lineRule="auto"/>
        <w:jc w:val="center"/>
      </w:pPr>
      <w:r>
        <w:rPr>
          <w:rFonts w:ascii="Calibri" w:hAnsi="Calibri"/>
          <w:i/>
          <w:color w:val="1F4D78"/>
          <w:sz w:val="23"/>
        </w:rPr>
        <w:t>Revisión de fuentes, dry-run y estado técnico acumulado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D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9A6700"/>
                <w:sz w:val="18"/>
              </w:rPr>
              <w:t>RESULTADO DEL GATE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433"/>
                <w:sz w:val="21"/>
              </w:rPr>
              <w:t>DRY-RUN BLOQUEADO · 24 errores de gobierno de catálogos · 0 mutaciones · APPLY y PUBLISH no ejecutados.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Control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Fecha de corte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6 de agosto de 2026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Repositorio / rama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pypmis-ia-sas / main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Commit revisado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54c668f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Release propuesta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ES-PYP-CORE-20260806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Tenant candidato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demo-energy · requiere confirmación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Clasificación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Uso interno · borrador de aprobación</w:t>
            </w:r>
          </w:p>
        </w:tc>
      </w:tr>
    </w:tbl>
    <w:p>
      <w:pPr>
        <w:spacing w:after="40"/>
      </w:pPr>
    </w:p>
    <w:p>
      <w:pPr>
        <w:spacing w:before="320"/>
        <w:jc w:val="center"/>
      </w:pPr>
      <w:r>
        <w:rPr>
          <w:rFonts w:ascii="Calibri" w:hAnsi="Calibri"/>
          <w:i/>
          <w:color w:val="657586"/>
          <w:sz w:val="20"/>
        </w:rPr>
        <w:t>Configuración progresiva, trazable y sin duplicación funcional</w:t>
      </w:r>
    </w:p>
    <w:p>
      <w:pPr>
        <w:pStyle w:val="Heading1"/>
        <w:pageBreakBefore/>
      </w:pPr>
      <w:r>
        <w:t>Contenido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8060"/>
      </w:tblGrid>
      <w:tr>
        <w:trPr>
          <w:tblHeader w:val="true"/>
          <w:cantSplit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Sección</w:t>
            </w:r>
          </w:p>
        </w:tc>
        <w:tc>
          <w:tcPr>
            <w:tcW w:type="dxa" w:w="8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Tema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01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Resumen ejecutivo y alcance del gate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02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Estado acumulado de la plataforma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03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Organization &amp; Security y ADMIN MODE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04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Fundación Enterprise Structure Nivel 2B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05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Paquete PYP Fase 2 y propuesta CORE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06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Resolución de tenant y comparación de catálogos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07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Resultados del dry-run y prueba de no mutación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08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Calidad, operación local y trazabilidad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09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Decisiones requeridas y siguiente fase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3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2E74B5"/>
                <w:sz w:val="18"/>
              </w:rPr>
              <w:t>LECTURA DEL ESTADO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433"/>
                <w:sz w:val="21"/>
              </w:rPr>
              <w:t>El documento diferencia capacidades ya implementadas, datos actualmente persistidos y propuestas aún no autorizadas. Los valores PYP de este paquete pertenecen a la tercera categoría.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1. Resumen ejecutivo</w:t>
      </w: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Se completó el Prompt 01 del paquete PPMIS_Codex_Nivel_2B_Fase2_PYP_v1_0: revisión integral de fuentes, lectura de la plantilla Excel, resolución del tenant candidato, comparación de catálogos y validación dry-run. La plataforma funcionó correctamente y detuvo la carga antes de persistir datos porque la propuesta no cumple dos reglas publicadas de clasificación.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55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Dimensión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Resultado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Interpretación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Ejecución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Prompt 01 completo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Revisión y dry-run cerrados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Validación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BLOCKED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24 errores; debe corregirse la propuesta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Persistencia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Sin cambios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Conteos antes/después idénticos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Apply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No ejecutado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Requiere dry-run válido y aprobación explícita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Publish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No ejecutado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Fase separada; prohibida en este gate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Lotes opcionales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Sin tocar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EXPERIENCE y PROPERTY_FACILITY reservados</w:t>
            </w:r>
          </w:p>
        </w:tc>
      </w:tr>
    </w:tbl>
    <w:p>
      <w:pPr>
        <w:spacing w:after="40"/>
      </w:pPr>
    </w:p>
    <w:p>
      <w:pPr>
        <w:pStyle w:val="Heading2"/>
      </w:pPr>
      <w:r>
        <w:t>Principios preservados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0"/>
        <w:gridCol w:w="9220"/>
      </w:tblGrid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Reutilización del dominio Enterprise Structure, catálogos, permisos y eventos existentes; no se creó una segunda implementación.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Ningún dato faltante fue inventado: solicitante, responsables, aprobaciones y unidades siguen pendientes.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No se creó un segundo tenant ni una segunda raíz empresarial.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Los catálogos nuevos permanecen como propuestas ADMIN; no fueron sembrados ni publicados.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La publicación se mantiene separada, explícita e inmutable, conforme al paquete.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D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9A6700"/>
                <w:sz w:val="18"/>
              </w:rPr>
              <w:t>CONCLUSIÓN DEL GATE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433"/>
                <w:sz w:val="21"/>
              </w:rPr>
              <w:t>La siguiente acción correcta no es forzar la carga. Es resolver las decisiones funcionales indicadas en la sección 11, ajustar el YAML y repetir el dry-run hasta obtener cero errores.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2. Estado acumulado de la plataforma</w:t>
      </w: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P&amp;Pmis Construction AI funciona como una aplicación web multitenant para gobierno y control de proyectos y activos. El frontend React/Vite consume una API FastAPI; PostgreSQL conserva la información transaccional, Redis soporta tareas y caché, y Celery ejecuta trabajo asíncrono. Docker Compose orquesta seis servicios locales.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Capa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Tecnología / componente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Responsabilidad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Experiencia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React + TypeScript + Vite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USER MODE, ADMIN MODE, navegación y pantallas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API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FastAPI + SQLAlchemy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Contratos, validación, RBAC y servicios de dominio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Datos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PostgreSQL 16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Persistencia tenant-scoped y migraciones Alembic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Trabajo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Redis + Celery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Colas, worker y scheduler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Entrega local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Docker Compose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Frontend, API, DB, Redis, worker y beat</w:t>
            </w:r>
          </w:p>
        </w:tc>
      </w:tr>
    </w:tbl>
    <w:p>
      <w:pPr>
        <w:spacing w:after="40"/>
      </w:pPr>
    </w:p>
    <w:p>
      <w:pPr>
        <w:pStyle w:val="Heading2"/>
      </w:pPr>
      <w:r>
        <w:t>Navegación y experiencia configuradas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0"/>
        <w:gridCol w:w="9220"/>
      </w:tblGrid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Selector superior entre USER MODE y ADMIN MODE; la cinta izquierda cambia según el modo activo.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Jerarquía de macroprocesos, módulos y submódulos alimentada por la plantilla de navegación; los módulos existentes conservan sus pantallas.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Cinta lateral plegable con control flotante disponible durante el desplazamiento.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Scope Manager agrupa BIM Manager como primer submódulo y conserva la integración directa con cantidades y APU.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BIM Manager incorpora carga IFC/Excel, cinta superior, renderizado 3D, Object Explorer jerárquico y panel Properties activables.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Facility Manager y Property Manager existen en la navegación según la plantilla, con pantallas vacías controladas donde aún no hay funcionalidad aprobada.</w:t>
            </w:r>
          </w:p>
        </w:tc>
      </w:tr>
    </w:tbl>
    <w:p>
      <w:pPr>
        <w:spacing w:after="40"/>
      </w:pPr>
    </w:p>
    <w:p>
      <w:pPr>
        <w:pStyle w:val="Heading2"/>
      </w:pPr>
      <w:r>
        <w:t>Módulos funcionales reutilizados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Área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Capacidad preservada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Control de proyectos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Dashboard EVM, diagnóstico, cronograma, costos y flujo guiado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Scope / BIM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IFC, cantidades, trazabilidad WBS/CBS/FBS, paquetes y APU Colombia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Administración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Organización, usuarios, grupos, permisos, roles y acceso efectivo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Configuración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Tipos, catálogos, defaults, activaciones, numeración y procesos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Enterprise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Árbol empresarial, clasificaciones, vínculos, USER Explorer y validador de importación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3. Organization &amp; Security y ADMIN MODE</w:t>
      </w:r>
    </w:p>
    <w:p>
      <w:pPr>
        <w:pStyle w:val="Heading2"/>
      </w:pPr>
      <w:r>
        <w:t>Organization &amp; Security</w:t>
      </w: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La configuración administrativa reutiliza el tenant y las cuentas existentes. El dominio cubre organización, unidades, grupos, membresías, permisos atómicos, roles y asignaciones con alcance. SecurityEvent conserva evidencia de acciones administrativas.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Capacidad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Empresa y moneda base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Implementada sobre el tenant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Unidades organizacionales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CRUD y jerarquía disponibles; 0 unidades persistidas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Usuarios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Creación y mantenimiento reutilizando user_accounts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Grupos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Creación y membresías; 0 grupos persistidos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Permisos y roles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43 permisos; 6 roles; 1 asignación activa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Acceso efectivo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Resolución por usuario, grupo, vigencia y alcance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Auditoría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SecurityEvent reutilizado; 1 evento presente</w:t>
            </w:r>
          </w:p>
        </w:tc>
      </w:tr>
    </w:tbl>
    <w:p>
      <w:pPr>
        <w:spacing w:after="40"/>
      </w:pPr>
    </w:p>
    <w:p>
      <w:pPr>
        <w:pStyle w:val="Heading2"/>
      </w:pPr>
      <w:r>
        <w:t>ADMIN MODE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0"/>
        <w:gridCol w:w="9220"/>
      </w:tblGrid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Configuraciones versionadas en estado draft/published con hash de contenido y publicación inmutable.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Tipos de workspace y reglas de composición para Enterprise, Business Unit, Portfolio, Program, Project, Property y Facility.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Catálogos maestros publicados, reglas de numeración y definiciones de proceso.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Enterprise Workspace Structure reutiliza enterprise_workspaces y evita ciclos o padres incompatibles.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Defaults heredables y activación de módulos por workspace sin duplicar definiciones funcionales.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0"/>
        <w:gridCol w:w="3160"/>
      </w:tblGrid>
      <w:tr>
        <w:trPr>
          <w:tblHeader w:val="true"/>
          <w:cantSplit/>
        </w:trPr>
        <w:tc>
          <w:tcPr>
            <w:tcW w:type="dxa" w:w="6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Configuración persistida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Cantidad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Workspace types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Catálogos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Module definitions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Numbering rules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Process definitions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Total publicadas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21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4. Fundación Enterprise Structure Nivel 2B</w:t>
      </w: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La Fase 1 del Nivel 2B ya dispone de un importador de solo lectura orientado a revisión previa. Su entrada canónica es YAML y su salida incluye hallazgos, orden topológico, diff y hash SHA-256 reproducible.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Componente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Comportamiento implementado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Parser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YAML seguro y contrato tipado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Normalización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Convenciones técnicas sin alterar significado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Estructura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Padres, tipos, composición, ciclos y orden topológico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Clasificaciones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Categorías publicadas, aplicabilidad y obligatoriedad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Links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Referencias y compatibilidad entre nodos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Diff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create / update / unchanged / conflict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Evidencia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Reporte humano, JSON y SHA-256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Mutación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Ninguna durante validate</w:t>
            </w:r>
          </w:p>
        </w:tc>
      </w:tr>
    </w:tbl>
    <w:p>
      <w:pPr>
        <w:spacing w:after="40"/>
      </w:pPr>
    </w:p>
    <w:p>
      <w:pPr>
        <w:pStyle w:val="Heading2"/>
      </w:pPr>
      <w:r>
        <w:t>Controles de gobierno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0"/>
        <w:gridCol w:w="9220"/>
      </w:tblGrid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Tenant requerido y validado contra la base; no existe selección silenciosa de otro tenant.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expected_hash previsto para operaciones mutadoras y conflictos no resueltos silenciosamente.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CORE debe preceder a EXPERIENCE y PROPERTY_FACILITY.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Apply debe ser atómico, idempotente y protegido por RBAC; publish es una operación separada.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Una segunda ejecución de apply deberá converger en unchanged antes de publicación.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3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2E74B5"/>
                <w:sz w:val="18"/>
              </w:rPr>
              <w:t>LÍMITE DELIBERADO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433"/>
                <w:sz w:val="21"/>
              </w:rPr>
              <w:t>La rama actual implementa validate/schema. Las operaciones apply y publish no se ampliaron durante este turno porque el paquete obliga a detenerse después del Prompt 01 y el dry-run todavía tiene errores.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5. Paquete PYP Fase 2</w:t>
      </w: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Se revisaron de forma completa AGENTS.md, la especificación funcional, fuentes y supuestos, checklist de aprobación, runbook, tres prompts, cuatro YAML, el libro Excel, el brochure corporativo y el informe técnico de referencia. La propuesta traduce el portafolio de servicios de P&amp;P Ingeniería y Proyectos a una estructura empresarial gobernada.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Fuente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Uso en la revisión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Brochure 2026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Líneas de servicio, experiencia y ubicación corporativa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Especificación Nivel 2B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Alcance, lotes, secuencia y controles obligatorios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Excel de propuesta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Filas, decisiones, objetivos, clasificaciones y catálogos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YAML CORE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Entrada canónica del primer dry-run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YAML EXPERIENCE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Lote histórico opcional, no aplicado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YAML PROPERTY_FACILITY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Lote opcional pendiente de confirmaciones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ADMIN catalog proposals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Ítems propuestos sin publicación</w:t>
            </w:r>
          </w:p>
        </w:tc>
      </w:tr>
    </w:tbl>
    <w:p>
      <w:pPr>
        <w:spacing w:after="40"/>
      </w:pPr>
    </w:p>
    <w:p>
      <w:pPr>
        <w:pStyle w:val="Heading2"/>
      </w:pPr>
      <w:r>
        <w:t>Lotes y decisiones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800"/>
        <w:gridCol w:w="3060"/>
      </w:tblGrid>
      <w:tr>
        <w:trPr>
          <w:tblHeader w:val="true"/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Lote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Volumen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CORE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24 nodos · 7 objetivos · 60 clasificaciones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Revisado; BLOCKED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EXPERIENCE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17 proyectos · 47 clasificaciones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No aplicado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PROPERTY_FACILITY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 nodos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No aplicado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Catálogos ADMIN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11 propuestas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9A6700"/>
                <w:sz w:val="19"/>
              </w:rPr>
              <w:t>PENDIENTE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D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9A6700"/>
                <w:sz w:val="18"/>
              </w:rPr>
              <w:t>ESTADO DE LA PLANTILLA EXCEL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433"/>
                <w:sz w:val="21"/>
              </w:rPr>
              <w:t>Todas las decisiones de las filas analizadas permanecen en PENDIENTE. La revisión no convirtió ninguna propuesta en dato aprobado.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6. Propuesta CORE</w:t>
      </w: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La estructura propuesta tiene una sola raíz y una jerarquía topológicamente válida. El archivo revisado conserva todos los nodos de negocio originales y cambia únicamente el código de tenant a DEMO-ENERGY para ejecutar la validación contra el entorno real candidato.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400"/>
        <w:gridCol w:w="576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Nivel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Cantidad</w:t>
            </w:r>
          </w:p>
        </w:tc>
        <w:tc>
          <w:tcPr>
            <w:tcW w:type="dxa" w:w="5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Enterprise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P&amp;P Ingeniería y Proyectos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Business Unit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4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Consultoría; PMO aaS; Tecnología; Construcción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Portfolio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15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Capacidades y líneas de servicio por unidad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Program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3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Programas de minería, implementación y P&amp;Pmis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Project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Desarrollo P&amp;Pmis Construction AI</w:t>
            </w:r>
          </w:p>
        </w:tc>
      </w:tr>
    </w:tbl>
    <w:p>
      <w:pPr>
        <w:spacing w:after="40"/>
      </w:pPr>
    </w:p>
    <w:p>
      <w:pPr>
        <w:pStyle w:val="Heading2"/>
      </w:pPr>
      <w:r>
        <w:t>Business Units propuestas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00"/>
        <w:gridCol w:w="306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Código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Nombre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Fundamento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BU-CONS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Consultoría en Gestión de Proyectos y Activos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Servicio directo del brochure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BU-PMO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PMO como Servicio (PMO aaS)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Servicio directo del brochure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BU-TEC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Tecnología e Innovación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Servicio directo del brochure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BU-CONST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Gerencia de Construcción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Servicio directo del brochure</w:t>
            </w:r>
          </w:p>
        </w:tc>
      </w:tr>
    </w:tbl>
    <w:p>
      <w:pPr>
        <w:spacing w:after="40"/>
      </w:pPr>
    </w:p>
    <w:p>
      <w:pPr>
        <w:pStyle w:val="Heading2"/>
      </w:pPr>
      <w:r>
        <w:t>Objetivos estratégicos propuestos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Código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Objetivo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OBJ-PYP-01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Convertir proyectos complejos en resultados previsibles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OBJ-PYP-02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Proteger plazo, costo, alcance y valor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OBJ-PYP-03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Fortalecer el gobierno y la toma de decisiones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OBJ-PYP-04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Conectar estrategia, control y ejecución mediante tecnología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OBJ-PYP-05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Transformar diseños en activos operativos confiables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OBJ-PYP-06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Maximizar el desempeño y valor del ciclo de vida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OBJ-PYP-07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Consolidar capacidades para minería e infraestructura compleja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7. Tenant y catálogos</w:t>
      </w:r>
    </w:p>
    <w:p>
      <w:pPr>
        <w:pStyle w:val="Heading2"/>
      </w:pPr>
      <w:r>
        <w:t>Resolución del tenant</w:t>
      </w: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La base local contiene un único tenant: ID 1, slug demo-energy, nombre Demo Energy Infrastructure y moneda COP. El nombre no coincide con P&amp;P Ingeniería y Proyectos. Se usó como candidato técnico para el dry-run; esto no confirma que sea el tenant de destino.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300"/>
        <w:gridCol w:w="3560"/>
      </w:tblGrid>
      <w:tr>
        <w:trPr>
          <w:tblHeader w:val="true"/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Campo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Valor observado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Decisión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Tenant slug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demo-energy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Confirmar o reemplazar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Código de importación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DEMO-ENERGY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Usado solo en dry-run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Nombre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Demo Energy Infrastructure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No coincide con la propuesta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Enterprise root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 nodo existente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Reutilizar; no duplicar</w:t>
            </w:r>
          </w:p>
        </w:tc>
      </w:tr>
    </w:tbl>
    <w:p>
      <w:pPr>
        <w:spacing w:after="40"/>
      </w:pPr>
    </w:p>
    <w:p>
      <w:pPr>
        <w:pStyle w:val="Heading2"/>
      </w:pPr>
      <w:r>
        <w:t>Responsible Area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000"/>
        <w:gridCol w:w="316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Propuesta PYP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Publicados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CONSULTORIA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capital-projects / corporate / operations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Sin equivalencia exacta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PMO_AAS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capital-projects / corporate / operations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Sin equivalencia exacta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TECNOLOGIA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capital-projects / corporate / operations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Sin equivalencia exacta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CONSTRUCCION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capital-projects / corporate / operations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capital-projects es solo candidato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CEB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B42318"/>
                <w:sz w:val="18"/>
              </w:rPr>
              <w:t>BLOQUEO DE OBLIGATORIEDAD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433"/>
                <w:sz w:val="21"/>
              </w:rPr>
              <w:t>Cada Business Unit exige una clasificación responsible-area publicada. Como la propuesta no asigna ninguna, se generan cuatro errores REQUIRED_CLASSIFICATION_MISSING.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t>Mapeo de catálogos complementarios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500"/>
        <w:gridCol w:w="3160"/>
      </w:tblGrid>
      <w:tr>
        <w:trPr>
          <w:tblHeader w:val="true"/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Propuesta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Catálogo actual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Recomendación controlada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TECH_IMPLEMENTATION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project-type: technology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Candidato razonable; aprobar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CONSTRUCTION_PROJECT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project-type: capital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Candidato razonable; aprobar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INTERNAL_PRODUCT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project-type: technology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Candidato parcial; revisar semántica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CONSULTING_ASSIGNMENT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capital / operational / technology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Sin equivalencia exacta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PMO_ASSIGNMENT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capital / operational / technology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Sin equivalencia exacta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CORPORATE_OFFICE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property-type: owned / leased / concession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No mapear: uso ≠ tenencia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OFFICE_SPACE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facility-type: building / plant / infrastructure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building es candidato parcial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Los siete objetivos estratégicos PYP son nuevos. La categoría publicada strategic-objective admite Portfolio, Program y Project, pero no Enterprise ni Business Unit. No se amplió su aplicabilidad porque hacerlo cambiaría una regla de gobierno publicada sin aprobación.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3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2E74B5"/>
                <w:sz w:val="18"/>
              </w:rPr>
              <w:t>PROPERTY / FACILITY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433"/>
                <w:sz w:val="21"/>
              </w:rPr>
              <w:t>El brochure identifica Bogotá, Torre 2, Oficina 304. Antes de crear Property y Facility deben confirmarse régimen de tenencia, dirección definitiva y denominación. El lote continúa fuera de CORE.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8. Resultado del dry-run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00"/>
        <w:gridCol w:w="4060"/>
      </w:tblGrid>
      <w:tr>
        <w:trPr>
          <w:tblHeader w:val="true"/>
          <w:cantSplit/>
        </w:trPr>
        <w:tc>
          <w:tcPr>
            <w:tcW w:type="dxa" w:w="5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Métrica</w:t>
            </w:r>
          </w:p>
        </w:tc>
        <w:tc>
          <w:tcPr>
            <w:tcW w:type="dxa" w:w="4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Estado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BLOCKED</w:t>
            </w:r>
          </w:p>
        </w:tc>
      </w:tr>
      <w:tr>
        <w:trPr>
          <w:cantSplit/>
        </w:trPr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Nodos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24</w:t>
            </w:r>
          </w:p>
        </w:tc>
      </w:tr>
      <w:tr>
        <w:trPr>
          <w:cantSplit/>
        </w:trPr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Objetivos estratégicos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Clasificaciones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60</w:t>
            </w:r>
          </w:p>
        </w:tc>
      </w:tr>
      <w:tr>
        <w:trPr>
          <w:cantSplit/>
        </w:trPr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Links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Errores / warnings / info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24 / 0 / 0</w:t>
            </w:r>
          </w:p>
        </w:tc>
      </w:tr>
      <w:tr>
        <w:trPr>
          <w:cantSplit/>
        </w:trPr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Diff create / update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90 / 1</w:t>
            </w:r>
          </w:p>
        </w:tc>
      </w:tr>
      <w:tr>
        <w:trPr>
          <w:cantSplit/>
        </w:trPr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Diff unchanged / conflict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0 / 0</w:t>
            </w:r>
          </w:p>
        </w:tc>
      </w:tr>
    </w:tbl>
    <w:p>
      <w:pPr>
        <w:spacing w:after="40"/>
      </w:pPr>
    </w:p>
    <w:p>
      <w:pPr>
        <w:pStyle w:val="Heading2"/>
      </w:pPr>
      <w:r>
        <w:t>Hallazgos bloqueantes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0"/>
        <w:gridCol w:w="9220"/>
      </w:tblGrid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4 × REQUIRED_CLASSIFICATION_MISSING: BU-CONS, BU-PMO, BU-TEC y BU-CONST carecen de responsible-area.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20 × CATEGORY_NOT_APPLICABLE: 7 asignaciones en Enterprise y 13 asignaciones en Business Units usan strategic-objective donde el catálogo no lo permite.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0 errores de jerarquía: el orden topológico de los 24 nodos es válido y no hay ciclos.</w:t>
            </w:r>
          </w:p>
        </w:tc>
      </w:tr>
      <w:tr>
        <w:trPr>
          <w:cantSplit/>
        </w:trPr>
        <w:tc>
          <w:tcPr>
            <w:tcW w:type="dxa" w:w="140"/>
            <w:vAlign w:val="center"/>
            <w:tcMar>
              <w:top w:w="45" w:type="dxa"/>
              <w:start w:w="30" w:type="dxa"/>
              <w:bottom w:w="45" w:type="dxa"/>
              <w:end w:w="3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14989A"/>
          </w:tcPr>
          <w:p/>
        </w:tc>
        <w:tc>
          <w:tcPr>
            <w:tcW w:type="dxa" w:w="922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0 conflictos: la validación no encontró claves duplicadas o colisiones irreconciliables.</w:t>
            </w:r>
          </w:p>
        </w:tc>
      </w:tr>
    </w:tbl>
    <w:p>
      <w:pPr>
        <w:spacing w:after="40"/>
      </w:pPr>
    </w:p>
    <w:p>
      <w:pPr>
        <w:pStyle w:val="Heading2"/>
      </w:pPr>
      <w:r>
        <w:t>Interpretación del diff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600"/>
        <w:gridCol w:w="5260"/>
      </w:tblGrid>
      <w:tr>
        <w:trPr>
          <w:tblHeader w:val="true"/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Acción potencial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Cantidad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Detalle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update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Adopción controlada de la raíz existente como ENT-PYP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create · nodos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23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4 BU, 15 Portfolio, 3 Program y 1 Project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create · objetivos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7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Objetivos estratégicos PYP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create · clasificaciones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60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Asignaciones propuestas</w:t>
            </w:r>
          </w:p>
        </w:tc>
      </w:tr>
    </w:tbl>
    <w:p>
      <w:pPr>
        <w:spacing w:after="40"/>
      </w:pPr>
    </w:p>
    <w:p>
      <w:pPr>
        <w:pStyle w:val="Heading2"/>
      </w:pPr>
      <w:r>
        <w:t>Hash reproducible</w:t>
      </w:r>
    </w:p>
    <w:p>
      <w:pPr>
        <w:pStyle w:val="CodeBlock"/>
        <w:keepLines/>
      </w:pPr>
      <w:r>
        <w:rPr>
          <w:rFonts w:ascii="Consolas" w:hAnsi="Consolas"/>
          <w:color w:val="123449"/>
          <w:sz w:val="17"/>
        </w:rPr>
        <w:t>10c47aee1d159de7582c45a25a5d4be5acc04929d653fbad4287e3852513beb6</w:t>
      </w: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La segunda ejecución del comando validate produjo el mismo hash, los mismos 24 errores y el mismo diff. Esta repetibilidad confirma que el insumo revisado y la lectura del snapshot son estables.</w:t>
      </w:r>
    </w:p>
    <w:p>
      <w:pPr>
        <w:pStyle w:val="Heading1"/>
        <w:pageBreakBefore/>
      </w:pPr>
      <w:r>
        <w:t>9. No mutación y calidad</w:t>
      </w:r>
    </w:p>
    <w:p>
      <w:pPr>
        <w:pStyle w:val="Heading2"/>
      </w:pPr>
      <w:r>
        <w:t>Prueba de no mutación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300"/>
        <w:gridCol w:w="1300"/>
        <w:gridCol w:w="3160"/>
      </w:tblGrid>
      <w:tr>
        <w:trPr>
          <w:tblHeader w:val="true"/>
          <w:cantSplit/>
        </w:trPr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Entidad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Antes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Después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EnterpriseWorkspace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Sin cambio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Clasificaciones enterprise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Sin cambio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Links enterprise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Sin cambio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AdminConfiguration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Sin cambio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SecurityEvent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Sin cambio</w:t>
            </w:r>
          </w:p>
        </w:tc>
      </w:tr>
    </w:tbl>
    <w:p>
      <w:pPr>
        <w:spacing w:after="40"/>
      </w:pPr>
    </w:p>
    <w:p>
      <w:pPr>
        <w:pStyle w:val="Heading2"/>
      </w:pPr>
      <w:r>
        <w:t>Pruebas ejecutadas en este corte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rPr>
          <w:tblHeader w:val="true"/>
          <w:cantSplit/>
        </w:trPr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Validación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Enterprise Structure backend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12 pruebas aprobadas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Frontend Vitest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23 archivos · 136 pruebas aprobadas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Dry-run repetido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Mismo hash, conteos y 24 hallazgos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Frontend HTTP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200 en http://127.0.0.1:5173/app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API readiness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ready; API, PostgreSQL y Redis OK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6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57347"/>
                <w:sz w:val="18"/>
              </w:rPr>
              <w:t>LECTURA CORRECTA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433"/>
                <w:sz w:val="21"/>
              </w:rPr>
              <w:t>BLOCKED es un resultado funcional esperado del validador. No representa caída del sistema: las pruebas y servicios están saludables, pero los datos no están autorizados ni alineados con los catálogos publicados.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10. Estado operativo local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800"/>
        <w:gridCol w:w="4960"/>
      </w:tblGrid>
      <w:tr>
        <w:trPr>
          <w:tblHeader w:val="true"/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Servicio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Estado</w:t>
            </w:r>
          </w:p>
        </w:tc>
        <w:tc>
          <w:tcPr>
            <w:tcW w:type="dxa" w:w="4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Acceso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Frontend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Up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http://127.0.0.1:5173/app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API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Healthy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http://127.0.0.1:8000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PostgreSQL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Healthy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localhost:5432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Redis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Healthy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localhost:6379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Celery worker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Up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Red interna Docker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Celery beat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72433"/>
                <w:sz w:val="19"/>
              </w:rPr>
              <w:t>Up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Red interna Docker</w:t>
            </w:r>
          </w:p>
        </w:tc>
      </w:tr>
    </w:tbl>
    <w:p>
      <w:pPr>
        <w:spacing w:after="40"/>
      </w:pPr>
    </w:p>
    <w:p>
      <w:pPr>
        <w:pStyle w:val="Heading2"/>
      </w:pPr>
      <w:r>
        <w:t>Snapshot de datos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0"/>
        <w:gridCol w:w="3760"/>
      </w:tblGrid>
      <w:tr>
        <w:trPr>
          <w:tblHeader w:val="true"/>
          <w:cantSplit/>
        </w:trPr>
        <w:tc>
          <w:tcPr>
            <w:tcW w:type="dxa" w:w="5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Indicador</w:t>
            </w:r>
          </w:p>
        </w:tc>
        <w:tc>
          <w:tcPr>
            <w:tcW w:type="dxa" w:w="3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Tenants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Usuarios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Unidades / grupos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Permisos / roles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43 / 6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Asignaciones activas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Admin configurations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21 publicadas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Enterprise workspaces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Clasificaciones / links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Migración Alembic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20260806_0028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El endpoint de readiness reportó API, database y redis en estado ok. El contenedor API informa la versión 0.1.0; el workspace revisado está en commit 54c668f.</w:t>
      </w:r>
    </w:p>
    <w:p>
      <w:pPr>
        <w:pStyle w:val="Heading1"/>
        <w:pageBreakBefore/>
      </w:pPr>
      <w:r>
        <w:t>11. Decisiones requeridas</w:t>
      </w: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Para continuar con Prompt 02 no basta una aprobación genérica. Deben quedar resueltas las decisiones que cambian identidad, catálogos y clasificación. La siguiente lista constituye el checklist de entrada para un nuevo dry-run.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60"/>
        <w:gridCol w:w="8800"/>
      </w:tblGrid>
      <w:tr>
        <w:trPr>
          <w:cantSplit/>
        </w:trPr>
        <w:tc>
          <w:tcPr>
            <w:tcW w:type="dxa" w:w="560"/>
            <w:vAlign w:val="center"/>
            <w:tcMar>
              <w:top w:w="45" w:type="dxa"/>
              <w:start w:w="40" w:type="dxa"/>
              <w:bottom w:w="45" w:type="dxa"/>
              <w:end w:w="4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1</w:t>
            </w:r>
          </w:p>
        </w:tc>
        <w:tc>
          <w:tcPr>
            <w:tcW w:type="dxa" w:w="880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Confirmar si demo-energy es el tenant real de P&amp;P Ingeniería y Proyectos; en caso contrario, indicar el tenant correcto.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45" w:type="dxa"/>
              <w:start w:w="40" w:type="dxa"/>
              <w:bottom w:w="45" w:type="dxa"/>
              <w:end w:w="4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2</w:t>
            </w:r>
          </w:p>
        </w:tc>
        <w:tc>
          <w:tcPr>
            <w:tcW w:type="dxa" w:w="880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Aprobar, ajustar o excluir los 24 nodos CORE y los 7 objetivos estratégicos de la plantilla.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45" w:type="dxa"/>
              <w:start w:w="40" w:type="dxa"/>
              <w:bottom w:w="45" w:type="dxa"/>
              <w:end w:w="4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3</w:t>
            </w:r>
          </w:p>
        </w:tc>
        <w:tc>
          <w:tcPr>
            <w:tcW w:type="dxa" w:w="880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Asignar cada Business Unit a un responsible-area publicado o autorizar ítems ADMIN nuevos en borrador.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45" w:type="dxa"/>
              <w:start w:w="40" w:type="dxa"/>
              <w:bottom w:w="45" w:type="dxa"/>
              <w:end w:w="4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4</w:t>
            </w:r>
          </w:p>
        </w:tc>
        <w:tc>
          <w:tcPr>
            <w:tcW w:type="dxa" w:w="880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Decidir si se retiran las 20 asignaciones strategic-objective inválidas o se redefine formalmente la aplicabilidad del catálogo.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45" w:type="dxa"/>
              <w:start w:w="40" w:type="dxa"/>
              <w:bottom w:w="45" w:type="dxa"/>
              <w:end w:w="4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5</w:t>
            </w:r>
          </w:p>
        </w:tc>
        <w:tc>
          <w:tcPr>
            <w:tcW w:type="dxa" w:w="880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Identificar el usuario solicitante, responsables y aprobadores; no se aceptan identidades inventadas.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45" w:type="dxa"/>
              <w:start w:w="40" w:type="dxa"/>
              <w:bottom w:w="45" w:type="dxa"/>
              <w:end w:w="4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6</w:t>
            </w:r>
          </w:p>
        </w:tc>
        <w:tc>
          <w:tcPr>
            <w:tcW w:type="dxa" w:w="8800"/>
            <w:vAlign w:val="center"/>
            <w:tcMar>
              <w:top w:w="45" w:type="dxa"/>
              <w:start w:w="120" w:type="dxa"/>
              <w:bottom w:w="45" w:type="dxa"/>
              <w:end w:w="9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72433"/>
                <w:sz w:val="21"/>
              </w:rPr>
              <w:t>Mantener EXPERIENCE y PROPERTY_FACILITY fuera del primer apply, salvo autorización específica posterior.</w:t>
            </w:r>
          </w:p>
        </w:tc>
      </w:tr>
    </w:tbl>
    <w:p>
      <w:pPr>
        <w:spacing w:after="40"/>
      </w:pPr>
    </w:p>
    <w:p>
      <w:pPr>
        <w:pStyle w:val="Heading2"/>
      </w:pPr>
      <w:r>
        <w:t>Secuencia posterior autorizable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Paso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Condición</w:t>
            </w:r>
          </w:p>
        </w:tc>
        <w:tc>
          <w:tcPr>
            <w:tcW w:type="dxa" w:w="4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1. Ajustar YAML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Decisiones completas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Propuesta revisada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2. Repetir validate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Catálogos coherentes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0 errores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3. Aprobar apply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Aprobación explícita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Borrador atómico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4. Repetir apply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Mismo hash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Todo unchanged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5. QA y aprobación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Evidencia completa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Candidato a publicar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6. Publish CORE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Aprobación explícita separada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Release inmutable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D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9A6700"/>
                <w:sz w:val="18"/>
              </w:rPr>
              <w:t>GATE VIGENTE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433"/>
                <w:sz w:val="21"/>
              </w:rPr>
              <w:t>Prompt 01 está completo. Prompt 02 y Prompt 03 no han comenzado. Esta pausa es una obligación del paquete y protege la configuración publicada.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12. Trazabilidad y conclusión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  <w:cantSplit/>
        </w:trPr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23449"/>
                <w:sz w:val="19"/>
              </w:rPr>
              <w:t>Evidencia</w:t>
            </w:r>
          </w:p>
        </w:tc>
        <w:tc>
          <w:tcPr>
            <w:tcW w:type="dxa" w:w="6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23449"/>
                <w:sz w:val="19"/>
              </w:rPr>
              <w:t>Ruta en el repositorio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YAML revisado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backend/config/enterprise_structure.pyp_core_reviewed.yaml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Dry-run humano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artifacts/enterprise_structure/pyp_core/pyp_core_dry_run.txt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Dry-run JSON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artifacts/enterprise_structure/pyp_core/pyp_core_dry_run.json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Checksum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artifacts/enterprise_structure/pyp_core/pyp_core_dry_run.sha256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Registro del gate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docs/36-pyp-core-dry-run-gate.md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Importador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backend/app/modules/enterprise_structure/importer/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Configuración ADMIN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72433"/>
                <w:sz w:val="19"/>
              </w:rPr>
              <w:t>backend/app/modules/enterprise_structure/</w:t>
            </w:r>
          </w:p>
        </w:tc>
      </w:tr>
    </w:tbl>
    <w:p>
      <w:pPr>
        <w:spacing w:after="40"/>
      </w:pPr>
    </w:p>
    <w:p>
      <w:pPr>
        <w:pStyle w:val="Heading2"/>
      </w:pPr>
      <w:r>
        <w:t>Conclusión</w:t>
      </w:r>
    </w:p>
    <w:p>
      <w:pPr>
        <w:spacing w:before="0" w:after="120" w:line="264" w:lineRule="auto"/>
      </w:pPr>
      <w:r>
        <w:rPr>
          <w:rFonts w:ascii="Calibri" w:hAnsi="Calibri"/>
          <w:color w:val="172433"/>
          <w:sz w:val="22"/>
        </w:rPr>
        <w:t>P&amp;Pmis Construction AI conserva las capacidades desarrolladas en USER MODE, BIM Manager, Organization &amp; Security, ADMIN MODE y Enterprise Structure. El paquete PYP Fase 2 fue integrado hasta el punto permitido: sus fuentes quedaron revisadas, el CORE fue adaptado al tenant candidato sin inventar datos y el dry-run dejó evidencia reproducible. El sistema está operativo, las pruebas pasan y la base permanece intacta. La carga PYP no debe continuar hasta que se confirmen el tenant y las decisiones de catálogo y clasificación.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6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7"/>
              <w:left w:val="single" w:sz="6" w:space="0" w:color="D8E0E7"/>
              <w:bottom w:val="single" w:sz="6" w:space="0" w:color="D8E0E7"/>
              <w:right w:val="single" w:sz="6" w:space="0" w:color="D8E0E7"/>
              <w:insideH w:val="single" w:sz="6" w:space="0" w:color="D8E0E7"/>
              <w:insideV w:val="single" w:sz="6" w:space="0" w:color="D8E0E7"/>
            </w:tcBorders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57347"/>
                <w:sz w:val="18"/>
              </w:rPr>
              <w:t>ESTADO FINAL DE ESTA ENTREGA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172433"/>
                <w:sz w:val="21"/>
              </w:rPr>
              <w:t>Evidencia preparada · plataforma saludable · configuración PYP no aplicada · aprobación funcional pendiente.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pgSz w:w="12240" w:h="15840"/>
      <w:pgMar w:top="1224" w:right="1440" w:bottom="1224" w:left="1440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color w:val="657586"/>
        <w:sz w:val="16"/>
      </w:rPr>
      <w:t xml:space="preserve">P&amp;Pmis · 6 de agosto de 2026  |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color w:val="657586"/>
        <w:sz w:val="16"/>
      </w:rPr>
      <w:t>P&amp;Pmis Construction AI  |  Nivel 2B Fase 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color w:val="14989A"/>
        <w:sz w:val="16"/>
      </w:rPr>
      <w:t>DOCUMENTO TÉCNICO · CONTROLADO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4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44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52" w:lineRule="auto"/>
    </w:pPr>
    <w:rPr>
      <w:rFonts w:asciiTheme="majorHAnsi" w:eastAsiaTheme="majorEastAsia" w:hAnsiTheme="majorHAnsi" w:cstheme="majorBidi" w:ascii="Calibri" w:hAnsi="Calibri"/>
      <w:i/>
      <w:iCs/>
      <w:color w:val="65758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360" w:right="360"/>
    </w:pPr>
    <w:rPr>
      <w:rFonts w:ascii="Consolas" w:hAnsi="Consolas"/>
      <w:color w:val="12344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P&amp;Pmis Nivel 2B Fase 2 PYP</dc:title>
  <dc:subject>Gate de revisión y dry-run de P&amp;P Ingeniería y Proyectos</dc:subject>
  <dc:creator>P&amp;Pmis Construction AI</dc:creator>
  <cp:keywords>P&amp;Pmis, Enterprise Structure, PYP, dry-run,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