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</w:t>
      </w:r>
    </w:p>
    <w:p>
      <w:pPr>
        <w:pStyle w:val="Subtitle"/>
      </w:pPr>
      <w:r>
        <w:t>Gate 06C · Physical Workspace Initialization &amp; Activation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Tenant: </w:t>
      </w:r>
      <w:r>
        <w:rPr>
          <w:rFonts w:ascii="Calibri" w:hAnsi="Calibri"/>
          <w:i w:val="0"/>
          <w:color w:val="16222B"/>
          <w:sz w:val="22"/>
        </w:rPr>
        <w:t>P&amp;P Ingeniería y Proyectos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Fecha de cierre: </w:t>
      </w:r>
      <w:r>
        <w:rPr>
          <w:rFonts w:ascii="Calibri" w:hAnsi="Calibri"/>
          <w:i w:val="0"/>
          <w:color w:val="16222B"/>
          <w:sz w:val="22"/>
        </w:rPr>
        <w:t>13 de agosto de 2026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Alcance: </w:t>
      </w:r>
      <w:r>
        <w:rPr>
          <w:rFonts w:ascii="Calibri" w:hAnsi="Calibri"/>
          <w:i w:val="0"/>
          <w:color w:val="16222B"/>
          <w:sz w:val="22"/>
        </w:rPr>
        <w:t>PROPERTY · FACILITY · WAREHOUSE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Estado final: </w:t>
      </w:r>
      <w:r>
        <w:rPr>
          <w:rFonts w:ascii="Calibri" w:hAnsi="Calibri"/>
          <w:i w:val="0"/>
          <w:color w:val="16222B"/>
          <w:sz w:val="22"/>
        </w:rPr>
        <w:t>READY_FOR_PHYSICAL_WORKSPACE_OPERATION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Límite: </w:t>
      </w:r>
      <w:r>
        <w:rPr>
          <w:rFonts w:ascii="Calibri" w:hAnsi="Calibri"/>
          <w:i w:val="0"/>
          <w:color w:val="16222B"/>
          <w:sz w:val="22"/>
        </w:rPr>
        <w:t>Sin Asset Manager, Inventory Manager ni operación física profunda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RESULTADO DE CIERRE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Se implementó un único motor parametrizado por workspace_type_code para inicializar, validar y activar PROPERTY, FACILITY y WAREHOUSE materializados por Gate 06B. Preview no persiste; Activation es una acción separada y atómica bajo segregación de funciones.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Resumen ejecutivo</w:t>
      </w:r>
    </w:p>
    <w:p>
      <w:r>
        <w:t>Gate 06C convierte los Physical Workspaces PENDING en unidades preparadas y, sólo después de una activación independiente, en Workspaces ACTIVE. La implementación conserva enterprise_workspaces como identidad canónica, usa el snapshot exacto del template materializado, aplica defaults con precedencia explícita y mantiene trazabilidad de checklists, módulos, hashes, actores, eventos y versiones.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651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Motor único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Property / Facility / Warehouse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Preview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evaluación no persistente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Start / Retry / Validate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BLOCKED o READY_FOR_ACTIVATION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Activation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PENDING→ACTIVE en transacción separada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Segregación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activator distinto de requestor/initializer/modifier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 E2E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31/31, incluida concurrencia y reversibilidad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Regresión backend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114/114; 4 skips previstos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185/185; TypeScript, build, lint y format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Baseline real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14 Workspaces, 0 físicos, 0 inicializaciones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REUSE BEFORE CREATE</w:t>
      </w:r>
    </w:p>
    <w:p>
      <w:pPr>
        <w:pStyle w:val="ListBullet"/>
        <w:spacing w:after="80"/>
      </w:pPr>
      <w:r>
        <w:t>Se reutilizó el patrón probado de Project Workspace Initialization 05C sin duplicar sus semánticas específicas.</w:t>
      </w:r>
    </w:p>
    <w:p>
      <w:pPr>
        <w:pStyle w:val="ListBullet"/>
        <w:spacing w:after="80"/>
      </w:pPr>
      <w:r>
        <w:t>Se consumen los Workspaces PENDING y snapshots materializados por el proceso físico 06B.</w:t>
      </w:r>
    </w:p>
    <w:p>
      <w:pPr>
        <w:pStyle w:val="ListBullet"/>
        <w:spacing w:after="80"/>
      </w:pPr>
      <w:r>
        <w:t>Se reutilizan EnterpriseWorkspace, AdminConfiguration, SecurityAccessAssignment, SecurityEvent y WorkspaceModuleSetting.</w:t>
      </w:r>
    </w:p>
    <w:p>
      <w:pPr>
        <w:pStyle w:val="ListBullet"/>
        <w:spacing w:after="80"/>
      </w:pPr>
      <w:r>
        <w:t>Se creó una única tabla física porque checklists, responsables, campos y módulos difieren del dominio Project.</w:t>
      </w:r>
    </w:p>
    <w:p>
      <w:pPr>
        <w:pStyle w:val="ListBullet"/>
        <w:spacing w:after="80"/>
      </w:pPr>
      <w:r>
        <w:t>El release CORE publicado no se crea, revisa ni modifica durante inicialización o activación.</w:t>
      </w:r>
    </w:p>
    <w:p>
      <w:pPr>
        <w:pStyle w:val="Heading1"/>
        <w:keepNext/>
      </w:pPr>
      <w:r>
        <w:t>3. Alcance y exclusiones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Incluido</w:t>
            </w:r>
          </w:p>
        </w:tc>
        <w:tc>
          <w:tcPr>
            <w:tcW w:type="dxa" w:w="468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Excluido</w:t>
            </w:r>
          </w:p>
        </w:tc>
      </w:tr>
      <w:tr>
        <w:tc>
          <w:tcPr>
            <w:tcW w:type="dxa" w:w="46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PROPERTY / FACILITY / WAREHOUSE PENDING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REGION / DISTRICT / SITE / PROJECT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Preview, Start, Retry, Validate, Activate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LINEAR_ASSET / ASSET</w:t>
            </w:r>
          </w:p>
        </w:tc>
      </w:tr>
      <w:tr>
        <w:tc>
          <w:tcPr>
            <w:tcW w:type="dxa" w:w="46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Checklists, defaults, acceso, módulos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Activos, inventario, espacios, mantenimiento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Overview e inventario USER MODE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Operaciones inmobiliarias o de facilities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Arquitectura implementada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rPr>
          <w:tblHeader w:val="true"/>
        </w:trPr>
        <w:tc>
          <w:tcPr>
            <w:tcW w:type="dxa" w:w="215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721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1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React USER MODE</w:t>
            </w:r>
          </w:p>
        </w:tc>
        <w:tc>
          <w:tcPr>
            <w:tcW w:type="dxa" w:w="7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My Physical Workspaces, Overview, preview, retry, validate y activate</w:t>
            </w:r>
          </w:p>
        </w:tc>
      </w:tr>
      <w:tr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FastAPI router</w:t>
            </w:r>
          </w:p>
        </w:tc>
        <w:tc>
          <w:tcPr>
            <w:tcW w:type="dxa" w:w="72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6 contratos lifecycle, autorización RBAC y ETag/If-Match</w:t>
            </w:r>
          </w:p>
        </w:tc>
      </w:tr>
      <w:tr>
        <w:tc>
          <w:tcPr>
            <w:tcW w:type="dxa" w:w="21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Servicio genérico</w:t>
            </w:r>
          </w:p>
        </w:tc>
        <w:tc>
          <w:tcPr>
            <w:tcW w:type="dxa" w:w="7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Una fuente de verdad para los tres tipos físicos</w:t>
            </w:r>
          </w:p>
        </w:tc>
      </w:tr>
      <w:tr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Persistencia</w:t>
            </w:r>
          </w:p>
        </w:tc>
        <w:tc>
          <w:tcPr>
            <w:tcW w:type="dxa" w:w="72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Singleton tenant/workspace con snapshot, estados, hashes y actores</w:t>
            </w:r>
          </w:p>
        </w:tc>
      </w:tr>
      <w:tr>
        <w:tc>
          <w:tcPr>
            <w:tcW w:type="dxa" w:w="21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Enterprise models</w:t>
            </w:r>
          </w:p>
        </w:tc>
        <w:tc>
          <w:tcPr>
            <w:tcW w:type="dxa" w:w="7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Identidad, parent, clasificaciones, módulos y assignments</w:t>
            </w:r>
          </w:p>
        </w:tc>
      </w:tr>
      <w:tr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</w:t>
            </w:r>
          </w:p>
        </w:tc>
        <w:tc>
          <w:tcPr>
            <w:tcW w:type="dxa" w:w="72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Locks, unicidad, rollback y transición atómica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Modelo de persistencia</w:t>
      </w:r>
    </w:p>
    <w:p>
      <w:r>
        <w:t>La migración 20260813_0038 agrega physical_workspace_initializations con unicidad tenant_id/workspace_id. El registro conserva workspace type, estado, snapshot exacto de template, initialization_version, revision_version, actores y timestamps, validation/checklist hashes, checklists común/específico, defaults, assignments, estados de módulo y diagnóstico de falla.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IDENTIDAD INMUTABLE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Business Number, Record Code y external_key permanecen inmutables durante Start, Validate y Activate. La activación sólo cambia status y version del EnterpriseWorkspace, además del estado lifecycle.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Máquina de estados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70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Transición / significado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NOT_STARTED</w:t>
            </w:r>
          </w:p>
        </w:tc>
        <w:tc>
          <w:tcPr>
            <w:tcW w:type="dxa" w:w="7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No existe registro; Preview disponible y no persistente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INITIALIZING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Estado transitorio durante aplicación de defaults/asignaciones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BLOCKED</w:t>
            </w:r>
          </w:p>
        </w:tc>
        <w:tc>
          <w:tcPr>
            <w:tcW w:type="dxa" w:w="7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Uno o más controles obligatorios fallan; Workspace sigue PENDING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READY_FOR_ACTIVATION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Checklists y hashes válidos; requiere activator independiente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ACTIVATED</w:t>
            </w:r>
          </w:p>
        </w:tc>
        <w:tc>
          <w:tcPr>
            <w:tcW w:type="dxa" w:w="7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 ACTIVE; activación registrada e idempotente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FAILED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Falla técnica persistida; Workspace PENDING y reintento permitido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Checklist común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rPr>
          <w:tblHeader w:val="true"/>
        </w:trPr>
        <w:tc>
          <w:tcPr>
            <w:tcW w:type="dxa" w:w="70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3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Severidad</w:t>
            </w:r>
          </w:p>
        </w:tc>
      </w:tr>
      <w:tr>
        <w:tc>
          <w:tcPr>
            <w:tcW w:type="dxa" w:w="7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workspace_identity_valid</w:t>
            </w:r>
          </w:p>
        </w:tc>
        <w:tc>
          <w:tcPr>
            <w:tcW w:type="dxa" w:w="2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workspace_type_supported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workspace_status_pending</w:t>
            </w:r>
          </w:p>
        </w:tc>
        <w:tc>
          <w:tcPr>
            <w:tcW w:type="dxa" w:w="2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parent_valid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business_number_valid</w:t>
            </w:r>
          </w:p>
        </w:tc>
        <w:tc>
          <w:tcPr>
            <w:tcW w:type="dxa" w:w="2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record_code_valid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external_key_valid</w:t>
            </w:r>
          </w:p>
        </w:tc>
        <w:tc>
          <w:tcPr>
            <w:tcW w:type="dxa" w:w="2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template_assigned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template_snapshot_valid</w:t>
            </w:r>
          </w:p>
        </w:tc>
        <w:tc>
          <w:tcPr>
            <w:tcW w:type="dxa" w:w="2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responsible_assigned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responsible_access_valid</w:t>
            </w:r>
          </w:p>
        </w:tc>
        <w:tc>
          <w:tcPr>
            <w:tcW w:type="dxa" w:w="2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required_attributes_complete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required_classifications_valid</w:t>
            </w:r>
          </w:p>
        </w:tc>
        <w:tc>
          <w:tcPr>
            <w:tcW w:type="dxa" w:w="2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module_settings_valid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tenant_scope_valid</w:t>
            </w:r>
          </w:p>
        </w:tc>
        <w:tc>
          <w:tcPr>
            <w:tcW w:type="dxa" w:w="2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  <w:tr>
        <w:tc>
          <w:tcPr>
            <w:tcW w:type="dxa" w:w="7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no_core_revision_required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Blocking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Checklists por tipo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74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Controles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PROPERTY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type, manager, tenure, legal, geographic, area y value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FACILITY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type, responsible, operational status, geographic, capacity, area, criticality y commissioning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WAREHOUSE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type, manager, geographic, storage capacity/unit, criticality y parent context</w:t>
            </w:r>
          </w:p>
        </w:tc>
      </w:tr>
    </w:tbl>
    <w:p>
      <w:pPr>
        <w:spacing w:after="40"/>
      </w:pPr>
    </w:p>
    <w:p>
      <w:r>
        <w:t>Los campos configurados como obligatorios producen FAIL bloqueante. Los campos opcionales incompletos producen WARNING y no impiden READY_FOR_ACTIVATION. El backend, no la UI, decide severidad y evidencia.</w:t>
      </w:r>
    </w:p>
    <w:p>
      <w:r>
        <w:br w:type="page"/>
      </w:r>
    </w:p>
    <w:p>
      <w:pPr>
        <w:pStyle w:val="Heading1"/>
        <w:keepNext/>
      </w:pPr>
      <w:r>
        <w:t>9. Defaults, responsable y módulos</w:t>
      </w:r>
    </w:p>
    <w:p>
      <w:pPr>
        <w:pStyle w:val="ListBullet"/>
        <w:spacing w:after="80"/>
      </w:pPr>
      <w:r>
        <w:t>Precedencia: valor explícito del request &gt; default del template exacto &gt; default tenant/workspace type.</w:t>
      </w:r>
    </w:p>
    <w:p>
      <w:pPr>
        <w:pStyle w:val="ListBullet"/>
        <w:spacing w:after="80"/>
      </w:pPr>
      <w:r>
        <w:t>Los defaults aplicados conservan value y source; los explícitos nunca se sobrescriben.</w:t>
      </w:r>
    </w:p>
    <w:p>
      <w:pPr>
        <w:pStyle w:val="ListBullet"/>
        <w:spacing w:after="80"/>
      </w:pPr>
      <w:r>
        <w:t>El Responsible debe ser activo y tenant-scoped; se garantiza una assignment mínima workspace-scoped.</w:t>
      </w:r>
    </w:p>
    <w:p>
      <w:pPr>
        <w:pStyle w:val="ListBullet"/>
        <w:spacing w:after="80"/>
      </w:pPr>
      <w:r>
        <w:t>Módulos habilitados existentes requieren definición PUBLISHED y WorkspaceModuleSetting enabled.</w:t>
      </w:r>
    </w:p>
    <w:p>
      <w:pPr>
        <w:pStyle w:val="ListBullet"/>
        <w:spacing w:after="80"/>
      </w:pPr>
      <w:r>
        <w:t>Módulos futuros quedan PLANNED, operational_module_created=false y sin persistencia operativa profunda.</w:t>
      </w:r>
    </w:p>
    <w:p>
      <w:pPr>
        <w:pStyle w:val="Heading1"/>
        <w:keepNext/>
      </w:pPr>
      <w:r>
        <w:t>10. Preview, Start, Validate y Activate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</w:t>
            </w:r>
          </w:p>
        </w:tc>
        <w:tc>
          <w:tcPr>
            <w:tcW w:type="dxa" w:w="751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Contrato</w:t>
            </w:r>
          </w:p>
        </w:tc>
      </w:tr>
      <w:tr>
        <w:tc>
          <w:tcPr>
            <w:tcW w:type="dxa" w:w="1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Preview</w:t>
            </w:r>
          </w:p>
        </w:tc>
        <w:tc>
          <w:tcPr>
            <w:tcW w:type="dxa" w:w="7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Evalúa snapshot/checklists/módulos; persisted=false; 0 mutaciones</w:t>
            </w:r>
          </w:p>
        </w:tc>
      </w:tr>
      <w:tr>
        <w:tc>
          <w:tcPr>
            <w:tcW w:type="dxa" w:w="1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Start</w:t>
            </w:r>
          </w:p>
        </w:tc>
        <w:tc>
          <w:tcPr>
            <w:tcW w:type="dxa" w:w="7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Crea singleton, aplica defaults/acceso, valida y termina BLOCKED o READY</w:t>
            </w:r>
          </w:p>
        </w:tc>
      </w:tr>
      <w:tr>
        <w:tc>
          <w:tcPr>
            <w:tcW w:type="dxa" w:w="1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Retry</w:t>
            </w:r>
          </w:p>
        </w:tc>
        <w:tc>
          <w:tcPr>
            <w:tcW w:type="dxa" w:w="7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Reutiliza el singleton FAILED/BLOCKED; no duplica assignments</w:t>
            </w:r>
          </w:p>
        </w:tc>
      </w:tr>
      <w:tr>
        <w:tc>
          <w:tcPr>
            <w:tcW w:type="dxa" w:w="1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Validate</w:t>
            </w:r>
          </w:p>
        </w:tc>
        <w:tc>
          <w:tcPr>
            <w:tcW w:type="dxa" w:w="7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Recalcula checklists/hashes con If-Match; limpia fallas superadas</w:t>
            </w:r>
          </w:p>
        </w:tc>
      </w:tr>
      <w:tr>
        <w:tc>
          <w:tcPr>
            <w:tcW w:type="dxa" w:w="1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Activate</w:t>
            </w:r>
          </w:p>
        </w:tc>
        <w:tc>
          <w:tcPr>
            <w:tcW w:type="dxa" w:w="7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Bloquea filas, revalida hashes y SoD, cambia PENDING→ACTIVE y registra evento</w:t>
            </w:r>
          </w:p>
        </w:tc>
      </w:tr>
      <w:tr>
        <w:tc>
          <w:tcPr>
            <w:tcW w:type="dxa" w:w="1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Repetición</w:t>
            </w:r>
          </w:p>
        </w:tc>
        <w:tc>
          <w:tcPr>
            <w:tcW w:type="dxa" w:w="7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Start READY y Activate ACTIVE retornan respuesta idempotente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Concurrencia y rollback</w:t>
      </w:r>
    </w:p>
    <w:p>
      <w:r>
        <w:t>Start y Activate usan row locks y revision_version. La unicidad tenant/workspace evita inicializaciones dobles; un conflicto concurrente devuelve el registro ya creado. Activation revalida validation_hash y checklist_hash antes del cambio de estado. Una falla inyectada después de modificar el Workspace revierte tanto status como estado lifecycle y registra activation_failed en una transacción controlada.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5E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SEPARACIÓN DE FUNCIONES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El activator no puede ser el requestor de Gate 06B, el actor que inició la inicialización ni el último actor que la modificó. organization_admin conserva permisos, pero no evita el control SoD.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RBAC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1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Capacidad</w:t>
            </w:r>
          </w:p>
        </w:tc>
      </w:tr>
      <w:tr>
        <w:tc>
          <w:tcPr>
            <w:tcW w:type="dxa" w:w="3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physical_workspace_initializer</w:t>
            </w:r>
          </w:p>
        </w:tc>
        <w:tc>
          <w:tcPr>
            <w:tcW w:type="dxa" w:w="6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 + initialization.execute</w:t>
            </w:r>
          </w:p>
        </w:tc>
      </w:tr>
      <w:tr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physical_workspace_activator</w:t>
            </w:r>
          </w:p>
        </w:tc>
        <w:tc>
          <w:tcPr>
            <w:tcW w:type="dxa" w:w="6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 + activation.execute</w:t>
            </w:r>
          </w:p>
        </w:tc>
      </w:tr>
      <w:tr>
        <w:tc>
          <w:tcPr>
            <w:tcW w:type="dxa" w:w="3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physical_workspace_responsible</w:t>
            </w:r>
          </w:p>
        </w:tc>
        <w:tc>
          <w:tcPr>
            <w:tcW w:type="dxa" w:w="6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 en su Workspace asignado</w:t>
            </w:r>
          </w:p>
        </w:tc>
      </w:tr>
      <w:tr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organization_admin</w:t>
            </w:r>
          </w:p>
        </w:tc>
        <w:tc>
          <w:tcPr>
            <w:tcW w:type="dxa" w:w="6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capacidades lifecycle sujetas a SoD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Auditoría</w:t>
      </w:r>
    </w:p>
    <w:p>
      <w:pPr>
        <w:pStyle w:val="ListBullet"/>
        <w:spacing w:after="80"/>
      </w:pPr>
      <w:r>
        <w:t>physical_workspace.initialization_started</w:t>
      </w:r>
    </w:p>
    <w:p>
      <w:pPr>
        <w:pStyle w:val="ListBullet"/>
        <w:spacing w:after="80"/>
      </w:pPr>
      <w:r>
        <w:t>physical_workspace.initialization_validated</w:t>
      </w:r>
    </w:p>
    <w:p>
      <w:pPr>
        <w:pStyle w:val="ListBullet"/>
        <w:spacing w:after="80"/>
      </w:pPr>
      <w:r>
        <w:t>physical_workspace.initialization_blocked / ready_for_activation / initialization_failed</w:t>
      </w:r>
    </w:p>
    <w:p>
      <w:pPr>
        <w:pStyle w:val="ListBullet"/>
        <w:spacing w:after="80"/>
      </w:pPr>
      <w:r>
        <w:t>physical_workspace.activated / activation_failed</w:t>
      </w:r>
    </w:p>
    <w:p>
      <w:pPr>
        <w:pStyle w:val="ListBullet"/>
        <w:spacing w:after="80"/>
      </w:pPr>
      <w:r>
        <w:t>Metadatos: tenant, workspace, type, Business/Record Code, actor, responsible, template/revision, estados, hashes, blockers, warnings, enabled/planned modules y timestamp.</w:t>
      </w:r>
    </w:p>
    <w:p>
      <w:r>
        <w:br w:type="page"/>
      </w:r>
    </w:p>
    <w:p>
      <w:pPr>
        <w:pStyle w:val="Heading1"/>
        <w:keepNext/>
      </w:pPr>
      <w:r>
        <w:t>14. APIs implementadas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Método</w:t>
            </w:r>
          </w:p>
        </w:tc>
        <w:tc>
          <w:tcPr>
            <w:tcW w:type="dxa" w:w="78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Ruta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</w:t>
            </w:r>
          </w:p>
        </w:tc>
        <w:tc>
          <w:tcPr>
            <w:tcW w:type="dxa" w:w="7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/api/v1/physical-workspaces</w:t>
            </w:r>
          </w:p>
        </w:tc>
      </w:tr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/api/v1/physical-workspaces/{id}/initialization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</w:t>
            </w:r>
          </w:p>
        </w:tc>
        <w:tc>
          <w:tcPr>
            <w:tcW w:type="dxa" w:w="7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/api/v1/physical-workspaces/{id}/initialization/preview</w:t>
            </w:r>
          </w:p>
        </w:tc>
      </w:tr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/api/v1/physical-workspaces/{id}/initialization/start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</w:t>
            </w:r>
          </w:p>
        </w:tc>
        <w:tc>
          <w:tcPr>
            <w:tcW w:type="dxa" w:w="7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/api/v1/physical-workspaces/{id}/initialization/validate</w:t>
            </w:r>
          </w:p>
        </w:tc>
      </w:tr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/api/v1/physical-workspaces/{id}/activate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</w:t>
            </w:r>
          </w:p>
        </w:tc>
        <w:tc>
          <w:tcPr>
            <w:tcW w:type="dxa" w:w="7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/api/v1/physical-workspaces/{id}/overview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USER MODE</w:t>
      </w:r>
    </w:p>
    <w:p>
      <w:pPr>
        <w:pStyle w:val="ListBullet"/>
        <w:spacing w:after="80"/>
      </w:pPr>
      <w:r>
        <w:t>Enterprise Explorer incorpora la acción My Physical Workspaces.</w:t>
      </w:r>
    </w:p>
    <w:p>
      <w:pPr>
        <w:pStyle w:val="ListBullet"/>
        <w:spacing w:after="80"/>
      </w:pPr>
      <w:r>
        <w:t>Inventario filtrable por Workspace Type, Workspace Status e Initialization Status; el API soporta ocho filtros.</w:t>
      </w:r>
    </w:p>
    <w:p>
      <w:pPr>
        <w:pStyle w:val="ListBullet"/>
        <w:spacing w:after="80"/>
      </w:pPr>
      <w:r>
        <w:t>Overview muestra identidad, parent, responsible, snapshot, avance, blockers, warnings y activación.</w:t>
      </w:r>
    </w:p>
    <w:p>
      <w:pPr>
        <w:pStyle w:val="ListBullet"/>
        <w:spacing w:after="80"/>
      </w:pPr>
      <w:r>
        <w:t>Initialization Checklist separa controles comunes y específicos por tipo.</w:t>
      </w:r>
    </w:p>
    <w:p>
      <w:pPr>
        <w:pStyle w:val="ListBullet"/>
        <w:spacing w:after="80"/>
      </w:pPr>
      <w:r>
        <w:t>Module Readiness distingue READY de PLANNED y explica que no existe módulo operacional profundo.</w:t>
      </w:r>
    </w:p>
    <w:p>
      <w:pPr>
        <w:pStyle w:val="ListBullet"/>
        <w:spacing w:after="80"/>
      </w:pPr>
      <w:r>
        <w:t>Las acciones visibles se derivan de can_initialize/can_activate calculadas por el backend.</w:t>
      </w:r>
    </w:p>
    <w:p>
      <w:pPr>
        <w:pStyle w:val="ListBullet"/>
        <w:spacing w:after="80"/>
      </w:pPr>
      <w:r>
        <w:t>Explorer mantiene indicadores PENDING/ACTIVE en árbol y tabla.</w:t>
      </w:r>
    </w:p>
    <w:p>
      <w:pPr>
        <w:pStyle w:val="Heading1"/>
        <w:keepNext/>
      </w:pPr>
      <w:r>
        <w:t>16. Evidencia de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64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 06C PostgreSQL E2E</w:t>
            </w:r>
          </w:p>
        </w:tc>
        <w:tc>
          <w:tcPr>
            <w:tcW w:type="dxa" w:w="6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31 passed · concurrencia + rollback + migration cycle</w:t>
            </w:r>
          </w:p>
        </w:tc>
      </w:tr>
      <w:t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Regresión backend 05C–06C</w:t>
            </w:r>
          </w:p>
        </w:tc>
        <w:tc>
          <w:tcPr>
            <w:tcW w:type="dxa" w:w="6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114 passed · 4 skipped previstos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 full suite</w:t>
            </w:r>
          </w:p>
        </w:tc>
        <w:tc>
          <w:tcPr>
            <w:tcW w:type="dxa" w:w="6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29 files · 185 passed</w:t>
            </w:r>
          </w:p>
        </w:tc>
      </w:tr>
      <w:t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Ruff scope Gate 06C</w:t>
            </w:r>
          </w:p>
        </w:tc>
        <w:tc>
          <w:tcPr>
            <w:tcW w:type="dxa" w:w="6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check y format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 Prettier</w:t>
            </w:r>
          </w:p>
        </w:tc>
        <w:tc>
          <w:tcPr>
            <w:tcW w:type="dxa" w:w="6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 ESLint</w:t>
            </w:r>
          </w:p>
        </w:tc>
        <w:tc>
          <w:tcPr>
            <w:tcW w:type="dxa" w:w="6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0 errores; 9 warnings históricos permitidos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TypeScript / Vite</w:t>
            </w:r>
          </w:p>
        </w:tc>
        <w:tc>
          <w:tcPr>
            <w:tcW w:type="dxa" w:w="6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producción compilada</w:t>
            </w:r>
          </w:p>
        </w:tc>
      </w:tr>
      <w:t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Browser localhost</w:t>
            </w:r>
          </w:p>
        </w:tc>
        <w:tc>
          <w:tcPr>
            <w:tcW w:type="dxa" w:w="6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login, Explorer, My Physical Workspaces, filtros, 0 errores consola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17. Migración y reversibilidad</w:t>
      </w:r>
    </w:p>
    <w:p>
      <w:pPr>
        <w:pStyle w:val="ListBullet"/>
        <w:spacing w:after="80"/>
      </w:pPr>
      <w:r>
        <w:t>Alembic 20260813_0038 depende de 20260812_0037 y es aditiva.</w:t>
      </w:r>
    </w:p>
    <w:p>
      <w:pPr>
        <w:pStyle w:val="ListBullet"/>
        <w:spacing w:after="80"/>
      </w:pPr>
      <w:r>
        <w:t>El ciclo PostgreSQL upgrade 0037→0038, downgrade 0038→0037 y re-upgrade fue exitoso.</w:t>
      </w:r>
    </w:p>
    <w:p>
      <w:pPr>
        <w:pStyle w:val="ListBullet"/>
        <w:spacing w:after="80"/>
      </w:pPr>
      <w:r>
        <w:t>La migración no crea ni altera registros de inicialización en el tenant persistente.</w:t>
      </w:r>
    </w:p>
    <w:p>
      <w:pPr>
        <w:pStyle w:val="ListBullet"/>
        <w:spacing w:after="80"/>
      </w:pPr>
      <w:r>
        <w:t>El entorno principal quedó en 20260813_0038 (head).</w:t>
      </w:r>
    </w:p>
    <w:p>
      <w:pPr>
        <w:pStyle w:val="Heading1"/>
        <w:keepNext/>
      </w:pPr>
      <w:r>
        <w:t>18. Protección del baseline real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0"/>
        <w:gridCol w:w="5910"/>
      </w:tblGrid>
      <w:tr>
        <w:trPr>
          <w:tblHeader w:val="true"/>
        </w:trPr>
        <w:tc>
          <w:tcPr>
            <w:tcW w:type="dxa" w:w="345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591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 al cierre</w:t>
            </w:r>
          </w:p>
        </w:tc>
      </w:tr>
      <w:tr>
        <w:tc>
          <w:tcPr>
            <w:tcW w:type="dxa" w:w="34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CORE publicado</w:t>
            </w:r>
          </w:p>
        </w:tc>
        <w:tc>
          <w:tcPr>
            <w:tcW w:type="dxa" w:w="59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ES-PYP-CORE-RECONCILED-20260809 · sin cambio</w:t>
            </w:r>
          </w:p>
        </w:tc>
      </w:tr>
      <w:tr>
        <w:tc>
          <w:tcPr>
            <w:tcW w:type="dxa" w:w="3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Enterprise Workspaces</w:t>
            </w:r>
          </w:p>
        </w:tc>
        <w:tc>
          <w:tcPr>
            <w:tcW w:type="dxa" w:w="59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14</w:t>
            </w:r>
          </w:p>
        </w:tc>
      </w:tr>
      <w:tr>
        <w:tc>
          <w:tcPr>
            <w:tcW w:type="dxa" w:w="34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 Workspaces</w:t>
            </w:r>
          </w:p>
        </w:tc>
        <w:tc>
          <w:tcPr>
            <w:tcW w:type="dxa" w:w="59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</w:t>
            </w:r>
          </w:p>
        </w:tc>
      </w:tr>
      <w:tr>
        <w:tc>
          <w:tcPr>
            <w:tcW w:type="dxa" w:w="3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Workspaces</w:t>
            </w:r>
          </w:p>
        </w:tc>
        <w:tc>
          <w:tcPr>
            <w:tcW w:type="dxa" w:w="59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</w:t>
            </w:r>
          </w:p>
        </w:tc>
      </w:tr>
      <w:tr>
        <w:tc>
          <w:tcPr>
            <w:tcW w:type="dxa" w:w="34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Project/Physical initializations</w:t>
            </w:r>
          </w:p>
        </w:tc>
        <w:tc>
          <w:tcPr>
            <w:tcW w:type="dxa" w:w="59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 / 0</w:t>
            </w:r>
          </w:p>
        </w:tc>
      </w:tr>
      <w:tr>
        <w:tc>
          <w:tcPr>
            <w:tcW w:type="dxa" w:w="3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Project/Physical creation requests</w:t>
            </w:r>
          </w:p>
        </w:tc>
        <w:tc>
          <w:tcPr>
            <w:tcW w:type="dxa" w:w="59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 / 0</w:t>
            </w:r>
          </w:p>
        </w:tc>
      </w:tr>
      <w:tr>
        <w:tc>
          <w:tcPr>
            <w:tcW w:type="dxa" w:w="34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Templates</w:t>
            </w:r>
          </w:p>
        </w:tc>
        <w:tc>
          <w:tcPr>
            <w:tcW w:type="dxa" w:w="59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5 DRAFT / 0 PUBLISHED</w:t>
            </w:r>
          </w:p>
        </w:tc>
      </w:tr>
      <w:tr>
        <w:tc>
          <w:tcPr>
            <w:tcW w:type="dxa" w:w="3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Creation Policies</w:t>
            </w:r>
          </w:p>
        </w:tc>
        <w:tc>
          <w:tcPr>
            <w:tcW w:type="dxa" w:w="59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3 DRAFT</w:t>
            </w:r>
          </w:p>
        </w:tc>
      </w:tr>
      <w:tr>
        <w:tc>
          <w:tcPr>
            <w:tcW w:type="dxa" w:w="34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 Number sequences</w:t>
            </w:r>
          </w:p>
        </w:tc>
        <w:tc>
          <w:tcPr>
            <w:tcW w:type="dxa" w:w="59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todas next_value = 1</w:t>
            </w:r>
          </w:p>
        </w:tc>
      </w:tr>
      <w:tr>
        <w:tc>
          <w:tcPr>
            <w:tcW w:type="dxa" w:w="3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 Number sequence</w:t>
            </w:r>
          </w:p>
        </w:tc>
        <w:tc>
          <w:tcPr>
            <w:tcW w:type="dxa" w:w="59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next_value = 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19. Riesgos y deuda controlada</w:t>
      </w:r>
    </w:p>
    <w:p>
      <w:pPr>
        <w:pStyle w:val="ListBullet"/>
        <w:spacing w:after="80"/>
      </w:pPr>
      <w:r>
        <w:t>Las plantillas y policies físicas reales siguen DRAFT; por ello no hay Workspaces reales elegibles para inicializar.</w:t>
      </w:r>
    </w:p>
    <w:p>
      <w:pPr>
        <w:pStyle w:val="ListBullet"/>
        <w:spacing w:after="80"/>
      </w:pPr>
      <w:r>
        <w:t>Los nueve warnings ESLint preexistentes están en BIM Viewer/Project Creation y dentro del presupuesto CI; Gate 06C no agrega warnings.</w:t>
      </w:r>
    </w:p>
    <w:p>
      <w:pPr>
        <w:pStyle w:val="ListBullet"/>
        <w:spacing w:after="80"/>
      </w:pPr>
      <w:r>
        <w:t>El motor no materializa Asset Manager ni Inventory Manager: sólo conserva readiness PLANNED.</w:t>
      </w:r>
    </w:p>
    <w:p>
      <w:pPr>
        <w:pStyle w:val="ListBullet"/>
        <w:spacing w:after="80"/>
      </w:pPr>
      <w:r>
        <w:t>Los fixtures de aceptación son efímeros y se ejecutan en PostgreSQL tmpfs o SQLite aislado.</w:t>
      </w:r>
    </w:p>
    <w:p>
      <w:pPr>
        <w:pStyle w:val="Heading1"/>
        <w:keepNext/>
      </w:pPr>
      <w:r>
        <w:t>20. Matriz de aceptación agrupada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50"/>
        <w:gridCol w:w="1510"/>
      </w:tblGrid>
      <w:tr>
        <w:trPr>
          <w:tblHeader w:val="true"/>
        </w:trPr>
        <w:tc>
          <w:tcPr>
            <w:tcW w:type="dxa" w:w="785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151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Motor genérico para PROPERTY / FACILITY / WAREHOUSE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Exclusión de tipos no elegibles y exigencia PENDING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Preview no persistente y snapshot exacto sin auto-upgrade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Defaults con precedencia y acceso mínimo responsable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Checklists común + específico con blockers/warnings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Módulos existentes READY y futuros PLANNED sin operación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Retry/idempotencia/ETag/hashes/rollback/concurrencia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Activation separada con Four-Eyes/SoD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RBAC, SecurityEvent y tenant isolation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My Physical Workspaces, Overview y estados Explorer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Migration reversible y PostgreSQL E2E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Baseline real sin mutaciones funcionales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ESTADO FINAL EXCLUSIVO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READY_FOR_PHYSICAL_WORKSPACE_OPERATION</w:t>
            </w:r>
          </w:p>
        </w:tc>
      </w:tr>
    </w:tbl>
    <w:p>
      <w:pPr>
        <w:spacing w:after="0"/>
      </w:pPr>
    </w:p>
    <w:p>
      <w:r>
        <w:t>Gate 06C termina aquí. Asset Manager, Inventory Manager, mantenimiento, spaces, utilities, inventario, activos y operación profunda de Property/Facility/Warehouse no fueron iniciados.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B6870"/>
        <w:sz w:val="16"/>
      </w:rPr>
      <w:t xml:space="preserve">Controlled technical baseline  |  13 Aug 2026  |  Page </w:t>
    </w:r>
    <w:r>
      <w:rPr>
        <w:rFonts w:ascii="Calibri" w:hAnsi="Calibri"/>
        <w:i w:val="0"/>
        <w:color w:val="5B6870"/>
        <w:sz w:val="16"/>
      </w:rPr>
      <w:fldChar w:fldCharType="begin"/>
      <w:instrText xml:space="preserve"> PAGE 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5B6870"/>
        <w:sz w:val="17"/>
      </w:rPr>
      <w:t>P&amp;Pmis Construction AI  |  Gate 06C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622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D2A3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B68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06C - Physical Workspace Initialization &amp; Activation</dc:title>
  <dc:subject>PROPERTY, FACILITY y WAREHOUSE - preparación y activación gobernada</dc:subject>
  <dc:creator>P&amp;Pmis Construction AI Engineering</dc:creator>
  <cp:keywords/>
  <dc:description>Gate 06C cerrado; operación física profunda no iniciada.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