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widowControl/>
      </w:pPr>
      <w:r>
        <w:rPr>
          <w:b w:val="0"/>
        </w:rPr>
        <w:t>Operational Macroprocess</w:t>
        <w:br/>
        <w:t>Implementation Roadmap</w:t>
      </w:r>
    </w:p>
    <w:p>
      <w:pPr>
        <w:pStyle w:val="Subtitle"/>
        <w:widowControl/>
      </w:pPr>
      <w:r>
        <w:rPr>
          <w:b w:val="0"/>
        </w:rPr>
        <w:t>P&amp;Pmis Construction AI · Operational Macroprocess</w:t>
        <w:br/>
        <w:t>Informe técnico de arquitectura · 19 de octubre de 2026</w:t>
      </w:r>
    </w:p>
    <w:p>
      <w:pPr>
        <w:widowControl/>
      </w:pPr>
      <w:r>
        <w:rPr>
          <w:b w:val="0"/>
        </w:rPr>
        <w:t>Secuencia de implementación propuesta, dependencias y criterios verificables para evolucionar la operación sin duplicar funcionalidades ni autoridades de P&amp;Pmis.</w:t>
      </w:r>
    </w:p>
    <w:p>
      <w:pPr>
        <w:keepNext/>
        <w:widowControl/>
      </w:pPr>
      <w:r>
        <w:rPr>
          <w:b/>
        </w:rPr>
        <w:t>Estado: PROPOSED_DESIGN. Arquitectura documental; no implementación de módulos, migración, liberación ni aceptación de negocio.</w:t>
      </w:r>
    </w:p>
    <w:p>
      <w:pPr>
        <w:pStyle w:val="Heading1"/>
        <w:keepNext/>
        <w:keepLines/>
      </w:pPr>
      <w:r>
        <w:t>1. Decisión de secuencia y límites</w:t>
      </w:r>
    </w:p>
    <w:p>
      <w:pPr>
        <w:widowControl/>
      </w:pPr>
      <w:r>
        <w:rPr>
          <w:b w:val="0"/>
        </w:rPr>
        <w:t>El incremento presente termina con arquitectura y documentos. No ejecuta O1, no modifica módulos, no migra datos y no registra aceptación de negocio. La secuencia depende de autoridad de fuentes e identidad, no del orden del menú ni del ranking numérico.</w:t>
      </w:r>
    </w:p>
    <w:p>
      <w:pPr>
        <w:widowControl/>
      </w:pPr>
      <w:r>
        <w:rPr>
          <w:b w:val="0"/>
        </w:rPr>
        <w:t>Única siguiente implementación recomendada: WAVE O1 — PROJECT CONTROLS FOUNDATION. O1A resuelve primero el enlace canónico/legacy, autorización, período común y configuración. O1B establece baselines y adapters; O1C forecast/reporting. Evitar iniciar simultáneamente 25 módulos.</w:t>
      </w:r>
    </w:p>
    <w:p>
      <w:pPr>
        <w:widowControl/>
      </w:pPr>
      <w:r>
        <w:rPr>
          <w:b w:val="0"/>
        </w:rPr>
        <w:t>Aprobación del diseño habilita preparación/implementación acotada cuando se autorice, no operación productiva. Cada salida a uso vivo requiere aceptación/liberación autorizada y autorización aplicable del Project. El signoff estratégico de negocio sigue pendiente.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736"/>
        <w:gridCol w:w="6134"/>
        <w:gridCol w:w="1296"/>
      </w:tblGrid>
      <w:tr>
        <w:trPr>
          <w:cantSplit/>
          <w:tblHeader w:val="true"/>
        </w:trPr>
        <w:tc>
          <w:tcPr>
            <w:tcW w:type="dxa" w:w="27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Ola</w:t>
            </w:r>
          </w:p>
        </w:tc>
        <w:tc>
          <w:tcPr>
            <w:tcW w:type="dxa" w:w="613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Resultado objetivo</w:t>
            </w:r>
          </w:p>
        </w:tc>
        <w:tc>
          <w:tcPr>
            <w:tcW w:type="dxa" w:w="129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Nivel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 · PROJECT CONTROLS FOUNDATION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O1A canonical identity binding and common period/policy first; O1A/O1B minimal document/evidence version references reused before any baseline approval; richer review/distribution/DMS integration remains O2; O1B approved Scope/Schedule/Cost baselines, adapters, typed Progress and Change/Risk/Issue foundation; O1C governed Forecast and source-consuming reporting</w:t>
            </w:r>
          </w:p>
        </w:tc>
        <w:tc>
          <w:tcPr>
            <w:tcW w:type="dxa" w:w="12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VERY_HIGH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O2 · PROCUREMENT / CONTRACTS / ENGINEERING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Reuse RFQ/bid primitives with configurable sourcing/award; Single Contract/PO/Commitment register; Engineering design packages/reviews; Lightweight Documents/external DMS references; Interfaces and long-lead readiness</w:t>
            </w:r>
          </w:p>
        </w:tc>
        <w:tc>
          <w:tcPr>
            <w:tcW w:type="dxa" w:w="12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VERY_HIGH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O3 · CONSTRUCTION EXECUTION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Field/workfront/daily capture; Optional AWP work-package release; Installed quantities/productivity/labor/equipment; Quality inspections/NCR/punch; HSE scoped internal capability or external system boundary</w:t>
            </w:r>
          </w:p>
        </w:tc>
        <w:tc>
          <w:tcPr>
            <w:tcW w:type="dxa" w:w="12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O4 · CLAIMS / COMMISSIONING / HANDOVER / CLOSEOUT</w:t>
            </w:r>
          </w:p>
        </w:tc>
        <w:tc>
          <w:tcPr>
            <w:tcW w:type="dxa" w:w="613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Claims/delay/forensic governed evidence; Mechanical completion/pre-commissioning/commissioning; Turnover/handover and operational readiness; Asset data transition; Project closeout without deleting canonical identity</w:t>
            </w:r>
          </w:p>
        </w:tc>
        <w:tc>
          <w:tcPr>
            <w:tcW w:type="dxa" w:w="12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VERY_HIGH</w:t>
            </w:r>
          </w:p>
        </w:tc>
      </w:tr>
    </w:tbl>
    <w:p>
      <w:pPr>
        <w:widowControl/>
      </w:pPr>
      <w:r>
        <w:rPr>
          <w:b w:val="0"/>
        </w:rPr>
      </w:r>
    </w:p>
    <w:p>
      <w:pPr>
        <w:pStyle w:val="Heading1"/>
        <w:keepNext/>
        <w:keepLines/>
      </w:pPr>
      <w:r>
        <w:t>2. Mínimo viable y prerequisitos</w:t>
      </w:r>
    </w:p>
    <w:p>
      <w:pPr>
        <w:widowControl/>
      </w:pPr>
      <w:r>
        <w:rPr>
          <w:b w:val="0"/>
        </w:rPr>
        <w:t>Core O1: D01 contexto; D02 Scope; D03 Schedule; D04 Cost; D06 Progress; D07 Forecast; D08 Change; D09 Risk; D10 Issue; D14 evidencia mínima; D19 Project Controls/Reporting. D05 tarifas/horas y D12 compromiso se consumen bajo contrato mínimo de lectura; su suite completa no se adelanta artificialmente.</w:t>
      </w:r>
    </w:p>
    <w:p>
      <w:pPr>
        <w:widowControl/>
      </w:pPr>
      <w:r>
        <w:rPr>
          <w:b w:val="0"/>
        </w:rPr>
        <w:t>No incluye suite Field/QA/HSE, Engineering completa, sourcing/award/contratos completos, commissioning/handover, ERP/pagos ni DMS corporativo. No CPM nativo ni API/direct sync P6. Los registros operacionales existentes se preservan y exponen solo tras validar su vínculo y permisos.</w:t>
      </w:r>
    </w:p>
    <w:p>
      <w:pPr>
        <w:widowControl/>
      </w:pPr>
      <w:r>
        <w:rPr>
          <w:b w:val="0"/>
        </w:rPr>
        <w:t>O1A requiere resolver proyectos sin binding, colisiones de uno/múltiples legacy, pertenencia tenant, memberships y revocación/estado. Contractor/Direct no se fuerzan al Owner FID; Owner no puede saltar condiciones de compromiso porque esté ACTIVE. El contrato no cambia retroactivamente la autorización histórica.</w:t>
      </w:r>
    </w:p>
    <w:p>
      <w:pPr>
        <w:pStyle w:val="Heading1"/>
        <w:keepNext/>
        <w:keepLines/>
      </w:pPr>
      <w:r>
        <w:t>3. O1 · PROJECT CONTROLS FOUNDATION</w:t>
      </w:r>
    </w:p>
    <w:p>
      <w:pPr>
        <w:widowControl/>
      </w:pPr>
      <w:r>
        <w:rPr>
          <w:b w:val="0"/>
        </w:rPr>
        <w:t>Alcance: O1A canonical identity binding and common period/policy first; O1A/O1B minimal document/evidence version references reused before any baseline approval; richer review/distribution/DMS integration remains O2; O1B approved Scope/Schedule/Cost baselines, adapters, typed Progress and Change/Risk/Issue foundation; O1C governed Forecast and source-consuming reporting.</w:t>
      </w:r>
    </w:p>
    <w:p>
      <w:pPr>
        <w:widowControl/>
      </w:pPr>
      <w:r>
        <w:rPr>
          <w:b w:val="0"/>
        </w:rPr>
        <w:t>Dependencias: Existing canonical creation/initialization/activation and scoped security; Upstream handoff/conditions contract; Explicit decision resolving projects.id versus canonical Workspace references; Approved P6/source-authority boundaries.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7718"/>
      </w:tblGrid>
      <w:tr>
        <w:trPr>
          <w:cantSplit/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71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Definición / control propuesto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Entrada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Architecture and O1 design approved; Three route applicability and identity collision/access tests specified; Existing product/strategic baseline protected; No business signoff or release inferred from design approval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Salida / evidencia futura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Tested canonical binding with no duplicate Project; Published reusable period/mapping/progress/change configuration; Immutable approved baseline set and accepted schedule import provenance; Reconciled no-double-count Cost inputs and typed approved Progress; Versioned Forecast/report inputs with independent approvals and scoped access; Authorized business acceptance/release before live use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Riesgos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Identity-space mismatch; Legacy baseline overwrite and duration assumptions; Mixed progress/cost methods; Cross-domain currentness and scope leakage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Reutilización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Enterprise Workspace lifecycle/RBAC; ScheduleImport/raw metadata/maps; Scope/BIM quantities; CBS/control accounts/FBS; Existing minimal Document/evidence reference authority; Existing progress/change/forecast/snapshots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Complejidad relativa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VERY_HIGH. Sin fechas, horas, costo o dotación comprometidos.</w:t>
            </w:r>
          </w:p>
        </w:tc>
      </w:tr>
    </w:tbl>
    <w:p>
      <w:pPr>
        <w:widowControl/>
      </w:pPr>
      <w:r>
        <w:rPr>
          <w:b w:val="0"/>
        </w:rPr>
      </w:r>
    </w:p>
    <w:p>
      <w:pPr>
        <w:pStyle w:val="Heading2"/>
        <w:keepNext/>
        <w:keepLines/>
      </w:pPr>
      <w:r>
        <w:t>O1A · HIGH</w:t>
      </w:r>
    </w:p>
    <w:p>
      <w:pPr>
        <w:widowControl/>
      </w:pPr>
      <w:r>
        <w:rPr>
          <w:b w:val="0"/>
        </w:rPr>
        <w:t>Resolve canonical identity adapter, owner boundaries, route authorization/current conditions and common control period/config policy before wider live reuse. Salida requerida: Executable approved design/tests for collision/missing mapping/access/status/conditions and period lifecycle; future schema changes explicitly authorized.</w:t>
      </w:r>
    </w:p>
    <w:p>
      <w:pPr>
        <w:pStyle w:val="Heading2"/>
        <w:keepNext/>
        <w:keepLines/>
      </w:pPr>
      <w:r>
        <w:t>O1B · VERY_HIGH</w:t>
      </w:r>
    </w:p>
    <w:p>
      <w:pPr>
        <w:widowControl/>
      </w:pPr>
      <w:r>
        <w:rPr>
          <w:b w:val="0"/>
        </w:rPr>
        <w:t>Implement narrowly approved source adapters/control baselines and typed scope/schedule/cost/progress/change/risk/issue foundation without native CPM or duplicate source authority. Salida requerida: Baseline/version/data-date/unit/mapping approvals; cost economic-origin rules and typed progress invariants verified.</w:t>
      </w:r>
    </w:p>
    <w:p>
      <w:pPr>
        <w:pStyle w:val="Heading2"/>
        <w:keepNext/>
        <w:keepLines/>
      </w:pPr>
      <w:r>
        <w:t>O1C · HIGH</w:t>
      </w:r>
    </w:p>
    <w:p>
      <w:pPr>
        <w:widowControl/>
      </w:pPr>
      <w:r>
        <w:rPr>
          <w:b w:val="0"/>
        </w:rPr>
        <w:t>Add versioned forecast and governed Project Controls reporting/look-ahead consuming approved source snapshots. Salida requerida: Reproducible ETC/EAC/time forecast assumptions and source references; no dashboard writes or baseline mutation.</w:t>
      </w:r>
    </w:p>
    <w:p>
      <w:pPr>
        <w:widowControl/>
      </w:pPr>
      <w:r>
        <w:rPr>
          <w:b w:val="0"/>
        </w:rPr>
        <w:t>Evidencia mínima de Document/version/hash se reutiliza antes de aprobar baseline en O1A/O1B. Reviews/distribución y DMS se amplían en O2. El contrato de compromiso/neteos en lectura es requisito del costo O1, aunque el hardening transaccional completo de D12 sea O2.</w:t>
      </w:r>
    </w:p>
    <w:p>
      <w:pPr>
        <w:pStyle w:val="Heading1"/>
        <w:keepNext/>
        <w:keepLines/>
      </w:pPr>
      <w:r>
        <w:t>4. O2 · PROCUREMENT / CONTRACTS / ENGINEERING</w:t>
      </w:r>
    </w:p>
    <w:p>
      <w:pPr>
        <w:widowControl/>
      </w:pPr>
      <w:r>
        <w:rPr>
          <w:b w:val="0"/>
        </w:rPr>
        <w:t>Alcance: Reuse RFQ/bid primitives with configurable sourcing/award; Single Contract/PO/Commitment register; Engineering design packages/reviews; Lightweight Documents/external DMS references; Interfaces and long-lead readiness.</w:t>
      </w:r>
    </w:p>
    <w:p>
      <w:pPr>
        <w:widowControl/>
      </w:pPr>
      <w:r>
        <w:rPr>
          <w:b w:val="0"/>
        </w:rPr>
        <w:t>Dependencias: O1 canonical binding/period/baseline and Change foundation; Single-party/master-data decision; Approved obligation/call-off/netting/deduplication policy.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7718"/>
      </w:tblGrid>
      <w:tr>
        <w:trPr>
          <w:cantSplit/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71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Definición / control propuesto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Entrada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 source-owner contracts proven; Procurement versus Contract Administration authority approved; Shared parties and source document references designed; Current strategic commercial/funding references remain upstream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Salida / evidencia futura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Award recommendation versus approval separated; One PO/Contract authority with legal variation history; No duplicated gross/net obligation or actual/accrual economic event; Engineering/document revisions and interface constraints traceable; Scoped SoD and audit/currentness verified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Riesgos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Duplicate menu/table authority; Award bypass or commitment condition bypass; Contract-client revenue mistaken for purchase cost; Full enterprise DMS scope creep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Reutilización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RFQPackage/RFQBid; Contract/PurchaseOrder/SOV; Notices/communications/certificates/receipts; Documents/transmittal primitives; Strategic Commercial and Funding references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Complejidad relativa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VERY_HIGH. Sin fechas, horas, costo o dotación comprometidos.</w:t>
            </w:r>
          </w:p>
        </w:tc>
      </w:tr>
    </w:tbl>
    <w:p>
      <w:pPr>
        <w:widowControl/>
      </w:pPr>
      <w:r>
        <w:rPr>
          <w:b w:val="0"/>
        </w:rPr>
      </w:r>
    </w:p>
    <w:p>
      <w:pPr>
        <w:pStyle w:val="Heading1"/>
        <w:keepNext/>
        <w:keepLines/>
      </w:pPr>
      <w:r>
        <w:t>5. O3 · CONSTRUCTION EXECUTION</w:t>
      </w:r>
    </w:p>
    <w:p>
      <w:pPr>
        <w:widowControl/>
      </w:pPr>
      <w:r>
        <w:rPr>
          <w:b w:val="0"/>
        </w:rPr>
        <w:t>Alcance: Field/workfront/daily capture; Optional AWP work-package release; Installed quantities/productivity/labor/equipment; Quality inspections/NCR/punch; HSE scoped internal capability or external system boundary.</w:t>
      </w:r>
    </w:p>
    <w:p>
      <w:pPr>
        <w:widowControl/>
      </w:pPr>
      <w:r>
        <w:rPr>
          <w:b w:val="0"/>
        </w:rPr>
        <w:t>Dependencias: O1 approved typed Progress/period/Change; O2 applicable engineering/material/document readiness; Package policy and source-owner integration contracts.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7718"/>
      </w:tblGrid>
      <w:tr>
        <w:trPr>
          <w:cantSplit/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71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Definición / control propuesto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Entrada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Applicable source constraints and release criteria approved; Field evidence/measurement units and method configured; Quality/HSE internal versus external boundary decided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Salida / evidencia futura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Approved field progress/evidence feeds Progress once; Workfront/package readiness consumes current source constraints; Inspection/NCR/HSE status does not silently imply another owner approval; Audit/late-period adjustment and independent release tests pass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Riesgos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Physical/schedule/earned percent mixing; Unsafe release on stale technical/permit evidence; Universal AWP forced on unsuitable project types; Duplicate field/quality event capture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Reutilización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Existing quantity/BIM/work-package/constraint primitives; Progress and period contracts; Document/permit references; Risk/Issue/Change integration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Complejidad relativa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HIGH. Sin fechas, horas, costo o dotación comprometidos.</w:t>
            </w:r>
          </w:p>
        </w:tc>
      </w:tr>
    </w:tbl>
    <w:p>
      <w:pPr>
        <w:widowControl/>
      </w:pPr>
      <w:r>
        <w:rPr>
          <w:b w:val="0"/>
        </w:rPr>
      </w:r>
    </w:p>
    <w:p>
      <w:pPr>
        <w:pStyle w:val="Heading1"/>
        <w:keepNext/>
        <w:keepLines/>
      </w:pPr>
      <w:r>
        <w:t>6. O4 · CLAIMS / COMMISSIONING / HANDOVER / CLOSEOUT</w:t>
      </w:r>
    </w:p>
    <w:p>
      <w:pPr>
        <w:widowControl/>
      </w:pPr>
      <w:r>
        <w:rPr>
          <w:b w:val="0"/>
        </w:rPr>
        <w:t>Alcance: Claims/delay/forensic governed evidence; Mechanical completion/pre-commissioning/commissioning; Turnover/handover and operational readiness; Asset data transition; Project closeout without deleting canonical identity.</w:t>
      </w:r>
    </w:p>
    <w:p>
      <w:pPr>
        <w:widowControl/>
      </w:pPr>
      <w:r>
        <w:rPr>
          <w:b w:val="0"/>
        </w:rPr>
        <w:t>Dependencias: O1 retained baseline/current/update/period history; O2 contract/notice/document history; O3 applicable installed/quality/punch evidence; External accounting/asset boundary approved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7718"/>
      </w:tblGrid>
      <w:tr>
        <w:trPr>
          <w:cantSplit/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71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Definición / control propuesto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Entrada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Complete source provenance and controlled historical snapshots; Distinct claim versus ordinary control transaction authority; System/package handover and residual condition acceptance policy approved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Salida / evidencia futura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Claim evidence/entitlement/quantum separated from controls source writes; Accepted commissioning/handover with unresolved conditions explicit; Financial/contract/schedule/document/claims closeout independently reconciled; Project operational closure approved while canonical Workspace/history retained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Riesgos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Forensic simulation contaminates live schedule; Handover mistaken for financial/legal closeout; External ERP/asset assumptions; Premature deletion/archive of identity or evidence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Reutilización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Existing claims/notices/impact primitives; Schedule import/version history; Documents/evidence register; Field/quality/work-package references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Complejidad relativa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VERY_HIGH. Sin fechas, horas, costo o dotación comprometidos.</w:t>
            </w:r>
          </w:p>
        </w:tc>
      </w:tr>
    </w:tbl>
    <w:p>
      <w:pPr>
        <w:widowControl/>
      </w:pPr>
      <w:r>
        <w:rPr>
          <w:b w:val="0"/>
        </w:rPr>
      </w:r>
    </w:p>
    <w:p>
      <w:pPr>
        <w:pStyle w:val="Heading1"/>
        <w:keepNext/>
        <w:keepLines/>
      </w:pPr>
      <w:r>
        <w:t>7. DAG de dependencias y ruta crítica de implementación</w:t>
      </w:r>
    </w:p>
    <w:p>
      <w:pPr>
        <w:widowControl/>
      </w:pPr>
      <w:r>
        <w:rPr>
          <w:b w:val="0"/>
        </w:rPr>
        <w:t>El grafo contiene 25 nodos y es acíclico. Representa contratos mínimos de implementación, no prohibición de realimentación transaccional. El grafo de operación sí permite Change↔Forecast y fuente↔reporting por revisiones controladas.</w:t>
      </w:r>
    </w:p>
    <w:p>
      <w:pPr>
        <w:widowControl/>
      </w:pPr>
      <w:r>
        <w:rPr>
          <w:b w:val="0"/>
        </w:rPr>
        <w:t>Cadena inicial: D01 → D14 mínimo → D02 → D03/D04 → D06/Change/Risk/Issue → D07 → D19. O2 consume O1; O3 requiere fuentes técnicas/materiales y QA/HSE aplicables antes de liberar Field; O4 requiere historia, aceptación técnica y condiciones residuales explícitas.</w:t>
      </w:r>
    </w:p>
    <w:p>
      <w:pPr>
        <w:widowControl/>
      </w:pPr>
      <w:r>
        <w:rPr>
          <w:b w:val="0"/>
        </w:rPr>
        <w:t>D04 no depende del hardening completo D12 para empezar: consume la autoridad Contract/PO existente en lectura y un contrato mínimo de semántica económica. D12 transaccional O2 depende de fuentes O1. Esta separación evita el ciclo falso Cost↔Contracts.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472"/>
        <w:gridCol w:w="3902"/>
        <w:gridCol w:w="792"/>
      </w:tblGrid>
      <w:tr>
        <w:trPr>
          <w:cantSplit/>
          <w:tblHeader w:val="true"/>
        </w:trPr>
        <w:tc>
          <w:tcPr>
            <w:tcW w:type="dxa" w:w="547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ID / candidato</w:t>
            </w:r>
          </w:p>
        </w:tc>
        <w:tc>
          <w:tcPr>
            <w:tcW w:type="dxa" w:w="390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Prerrequisitos mínimos</w:t>
            </w:r>
          </w:p>
        </w:tc>
        <w:tc>
          <w:tcPr>
            <w:tcW w:type="dxa" w:w="79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Ola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 Project Governance &amp; Operational Setup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Raíz: identidad/autorización existente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 Scope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D03 Schedule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D02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D04 Cost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D02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D05 Resource &amp; Productivity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D03; D04; D06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O3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D06 Progress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D03; D04;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D07 Forecast / ETC / EAC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D03; D04; D06; D08; D09; D10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D08 Change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D03; D04;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D09 Risk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D02;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D10 Issue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D11 Procurement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D03; D04;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O2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D12 Commitments / Contract Administration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D04; D11;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O2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D13 Engineering &amp; Design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D03;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O2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D14 Document &amp; Information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D15 Interface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D10; D12; D13;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O2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D16 Construction / Field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D03; D05; D06; D12; D13; D15; D17; D18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O3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D17 Quality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D13;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O3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D18 HSE Management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D09;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O3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D19 Project Controls &amp; Reporting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D03; D04; D06; D07; D08; D09; D10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D20 Claims / Delay / Forensic Analysis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D03; D04; D08; D12; D14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O4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D21 Commissioning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D14; D16; D17; D18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O4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D22 Handover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D14; D21; D23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O4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D23 Operational Readiness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D14; D17; D18; D21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O4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D24 Project Closeout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D03; D04; D12; D14; D20; D22; D25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O4</w:t>
            </w:r>
          </w:p>
        </w:tc>
      </w:tr>
      <w:tr>
        <w:trPr>
          <w:cantSplit/>
        </w:trP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D25 Asset Handover / Transition</w:t>
            </w:r>
          </w:p>
        </w:tc>
        <w:tc>
          <w:tcPr>
            <w:tcW w:type="dxa" w:w="390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D01; D14; D22; D23</w:t>
            </w:r>
          </w:p>
        </w:tc>
        <w:tc>
          <w:tcPr>
            <w:tcW w:type="dxa" w:w="7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O4</w:t>
            </w:r>
          </w:p>
        </w:tc>
      </w:tr>
    </w:tbl>
    <w:p>
      <w:pPr>
        <w:widowControl/>
      </w:pPr>
      <w:r>
        <w:rPr>
          <w:b w:val="0"/>
        </w:rPr>
      </w:r>
    </w:p>
    <w:p>
      <w:pPr>
        <w:pStyle w:val="Heading1"/>
        <w:keepNext/>
        <w:keepLines/>
      </w:pPr>
      <w:r>
        <w:t>8. Priorización transparente y complejidad</w:t>
      </w:r>
    </w:p>
    <w:p>
      <w:pPr>
        <w:widowControl/>
      </w:pPr>
      <w:r>
        <w:rPr>
          <w:b w:val="0"/>
        </w:rPr>
        <w:t>Se valoran 25 candidatos × 11 criterios en escala entera 1–5. Son juicios arquitectónicos sujetos a discusión, no prioridades aprobadas por negocio ni ROI calculado. Urgencia=3 neutral en todos: no se inventó una preferencia del usuario.</w:t>
      </w:r>
    </w:p>
    <w:p>
      <w:pPr>
        <w:widowControl/>
      </w:pPr>
      <w:r>
        <w:rPr>
          <w:b w:val="0"/>
        </w:rPr>
        <w:t>Beneficios: valor, centralidad, reutilización, integración estratégica, aplicabilidad Owner/Contractor, reporting y urgencia. Penalizaciones: complejidad, riesgo de modelo y acoplamiento. Pesos propuestos suman 1; se muestran en la hoja 09 junto con 275 justificaciones y referencias.</w:t>
      </w:r>
    </w:p>
    <w:p>
      <w:pPr>
        <w:widowControl/>
      </w:pPr>
      <w:r>
        <w:rPr>
          <w:b w:val="0"/>
        </w:rPr>
        <w:t>Sea B la suma ponderada de beneficios y P la de penalizaciones; WB/WP son las sumas de sus pesos. Score=100×[(B−P)−(WB−5WP)]/[4(WB+WP)]. Con pesos válidos e inputs 1–5 el resultado va de 0 a 100. Vacíos, texto, decimales o fuera de rango se marcan inválidos y no generan score/rank.</w:t>
      </w:r>
    </w:p>
    <w:p>
      <w:pPr>
        <w:widowControl/>
      </w:pPr>
      <w:r>
        <w:rPr>
          <w:b w:val="0"/>
        </w:rPr>
        <w:t>Rank descendente admite empates sin fabricar desempate comercial. El score no salta prerequisites: identidad, autorización, SoD, fuente y período pueden imponer O1A aunque tenga alta complejidad. LOW/MEDIUM/HIGH/VERY_HIGH son complejidades relativas; no se traducen aquí a cronograma o presupuesto.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6120"/>
        <w:gridCol w:w="1080"/>
        <w:gridCol w:w="2966"/>
      </w:tblGrid>
      <w:tr>
        <w:trPr>
          <w:cantSplit/>
          <w:tblHeader w:val="true"/>
        </w:trPr>
        <w:tc>
          <w:tcPr>
            <w:tcW w:type="dxa" w:w="61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0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Peso</w:t>
            </w:r>
          </w:p>
        </w:tc>
        <w:tc>
          <w:tcPr>
            <w:tcW w:type="dxa" w:w="296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Sentido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Valor de negocio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15%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Beneficio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Centralidad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15%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Beneficio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Reutilización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Beneficio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Complejidad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Penalización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Riesgo del modelo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Penalización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Acoplamiento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Penalización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Integración estratégica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Beneficio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Aplicabilidad Owner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5%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Beneficio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Aplicabilidad Contractor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5%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Beneficio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Valor de reporting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5%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Beneficio</w:t>
            </w:r>
          </w:p>
        </w:tc>
      </w:tr>
      <w:tr>
        <w:trPr>
          <w:cantSplit/>
        </w:trPr>
        <w:tc>
          <w:tcPr>
            <w:tcW w:type="dxa" w:w="61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Urgencia declarada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5%</w:t>
            </w:r>
          </w:p>
        </w:tc>
        <w:tc>
          <w:tcPr>
            <w:tcW w:type="dxa" w:w="29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Beneficio</w:t>
            </w:r>
          </w:p>
        </w:tc>
      </w:tr>
    </w:tbl>
    <w:p>
      <w:pPr>
        <w:widowControl/>
      </w:pPr>
      <w:r>
        <w:rPr>
          <w:b w:val="0"/>
        </w:rPr>
      </w:r>
    </w:p>
    <w:p>
      <w:pPr>
        <w:pStyle w:val="Heading1"/>
        <w:keepNext/>
        <w:keepLines/>
      </w:pPr>
      <w:r>
        <w:t>9. Matriz de riesgos y verificación futura</w:t>
      </w:r>
    </w:p>
    <w:p>
      <w:pPr>
        <w:widowControl/>
      </w:pPr>
      <w:r>
        <w:rPr>
          <w:b w:val="0"/>
        </w:rPr>
        <w:t>La implementación debe producir tests de caracterización y de contrato antes de alterar fuentes legacy. No se presentan pruebas ejecutadas en esta revisión estática. Los escenarios siguientes son criterios de salida futuros; no evidencia de funcionamiento actual.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04"/>
        <w:gridCol w:w="7862"/>
      </w:tblGrid>
      <w:tr>
        <w:trPr>
          <w:cantSplit/>
          <w:tblHeader w:val="true"/>
        </w:trPr>
        <w:tc>
          <w:tcPr>
            <w:tcW w:type="dxa" w:w="230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786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Escenarios de salida requeridos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Identidad / acceso</w:t>
            </w:r>
          </w:p>
        </w:tc>
        <w:tc>
          <w:tcPr>
            <w:tcW w:type="dxa" w:w="786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Tenant cruzado, mapping ausente/ambiguo, Workspace no activo, permiso revocado, concurrencia y replay; sin duplicar Project.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Autoridad estratégica</w:t>
            </w:r>
          </w:p>
        </w:tc>
        <w:tc>
          <w:tcPr>
            <w:tcW w:type="dxa" w:w="786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Owner con condición de compromiso vigente, fuente stale/revocada; Contractor/Direct autorizados sin requisito Owner indebido.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P6 / baseline</w:t>
            </w:r>
          </w:p>
        </w:tc>
        <w:tc>
          <w:tcPr>
            <w:tcW w:type="dxa" w:w="786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XML/XER subset, calendarios/unidades desconocidos, external links, Data Date, IDs reutilizados, diff/rechazo y rollback sin overwrite histórico.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Costo</w:t>
            </w:r>
          </w:p>
        </w:tc>
        <w:tc>
          <w:tcPr>
            <w:tcW w:type="dxa" w:w="786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Contract/PO included/call-off/additive, cancelación, certificado/recepción mismo origen, accrual/reversal, monedas y reserva una vez.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Progress / período</w:t>
            </w:r>
          </w:p>
        </w:tc>
        <w:tc>
          <w:tcPr>
            <w:tcW w:type="dxa" w:w="786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Métodos/denominadores distintos, aprobación independiente, corte/data date, cierre, late adjustment/reapertura y snapshot reproducible.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Change / Forecast</w:t>
            </w:r>
          </w:p>
        </w:tc>
        <w:tc>
          <w:tcPr>
            <w:tcW w:type="dxa" w:w="786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Aprobar ≠ implementar, receipts parciales/fallo, idempotencia, no baseline write; EAC/ETC bajo la misma base.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Reporting / documentos</w:t>
            </w:r>
          </w:p>
        </w:tc>
        <w:tc>
          <w:tcPr>
            <w:tcW w:type="dxa" w:w="786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GET sin comando oculto, mismo scope de fuentes, origen/version/hash y evidencia inaccesible no filtrada por export.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Compatibilidad</w:t>
            </w:r>
          </w:p>
        </w:tc>
        <w:tc>
          <w:tcPr>
            <w:tcW w:type="dxa" w:w="786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Rutas actuales y fuentes estratégicas sin regresión; formatos binarios no soportados rechazados explícitamente; no limpieza sin deprecación.</w:t>
            </w:r>
          </w:p>
        </w:tc>
      </w:tr>
    </w:tbl>
    <w:p>
      <w:pPr>
        <w:widowControl/>
      </w:pPr>
      <w:r>
        <w:rPr>
          <w:b w:val="0"/>
        </w:rPr>
      </w:r>
    </w:p>
    <w:p>
      <w:pPr>
        <w:pStyle w:val="Heading1"/>
        <w:keepNext/>
        <w:keepLines/>
      </w:pPr>
      <w:r>
        <w:t>10. Decisiones arquitectónicas y criterios de aceptación</w:t>
      </w:r>
    </w:p>
    <w:p>
      <w:pPr>
        <w:widowControl/>
      </w:pPr>
      <w:r>
        <w:rPr>
          <w:b w:val="0"/>
        </w:rPr>
        <w:t>ADR86–97 están PROPOSED_DESIGN, con aliases del prompt ADR-O-001–012 y evidencia path:line. No existe aprobación de negocio registrada para estas decisiones. Workbook 12_Decisions añade la clasificación de las 16 capacidades procurement/handoff.</w:t>
      </w:r>
    </w:p>
    <w:p>
      <w:pPr>
        <w:widowControl/>
      </w:pPr>
      <w:r>
        <w:rPr>
          <w:b w:val="0"/>
        </w:rPr>
        <w:t>Los 32 criterios siguientes se cubren como diseño documentado. PASS significa arquitectura definida y revisada en matrices/documentos, no software implementado, test de producto aprobado, validación jurídica ni signoff de negocio. Los tres criterios de protección se verifican además mediante huellas del producto y ausencia de migraciones.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5040"/>
        <w:gridCol w:w="3614"/>
        <w:gridCol w:w="1512"/>
      </w:tblGrid>
      <w:tr>
        <w:trPr>
          <w:cantSplit/>
          <w:tblHeader w:val="true"/>
        </w:trPr>
        <w:tc>
          <w:tcPr>
            <w:tcW w:type="dxa" w:w="50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ID / criterio</w:t>
            </w:r>
          </w:p>
        </w:tc>
        <w:tc>
          <w:tcPr>
            <w:tcW w:type="dxa" w:w="361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Evidencia de diseño</w:t>
            </w:r>
          </w:p>
        </w:tc>
        <w:tc>
          <w:tcPr>
            <w:tcW w:type="dxa" w:w="15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AC-01 Strategic → Operational boundary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H01–H15; master §2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AC-02 Canonical Project identity preserved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ADR86; D01; GAP-01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AC-03 Owner vs Contractor applicability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D01–D25 applicability; master §8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AC-04 Project Controls integration core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ADR87; D19; master §6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AC-05 Scope domain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D02; ADR90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AC-06 Schedule domain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D03; ADR89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AC-07 P6 boundary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ADR88; p6_manual_schedule_contract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AC-08 Cost domain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D04; baseline_and_budget_contract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AC-09 Progress architecture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D06; ADR91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AC-10 Forecast architecture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D07; ADR93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AC-11 Change architecture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D08; ADR92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AC-12 Risk/Issue distinction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D09/D10; master §7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AC-13 Procurement/Commitment duplication resolved conceptually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D11/D12; ADR94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AC-14 Engineering boundary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D13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AC-15 Construction boundary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D16; optional AWP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AC-16 Quality/HSE boundary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D17/D18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AC-17 Claims boundary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D20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AC-18 Commissioning/Handover boundary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D21–D25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AC-19 ADMIN/USER matrix complete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25-domain ADMIN/USER matrix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AC-20 Data ownership matrix complete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DO01–DO26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AC-21 Integration matrix complete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IN01–IN26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AC-22 Current capability inventory complete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BE15/FE25/PH16 evidence units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AC-23 Gap analysis complete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GAP-01–GAP-18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AC-24 Legacy candidate inventory complete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28 legacy evidence units; SAFE_TO_REMOVE0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AC-25 Implementation waves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O1–O4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AC-26 Wave dependency graph defined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25-node acyclic DAG + O1A/B/C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AC-27 Wave O1 scope recommended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O1A prerequisite then O1B/C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AC-28 No new duplicate authority introduced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Single owner matrices; no product edits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AC-29 No operational CPM engine proposed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ADR88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AC-30 No P6 API/direct sync proposed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ADR88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AC-31 No strategic business rule silently changed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Product SHA baseline/final audit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AC-32 No broad migration created</w:t>
            </w:r>
          </w:p>
        </w:tc>
        <w:tc>
          <w:tcPr>
            <w:tcW w:type="dxa" w:w="36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Product SHA baseline/final audit</w:t>
            </w:r>
          </w:p>
        </w:tc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PASS de diseño</w:t>
            </w:r>
          </w:p>
        </w:tc>
      </w:tr>
    </w:tbl>
    <w:p>
      <w:pPr>
        <w:widowControl/>
      </w:pPr>
      <w:r>
        <w:rPr>
          <w:b w:val="0"/>
        </w:rPr>
      </w:r>
    </w:p>
    <w:p>
      <w:r>
        <w:br w:type="page"/>
      </w:r>
    </w:p>
    <w:p>
      <w:pPr>
        <w:pStyle w:val="Heading1"/>
        <w:keepNext/>
        <w:keepLines/>
      </w:pPr>
      <w:r>
        <w:t>11. Único siguiente prompt recomendado</w:t>
      </w:r>
    </w:p>
    <w:p>
      <w:pPr>
        <w:widowControl/>
      </w:pPr>
      <w:r>
        <w:rPr>
          <w:b w:val="0"/>
        </w:rPr>
        <w:t>WAVE O1 — PROJECT CONTROLS FOUNDATION.</w:t>
      </w:r>
    </w:p>
    <w:p>
      <w:pPr>
        <w:widowControl/>
      </w:pPr>
      <w:r>
        <w:rPr>
          <w:b w:val="0"/>
        </w:rPr>
        <w:t>Implementar O1 comenzando exclusivamente por O1A: reutilizar Enterprise Workspace PROJECT y sus lifecycle/RBAC; diseñar y validar binding explícito con el agregado operacional legacy, sin crear otro Project master ni asumir IDs iguales; mantener las tres rutas de autorización y condiciones actuales. Reutilizar evidencia/versiones y establecer período/políticas comunes ADMIN/USER, con SoD, idempotencia, concurrencia y auditoría. Preservar toda lógica estratégica e historia aprobada.</w:t>
      </w:r>
    </w:p>
    <w:p>
      <w:pPr>
        <w:widowControl/>
      </w:pPr>
      <w:r>
        <w:rPr>
          <w:b w:val="0"/>
        </w:rPr>
        <w:t>Cerrar O1A con pruebas de identidad, acceso, colisiones, estado, currentness, condiciones y ciclo de período; solo entonces habilitar O1B baselines/adapters de Scope/Schedule/Cost/Progress/Change/Risk/Issue y O1C Forecast/Reporting bajo alcance autorizado. P6 sigue externo manual XML/XER, sin CPM/API/sync. No ampliar a O2–O4. Entregar evidencia, inventario de reutilización y reporte técnico; no declarar liberación ni signoff sin aprobación autorizada.</w:t>
      </w:r>
    </w:p>
    <w:p>
      <w:pPr>
        <w:widowControl/>
      </w:pPr>
      <w:r>
        <w:rPr>
          <w:b w:val="0"/>
        </w:rPr>
        <w:t>STOP: la tarea actual termina en este diseño. La siguiente implementación requiere instrucción expresa.</w:t>
      </w:r>
    </w:p>
    <w:p>
      <w:pPr>
        <w:widowControl/>
      </w:pPr>
      <w:r>
        <w:rPr>
          <w:b w:val="0"/>
        </w:rPr>
        <w:t>Referencias principales: Master Architecture.docx; Domain Map and Roadmap.xlsx; docs/architecture/operational/architecture-data.json; inventarios y auditorías del corte 20261019. Oracle P6 y CII se citan en el informe maestro para las fronteras XML/XER y AWP.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19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controladas Gate07J FID y Post FID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4</cp:revision>
  <dcterms:created xsi:type="dcterms:W3CDTF">2013-12-23T23:15:00Z</dcterms:created>
  <dcterms:modified xsi:type="dcterms:W3CDTF">2013-12-23T23:15:00Z</dcterms:modified>
  <cp:category/>
</cp:coreProperties>
</file>