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Operational Macroprocess</w:t>
        <w:br/>
        <w:t>Master Architecture</w:t>
      </w:r>
    </w:p>
    <w:p>
      <w:pPr>
        <w:pStyle w:val="Subtitle"/>
        <w:widowControl/>
      </w:pPr>
      <w:r>
        <w:rPr>
          <w:b w:val="0"/>
        </w:rPr>
        <w:t>P&amp;Pmis Construction AI · Operational Macroprocess</w:t>
        <w:br/>
        <w:t>Informe técnico de arquitectura · 19 de octubre de 2026</w:t>
      </w:r>
    </w:p>
    <w:p>
      <w:pPr>
        <w:widowControl/>
      </w:pPr>
      <w:r>
        <w:rPr>
          <w:b w:val="0"/>
        </w:rPr>
        <w:t>Arquitectura maestra y mapa de dominios para evolucionar el control operacional reutilizando las capacidades de P&amp;Pmis, sin duplicar sus autoridades estratégicas ni operativas.</w:t>
      </w:r>
    </w:p>
    <w:p>
      <w:pPr>
        <w:keepNext/>
        <w:widowControl/>
      </w:pPr>
      <w:r>
        <w:rPr>
          <w:b/>
        </w:rPr>
        <w:t>Estado: PROPOSED_DESIGN. Arquitectura documental; no implementación de módulos, migración, liberación ni aceptación de negocio.</w:t>
      </w:r>
    </w:p>
    <w:p>
      <w:pPr>
        <w:pStyle w:val="Heading1"/>
        <w:keepNext/>
        <w:keepLines/>
      </w:pPr>
      <w:r>
        <w:t>1. Resumen ejecutivo</w:t>
      </w:r>
    </w:p>
    <w:p>
      <w:pPr>
        <w:widowControl/>
      </w:pPr>
      <w:r>
        <w:rPr>
          <w:b w:val="0"/>
        </w:rPr>
        <w:t>El repositorio contiene una base operacional real pero parcial: cantidades BIM/Excel y APU, importación de cronogramas, CBS/control accounts, costo, progreso, cambios, RFQ, contratos/PO, documentos, AWP y análisis de reclamaciones. Su presencia en código no acredita un ciclo integral gobernado ni una pantalla accesible para cada entrada del menú.</w:t>
      </w:r>
    </w:p>
    <w:p>
      <w:pPr>
        <w:widowControl/>
      </w:pPr>
      <w:r>
        <w:rPr>
          <w:b w:val="0"/>
        </w:rPr>
        <w:t>Se definieron 25 candidatos, no 25 módulos nuevos: 12 dominios, 4 subdominios, 3 capacidades transversales, 4 workflows, 1 área de configuración y 1 dominio futuro. Las acciones propuestas son 12 EXTEND_EXISTING, 9 BUILD_LATER, 3 CROSS_CUTTING y 1 MERGE_WITH_ANOTHER_DOMAIN. BUILD_NOW es cero en este incremento.</w:t>
      </w:r>
    </w:p>
    <w:p>
      <w:pPr>
        <w:widowControl/>
      </w:pPr>
      <w:r>
        <w:rPr>
          <w:b w:val="0"/>
        </w:rPr>
        <w:t>La dependencia crítica es el enlace entre enterprise_workspaces (identidad canónica PROJECT) y projects.id (agregado operacional heredado). La creación canónica intencionalmente no crea una fila legacy. Un adaptador explícito es indispensable antes de ampliar la operación; no se permite igualar IDs ni crear otro Project master.</w:t>
      </w:r>
    </w:p>
    <w:p>
      <w:pPr>
        <w:widowControl/>
      </w:pPr>
      <w:r>
        <w:rPr>
          <w:b w:val="0"/>
        </w:rPr>
        <w:t>La recomendación única es WAVE O1 — PROJECT CONTROLS FOUNDATION, comenzando por O1A: contexto/binding, autorización, período y políticas comunes. O1B integra baselines y fuentes; O1C agrega forecast/reporting gobernados. Este documento se detiene antes de ejecutar O1.</w:t>
      </w:r>
    </w:p>
    <w:p>
      <w:pPr>
        <w:widowControl/>
      </w:pPr>
      <w:r>
        <w:rPr>
          <w:b w:val="0"/>
        </w:rPr>
        <w:t>Corte de evidencia: HEAD c75a7da3db3bdcf326b6bed7834182ee126da921. La revisión fue estática de archivos, rutas, servicios, modelos y definiciones de tests. No se ejecutaron tests de producto, UAT de navegador ni comandos de base de datos; los riesgos son hallazgos de diseño, no incidentes de importes de producción demostrados.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cantSplit/>
          <w:tblHeader w:val="true"/>
        </w:trPr>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Elemento</w:t>
            </w:r>
          </w:p>
        </w:tc>
        <w:tc>
          <w:tcPr>
            <w:tcW w:type="dxa" w:w="771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Definición / control propuesto</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Cobertura documental</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25 candidatos; 15 handoffs; 26 objetos/facetas; 26 integraciones; 13 eventos conceptuales; 12 ADR propuestos; 18 brechas.</w:t>
            </w:r>
          </w:p>
        </w:tc>
      </w:tr>
      <w:tr>
        <w:trPr>
          <w:cantSplit/>
        </w:trPr>
        <w:tc>
          <w:tcPr>
            <w:tcW w:type="dxa" w:w="244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Inventario</w:t>
            </w:r>
          </w:p>
        </w:tc>
        <w:tc>
          <w:tcPr>
            <w:tcW w:type="dxa" w:w="771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15 unidades de evidencia backend, 25 frontend y 16 procurement/handoff. Son 56 filas de diferente granularidad, no 56 funciones distintas.</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Protección</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860 archivos de producto bajo huella SHA; no cambios en lógica estratégica, navegación, esquema ni datos. SAFE_TO_REMOVE=0.</w:t>
            </w:r>
          </w:p>
        </w:tc>
      </w:tr>
      <w:tr>
        <w:trPr>
          <w:cantSplit/>
        </w:trPr>
        <w:tc>
          <w:tcPr>
            <w:tcW w:type="dxa" w:w="24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Estado estratégico</w:t>
            </w:r>
          </w:p>
        </w:tc>
        <w:tc>
          <w:tcPr>
            <w:tcW w:type="dxa" w:w="771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STRATEGIC_MACROPROCESS_TECHNICALLY_READY_UAT_SIGNOFF_PENDING</w:t>
            </w:r>
          </w:p>
        </w:tc>
      </w:tr>
    </w:tbl>
    <w:p>
      <w:pPr>
        <w:widowControl/>
      </w:pPr>
      <w:r>
        <w:rPr>
          <w:b w:val="0"/>
        </w:rPr>
      </w:r>
    </w:p>
    <w:p>
      <w:pPr>
        <w:pStyle w:val="Heading1"/>
        <w:keepNext/>
        <w:keepLines/>
      </w:pPr>
      <w:r>
        <w:t>2. Frontera Strategic → Operational</w:t>
      </w:r>
    </w:p>
    <w:p>
      <w:pPr>
        <w:widowControl/>
      </w:pPr>
      <w:r>
        <w:rPr>
          <w:b w:val="0"/>
        </w:rPr>
        <w:t>Estrategia conserva demanda, propuesta, portfolio, Business Case, FIN, beneficios, FEL, readiness, QRA, Funding y decisiones de inversión. Operación consume referencias versionadas, restricciones e insumos; no recalcula FID, no aprueba inversión y no convierte cobertura de fondos en presupuesto o gasto operacional.</w:t>
      </w:r>
    </w:p>
    <w:p>
      <w:pPr>
        <w:widowControl/>
      </w:pPr>
      <w:r>
        <w:rPr>
          <w:b w:val="0"/>
        </w:rPr>
        <w:t>El handoff identifica tenant, Workspace PROJECT, governance model, Project Type, autorización, política/revisión/hash, activación y fuentes. Cada insumo incluye ID, revisión, hash, as-of/validez, clasificación, condiciones y dueño de actualización. Estado missing/stale/bloqueante permanece visible.</w:t>
      </w:r>
    </w:p>
    <w:p>
      <w:pPr>
        <w:widowControl/>
      </w:pPr>
      <w:r>
        <w:rPr>
          <w:b w:val="0"/>
        </w:rPr>
        <w:t>CAPITAL_OWNER consulta la ruta estratégica aplicable y las condiciones Gate/FID/Post-FID actuales. CONTRACTOR_DELIVERY y DIRECT_INTERNAL conservan sus autorizaciones legítimas sin forzar el ciclo completo de inversión Owner. ACTIVE no elimina condiciones commitment-only ni autoriza por sí solo una orden de compra.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1901"/>
        <w:gridCol w:w="5746"/>
      </w:tblGrid>
      <w:tr>
        <w:trPr>
          <w:cantSplit/>
          <w:tblHeader w:val="true"/>
        </w:trPr>
        <w:tc>
          <w:tcPr>
            <w:tcW w:type="dxa" w:w="252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ID / insumo</w:t>
            </w:r>
          </w:p>
        </w:tc>
        <w:tc>
          <w:tcPr>
            <w:tcW w:type="dxa" w:w="1901"/>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Tratamiento</w:t>
            </w:r>
          </w:p>
        </w:tc>
        <w:tc>
          <w:tcPr>
            <w:tcW w:type="dxa" w:w="574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Límite de transferencia</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H01 Project identity</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REFERENCE ONLY</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Resolve canonical identity and scoped active lifecycle explicitly; never equate legacy projects.id.</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H02 Authorized scope</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CONTROL BASELINE INPUT</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BusinessCase scope_json alone is not proof of authorized scope. Require matching decided package/scope and explicit discrepancy review.</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H03 FID decision</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REFERENCE ONLY</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CAPITAL_OWNER applicable route requires valid authorized current decision, separate Post-FID and activation. Non-owner routes keep their own authorization source; do not fabricate FID.</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H04 Authorized capital amount</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CONSTRAINT</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Never equate authorized amount, available cash, assignment coverage, control budget and commitment. Missing amount/currency requires governed resolution, no inferred unlimited authority.</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H05 Approved funding context</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CONSTRAINT</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No silent join/copy between strategic_funding_sources and legacy funding_sources; do not count parent+child assignments twice or treat funding as actual cost/payment.</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H06 Business Case reference</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REFERENCE ONLY</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Operational performance may trigger explicit strategic material-change review; never overwrite approved case or FIN from forecast actuals.</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H07 Target dates</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INITIAL INPUT</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Preserve source dates, calendar assumptions and date basis; operational revisions require schedule/change governance and P6-calculated update where applicable.</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H08 Strategic milestones</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INITIAL INPUT</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Dedicated strategic milestone-to-operational contract not demonstrated in inspected source; remains a gap. Absent milestone detail stays absent; no claimed automatic handoff.</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H09 Project Definition / FEL output</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CONTROL BASELINE INPUT</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FEL score is readiness evidence, not fully detailed approved scope or permission to bypass operational baseline approval. Applicable by governance model/type/policy.</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H10 Risk context</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INITIAL INPUT</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Strategic readiness is not operational risk acceptance and QRA strategic result is not operational schedule-risk execution. Separate approval and currentness.</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H11 Permit context</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CONSTRAINT</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Preserve expiry/revocation and blocking semantics. Permit-to-work execution is separate from strategic permit-readiness evidence; missing remains missing.</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H12 Commercial strategy</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INITIAL INPUT</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Conceptual commercial package is not RFQ, awarded contract, vendor or commitment. Deviations need explicit review, not strategy overwrite.</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H13 Benefits context</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REFERENCE ONLY</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Benefits Realization transaction authority NOT TRANSFERRED. Do not report installed quantity or earned value as realized strategic benefit without measurement governance.</w:t>
            </w:r>
          </w:p>
        </w:tc>
      </w:tr>
      <w:tr>
        <w:trPr>
          <w:cantSplit/>
        </w:trPr>
        <w:tc>
          <w:tcPr>
            <w:tcW w:type="dxa" w:w="25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H14 Gate conditions</w:t>
            </w:r>
          </w:p>
        </w:tc>
        <w:tc>
          <w:tcPr>
            <w:tcW w:type="dxa" w:w="1901"/>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CONDITION</w:t>
            </w:r>
          </w:p>
        </w:tc>
        <w:tc>
          <w:tcPr>
            <w:tcW w:type="dxa" w:w="57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 not infer satisfied from READY/GO or nonblocking status. No default-policy reclassification or local operational removal of unresolved conditions.</w:t>
            </w:r>
          </w:p>
        </w:tc>
      </w:tr>
      <w:tr>
        <w:trPr>
          <w:cantSplit/>
        </w:trPr>
        <w:tc>
          <w:tcPr>
            <w:tcW w:type="dxa" w:w="25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H15 Post-FID conditions</w:t>
            </w:r>
          </w:p>
        </w:tc>
        <w:tc>
          <w:tcPr>
            <w:tcW w:type="dxa" w:w="1901"/>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CONDITION</w:t>
            </w:r>
          </w:p>
        </w:tc>
        <w:tc>
          <w:tcPr>
            <w:tcW w:type="dxa" w:w="57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No activation from initialization certificate alone; no reactivation for already active project; active does not clear commitment-only conditions. Future legacy commitment adapter must enforce applicable conditions explicitly.</w:t>
            </w:r>
          </w:p>
        </w:tc>
      </w:tr>
    </w:tbl>
    <w:p>
      <w:pPr>
        <w:widowControl/>
      </w:pPr>
      <w:r>
        <w:rPr>
          <w:b w:val="0"/>
        </w:rPr>
      </w:r>
    </w:p>
    <w:p>
      <w:pPr>
        <w:widowControl/>
      </w:pPr>
      <w:r>
        <w:rPr>
          <w:b w:val="0"/>
        </w:rPr>
        <w:t>Las autoridades NOT TRANSFERRED incluyen inversión, política estratégica, Funding, BC/FIN, beneficios, QRA estratégico, CPM P6 y contabilización/pago. No se cambia el estado histórico ni se reanuda el signoff de negocio en esta tarea.</w:t>
      </w:r>
    </w:p>
    <w:p>
      <w:pPr>
        <w:widowControl/>
      </w:pPr>
      <w:r>
        <w:rPr>
          <w:b w:val="0"/>
          <w:sz w:val="18"/>
        </w:rPr>
        <w:t>Evidencia inspeccionada: backend/app/modules/post_fid_governance/service.py:492; backend/tests/test_project_creation_process.py:642; docs/architecture/operational/control-contracts.json.</w:t>
      </w:r>
    </w:p>
    <w:p>
      <w:pPr>
        <w:pStyle w:val="Heading1"/>
        <w:keepNext/>
        <w:keepLines/>
      </w:pPr>
      <w:r>
        <w:t>3. Principios de arquitectura</w:t>
      </w:r>
    </w:p>
    <w:p>
      <w:pPr>
        <w:widowControl/>
      </w:pPr>
      <w:r>
        <w:rPr>
          <w:b w:val="0"/>
        </w:rPr>
        <w:t>Monolito modular con límites de dominio explícitos. Cada agregado/faceta tiene un único propietario y API/comando interno validado; consumir una referencia o snapshot no autoriza escribir las tablas del origen. Integración no significa convertir Project Controls en dueño de todos los datos.</w:t>
      </w:r>
    </w:p>
    <w:p>
      <w:pPr>
        <w:widowControl/>
      </w:pPr>
      <w:r>
        <w:rPr>
          <w:b w:val="0"/>
        </w:rPr>
        <w:t>Reutilizar antes de extender; extender antes de crear. Configuración ADMIN publicada y versionada se separa de transacciones USER. Todas las operaciones verifican tenant/Workspace, membresía, permiso, estado, revisión y condiciones aplicables. Historial aprobado inmutable, optimistic concurrency e idempotencia en comandos materiales.</w:t>
      </w:r>
    </w:p>
    <w:p>
      <w:pPr>
        <w:widowControl/>
      </w:pPr>
      <w:r>
        <w:rPr>
          <w:b w:val="0"/>
        </w:rPr>
        <w:t>El catálogo de módulos no equivale a un dominio implementado. Los placeholders permanecen identificados como reservados. No se propone microservicios, event bus, reescritura de navegación, migración amplia ni integración ERP/P6 directa.</w:t>
      </w:r>
    </w:p>
    <w:p>
      <w:pPr>
        <w:pStyle w:val="Heading1"/>
        <w:keepNext/>
        <w:keepLines/>
      </w:pPr>
      <w:r>
        <w:t>4. Lifecycle operacional</w:t>
      </w:r>
    </w:p>
    <w:p>
      <w:pPr>
        <w:widowControl/>
      </w:pPr>
      <w:r>
        <w:rPr>
          <w:b w:val="0"/>
        </w:rPr>
        <w:t>El proceso es una secuencia conceptual con ramas y ciclos, no una lista universal obligatoria. Preparación, aprobación, ejecución, control, forecast y cambio se repiten por período. Lo no aplicable se declara con razón y autoridad según Project Type; no se fabrican commissioning, claims o compras para completar una lista.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6134"/>
        <w:gridCol w:w="1152"/>
      </w:tblGrid>
      <w:tr>
        <w:trPr>
          <w:cantSplit/>
          <w:tblHeader w:val="true"/>
        </w:trPr>
        <w:tc>
          <w:tcPr>
            <w:tcW w:type="dxa" w:w="288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Paso</w:t>
            </w:r>
          </w:p>
        </w:tc>
        <w:tc>
          <w:tcPr>
            <w:tcW w:type="dxa" w:w="613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Finalidad</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Dominios</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P01 Project Activated / Authorized Handoff</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Validar canonical Workspace, tenant, memberships, governance route y currentness; CAPITAL_OWNER cumple FID/Post-FID cuando corresponde. Rutas Contractor/Direct legítimas no fuerzan owner-only.</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D01</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P02 Operational Setup</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Aplicar perfil publicado, evidence contracts, período y binding explícito legacy cuando exista; no inferir igualdad de IDs.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D01; D14</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P03 Control Baselines</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Aprobar alcance/schedule/costo y recursos si aplica; baseline bundle referencia versiones fuente congeladas.</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D02; D03; D04; D05; D19</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P04 Execution Planning / Look-Ahead</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Preparar horizonte configurable (objetivo inicial 4 semanas), paquetes/workfronts y readiness de recursos/materiales/ingeniería/permisos.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D02; D03; D09; D10; D15; D16</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P05 Engineering / Procurement / Contract Administration</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Ramas paralelas solo donde apliquen; award recommendation no genera obligación ni habilita pagos.</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D11; D12; D13; D14; D15</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P06 Construction / Field Execution</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Release de workfront con constraints, QA/HSE fuente y autoridad vigente; diario/hechos de campo verificables.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D16; D17; D18</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P07 Progress Capture &amp; Approval</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Capturar cantidades/horas/milestones con método; revisión/aprobación y freeze de período sin mezclar porcentajes.</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D05; D06; D14; D17</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P08 Cost / Schedule / Resource Update</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Actualizar fuentes por sus dueños; P6 calcula CPM en intercambio manual externo; deduplicar commitment/actual y preservar corte.</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D03; D04; D05</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P09 Change / Risk / Issue Review</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Evaluar y escalar; cambios aprobados generan solicitudes explícitas a source owners, no rewrite de baseline histórico.</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D08; D09; D10; D15</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P10 Forecast / ETC / EAC</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Preparar y aprobar pronóstico con supuestos/método/corte y riesgos; no modifica FIN/Funding estratégico.</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D07</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P11 Performance / Reporting</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Conciliar período, emitir snapshot con lineage/currentness y controlar distribución; dashboards no son command authority.</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D19</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P12 Commissioning / Operational Readiness</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Solo si el producto requiere sistemas/operación: mechanical completion, tests, formación/manuales/spares/permits y excepciones explícitas.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D17; D18; D21; D23</w:t>
            </w:r>
          </w:p>
        </w:tc>
      </w:tr>
      <w:tr>
        <w:trPr>
          <w:cantSplit/>
        </w:trPr>
        <w:tc>
          <w:tcPr>
            <w:tcW w:type="dxa" w:w="288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P13 Handover / Asset Transition</w:t>
            </w:r>
          </w:p>
        </w:tc>
        <w:tc>
          <w:tcPr>
            <w:tcW w:type="dxa" w:w="613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Aceptación explícita del receptor, punch/condiciones y transferencia de datos a identidad física existente según alcance.</w:t>
            </w:r>
          </w:p>
        </w:tc>
        <w:tc>
          <w:tcPr>
            <w:tcW w:type="dxa" w:w="115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D22; D25</w:t>
            </w:r>
          </w:p>
        </w:tc>
      </w:tr>
      <w:tr>
        <w:trPr>
          <w:cantSplit/>
        </w:trPr>
        <w:tc>
          <w:tcPr>
            <w:tcW w:type="dxa" w:w="288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P14 Project Closeout</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Cerrar fuentes comerciales/financieras/schedule/documentos y claims; preservar Project Workspace e historia, no delete automático.</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D12; D20; D24</w:t>
            </w:r>
          </w:p>
        </w:tc>
      </w:tr>
    </w:tbl>
    <w:p>
      <w:pPr>
        <w:widowControl/>
      </w:pPr>
      <w:r>
        <w:rPr>
          <w:b w:val="0"/>
        </w:rPr>
      </w:r>
    </w:p>
    <w:p>
      <w:pPr>
        <w:pStyle w:val="Heading1"/>
        <w:keepNext/>
        <w:keepLines/>
      </w:pPr>
      <w:r>
        <w:t>5. Mapa de dominios recomendado</w:t>
      </w:r>
    </w:p>
    <w:p>
      <w:pPr>
        <w:widowControl/>
      </w:pPr>
      <w:r>
        <w:rPr>
          <w:b w:val="0"/>
        </w:rPr>
        <w:t>D01–D25 son identificadores de diseño estables. La clasificación evita crear módulos por cada etiqueta. Forecast y Claims se integran como subdominios; Documents, Interface y Reporting son transversales; Handover/Readiness/Closeout/Asset Transition son workflows diferenciados.</w:t>
      </w:r>
    </w:p>
    <w:p>
      <w:pPr>
        <w:widowControl/>
      </w:pPr>
      <w:r>
        <w:rPr>
          <w:b w:val="0"/>
        </w:rPr>
        <w:t>El detalle completo de propósito, objetos, fuentes, entradas, salidas, upstream/downstream, ADMIN/USER, aplicabilidad, handoff y P6 está en las hojas 01 a 06 del workbook y en architecture-data.json. Esta síntesis no sustituye esas matrices.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23"/>
        <w:gridCol w:w="2549"/>
        <w:gridCol w:w="2894"/>
      </w:tblGrid>
      <w:tr>
        <w:trPr>
          <w:cantSplit/>
          <w:tblHeader w:val="true"/>
        </w:trPr>
        <w:tc>
          <w:tcPr>
            <w:tcW w:type="dxa" w:w="4723"/>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ID / capacidad</w:t>
            </w:r>
          </w:p>
        </w:tc>
        <w:tc>
          <w:tcPr>
            <w:tcW w:type="dxa" w:w="2549"/>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Clasificación</w:t>
            </w:r>
          </w:p>
        </w:tc>
        <w:tc>
          <w:tcPr>
            <w:tcW w:type="dxa" w:w="289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Acción / ola</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D01 Project Governance &amp; Operational Setup</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CONFIGURATION AREA</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D02 Scope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D03 Schedule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D04 Cost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D05 Resource &amp; Productivity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SUBDOMAIN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EXTEND_EXISTING / O3</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D06 Progress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D07 Forecast / ETC / EAC</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SUBDOMAIN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D08 Change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D09 Risk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O1</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D10 Issue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SUBDOMAIN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BUILD_LATER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D11 Procurement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EXTEND_EXISTING / O2</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D12 Commitments / Contract Administration</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O2</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D13 Engineering &amp; Design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O2</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D14 Document &amp; Information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CROSS-CUTTING CAPABILITY</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CROSS_CUTTING / O1</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D15 Interface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CROSS-CUTTING CAPABILITY</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CROSS_CUTTING / O2</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D16 Construction / Field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O3</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D17 Quality Management</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O3</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D18 HSE Management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FUTURE 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BUILD_LATER / O3</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D19 Project Controls &amp; Reporting</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CROSS-CUTTING CAPABILITY</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CROSS_CUTTING / O1</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D20 Claims / Delay / Forensic Analysis</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SUBDOMAIN</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MERGE_WITH_ANOTHER_</w:t>
              <w:br/>
              <w:t>DOMAIN / O4</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D21 Commissioning</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O4</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D22 Handover</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WORKFLOW</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BUILD_LATER / O4</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D23 Operational Readiness</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WORKFLOW</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O4</w:t>
            </w:r>
          </w:p>
        </w:tc>
      </w:tr>
      <w:tr>
        <w:trPr>
          <w:cantSplit/>
        </w:trPr>
        <w:tc>
          <w:tcPr>
            <w:tcW w:type="dxa" w:w="472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D24 Project Closeout</w:t>
            </w:r>
          </w:p>
        </w:tc>
        <w:tc>
          <w:tcPr>
            <w:tcW w:type="dxa" w:w="254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WORKFLOW</w:t>
            </w:r>
          </w:p>
        </w:tc>
        <w:tc>
          <w:tcPr>
            <w:tcW w:type="dxa" w:w="289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EXTEND_EXISTING / O4</w:t>
            </w:r>
          </w:p>
        </w:tc>
      </w:tr>
      <w:tr>
        <w:trPr>
          <w:cantSplit/>
        </w:trPr>
        <w:tc>
          <w:tcPr>
            <w:tcW w:type="dxa" w:w="472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D25 Asset Handover / Transition</w:t>
            </w:r>
          </w:p>
        </w:tc>
        <w:tc>
          <w:tcPr>
            <w:tcW w:type="dxa" w:w="2549"/>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WORKFLOW</w:t>
            </w:r>
          </w:p>
        </w:tc>
        <w:tc>
          <w:tcPr>
            <w:tcW w:type="dxa" w:w="289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BUILD_LATER / O4</w:t>
            </w:r>
          </w:p>
        </w:tc>
      </w:tr>
    </w:tbl>
    <w:p>
      <w:pPr>
        <w:widowControl/>
      </w:pPr>
      <w:r>
        <w:rPr>
          <w:b w:val="0"/>
        </w:rPr>
      </w:r>
    </w:p>
    <w:p>
      <w:pPr>
        <w:pStyle w:val="Heading1"/>
        <w:keepNext/>
        <w:keepLines/>
      </w:pPr>
      <w:r>
        <w:t>6. Project Controls como núcleo de integración</w:t>
      </w:r>
    </w:p>
    <w:p>
      <w:pPr>
        <w:widowControl/>
      </w:pPr>
      <w:r>
        <w:rPr>
          <w:b w:val="0"/>
        </w:rPr>
        <w:t>Scope, Schedule, Cost, Resource, Progress, Change, Risk e Issue alimentan un núcleo de coordinación de período, mappings y lineage. Forecast utiliza esas fuentes para emitir una revisión de resultados; Performance/Reporting presenta snapshots reproducibles. Cada origen mantiene sus reglas y aprobaciones.</w:t>
      </w:r>
    </w:p>
    <w:p>
      <w:pPr>
        <w:widowControl/>
      </w:pPr>
      <w:r>
        <w:rPr>
          <w:b w:val="0"/>
        </w:rPr>
        <w:t>El núcleo posee el registro de período y los bundles/reportes emitidos, no los contratos, fechas CPM o mediciones fuente. Un reporte declara baseline set, data date, cutoff, fuente, método, versión, excepciones y permiso de acceso. Abrir el dashboard no debe ejecutar comandos de negocio ni fabricar un forecast.</w:t>
      </w:r>
    </w:p>
    <w:p>
      <w:pPr>
        <w:widowControl/>
      </w:pPr>
      <w:r>
        <w:rPr>
          <w:b w:val="0"/>
        </w:rPr>
        <w:t>BIM/4D es una capacidad transversal: referencia versión de modelo, GUID/ExpressID, cantidades y actividades controladas. No es otro motor de programación. El visor BIM y APU se reutilizan; el mapping IFC↔actividad y la simulación 4D persistente son alcance futuro, no capacidad completa demostrada.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cantSplit/>
          <w:tblHeader w:val="true"/>
        </w:trPr>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Elemento</w:t>
            </w:r>
          </w:p>
        </w:tc>
        <w:tc>
          <w:tcPr>
            <w:tcW w:type="dxa" w:w="771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Definición / control propuesto</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Fuentes</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Scope / Schedule / Cost / Resource / Progress / Change / Risk / Issue conservan autoridad.</w:t>
            </w:r>
          </w:p>
        </w:tc>
      </w:tr>
      <w:tr>
        <w:trPr>
          <w:cantSplit/>
        </w:trPr>
        <w:tc>
          <w:tcPr>
            <w:tcW w:type="dxa" w:w="244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Integración</w:t>
            </w:r>
          </w:p>
        </w:tc>
        <w:tc>
          <w:tcPr>
            <w:tcW w:type="dxa" w:w="771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Project Workspace + período común + mappings versionados + validación de completitud + snapshots.</w:t>
            </w:r>
          </w:p>
        </w:tc>
      </w:tr>
      <w:tr>
        <w:trPr>
          <w:cantSplit/>
        </w:trPr>
        <w:tc>
          <w:tcPr>
            <w:tcW w:type="dxa" w:w="24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Resultados</w:t>
            </w:r>
          </w:p>
        </w:tc>
        <w:tc>
          <w:tcPr>
            <w:tcW w:type="dxa" w:w="771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Forecast / performance / reportes / look-ahead consumen esas fuentes sin escrituras ocultas.</w:t>
            </w:r>
          </w:p>
        </w:tc>
      </w:tr>
    </w:tbl>
    <w:p>
      <w:pPr>
        <w:widowControl/>
      </w:pPr>
      <w:r>
        <w:rPr>
          <w:b w:val="0"/>
        </w:rPr>
      </w:r>
    </w:p>
    <w:p>
      <w:pPr>
        <w:widowControl/>
      </w:pPr>
      <w:r>
        <w:rPr>
          <w:b w:val="0"/>
          <w:sz w:val="18"/>
        </w:rPr>
        <w:t>Evidencia inspeccionada: backend/app/services/control_core.py:27; frontend/src/components/BimIfcModelViewer.tsx:1.</w:t>
      </w:r>
    </w:p>
    <w:p>
      <w:pPr>
        <w:pStyle w:val="Heading1"/>
        <w:keepNext/>
        <w:keepLines/>
      </w:pPr>
      <w:r>
        <w:t>7. Descripciones y límites por dominio</w:t>
      </w:r>
    </w:p>
    <w:p>
      <w:pPr>
        <w:widowControl/>
      </w:pPr>
      <w:r>
        <w:rPr>
          <w:b w:val="0"/>
        </w:rPr>
        <w:t>Las siguientes fichas distinguen capacidad observada de autoridad objetivo. Los modelos conceptuales no son nuevas tablas ni endpoints publicados. Los nombres son etiquetas de diseño, no una modificación del menú vigente.</w:t>
      </w:r>
    </w:p>
    <w:p>
      <w:pPr>
        <w:pStyle w:val="Heading2"/>
        <w:keepNext/>
        <w:keepLines/>
      </w:pPr>
      <w:r>
        <w:t>D01 · Project Governance &amp; Operational Setup</w:t>
      </w:r>
    </w:p>
    <w:p>
      <w:pPr>
        <w:widowControl/>
      </w:pPr>
      <w:r>
        <w:rPr>
          <w:b w:val="0"/>
        </w:rPr>
        <w:t>Preparar un Project Workspace activado para control operacional sin crear otra identidad maestra. Enterprise Structure &amp; Workspace conserva identidad; Project Creation/Initialization/Activation conserva elegibilidad. La configuración operacional solo posee su perfil y vinculación explícita a registros legacy.</w:t>
      </w:r>
    </w:p>
    <w:p>
      <w:pPr>
        <w:widowControl/>
      </w:pPr>
      <w:r>
        <w:rPr>
          <w:b w:val="0"/>
        </w:rPr>
        <w:t>Objetos: Canonical Project Workspace reference; Operational context binding; Governance applicability profile; Published setup version; Project Controls reporting period.</w:t>
      </w:r>
    </w:p>
    <w:p>
      <w:pPr>
        <w:widowControl/>
      </w:pPr>
      <w:r>
        <w:rPr>
          <w:b w:val="0"/>
        </w:rPr>
        <w:t>Estado observado: Setup legacy y canonical activation existen separados. Adaptador explícito de lectura localizado; falta contrato universal de onboarding/binding y no se implementa aquí.</w:t>
      </w:r>
    </w:p>
    <w:p>
      <w:pPr>
        <w:widowControl/>
      </w:pPr>
      <w:r>
        <w:rPr>
          <w:b w:val="0"/>
        </w:rPr>
        <w:t>Evolución propuesta: EXTEND_EXISTING · O1 · complejidad VERY_HIGH. Resolver identidad, membresía y límites de autorización antes de exponer fuentes operacionales; protege reutilización sin nuevo Project master.</w:t>
      </w:r>
    </w:p>
    <w:p>
      <w:pPr>
        <w:pStyle w:val="Heading2"/>
        <w:keepNext/>
        <w:keepLines/>
      </w:pPr>
      <w:r>
        <w:t>D02 · Scope Management</w:t>
      </w:r>
    </w:p>
    <w:p>
      <w:pPr>
        <w:widowControl/>
      </w:pPr>
      <w:r>
        <w:rPr>
          <w:b w:val="0"/>
        </w:rPr>
        <w:t>Controlar alcance, entregables, cantidades y paquetes con baseline/revisiones autorizadas y trazabilidad BIM opcional. Scope posee alcance/cantidad controlada y definición de paquetes; BIM conserva geometría/modelo fuente; WBS/PBS son referencias coherentes, no copias competidoras.</w:t>
      </w:r>
    </w:p>
    <w:p>
      <w:pPr>
        <w:widowControl/>
      </w:pPr>
      <w:r>
        <w:rPr>
          <w:b w:val="0"/>
        </w:rPr>
        <w:t>Objetos: Scope Item; Scope hierarchy / deliverable; Quantity and measurement source; Scope baseline/revision; Work Package definition; BIM object/model version reference.</w:t>
      </w:r>
    </w:p>
    <w:p>
      <w:pPr>
        <w:widowControl/>
      </w:pPr>
      <w:r>
        <w:rPr>
          <w:b w:val="0"/>
        </w:rPr>
        <w:t>Estado observado: Cantidades IFC/Excel, viewer, reglas, geometría/APU y paquetes son reales parciales. Scope Items/Plan Items y gobernanza completa de baseline siguen pendientes; 4D es placeholder.</w:t>
      </w:r>
    </w:p>
    <w:p>
      <w:pPr>
        <w:widowControl/>
      </w:pPr>
      <w:r>
        <w:rPr>
          <w:b w:val="0"/>
        </w:rPr>
        <w:t>Evolución propuesta: EXTEND_EXISTING · O1 · complejidad HIGH. Reutilizar BIM/cantidades/APU sin construir otro motor; completar identidad de Scope Item y sus revisiones en un incremento posterior.</w:t>
      </w:r>
    </w:p>
    <w:p>
      <w:pPr>
        <w:pStyle w:val="Heading2"/>
        <w:keepNext/>
        <w:keepLines/>
      </w:pPr>
      <w:r>
        <w:t>D03 · Schedule Management</w:t>
      </w:r>
    </w:p>
    <w:p>
      <w:pPr>
        <w:widowControl/>
      </w:pPr>
      <w:r>
        <w:rPr>
          <w:b w:val="0"/>
        </w:rPr>
        <w:t>Gestionar datos, versiones, baseline/current/update, data date y calidad del cronograma manteniendo Primavera P6 como autoridad CPM externa. P6 posee cálculo CPM, fechas recalculadas y critical/float importados. P&amp;Pmis posee registro de versión, source hash, validación, mappings y aceptación del corte, sin recalcular silenciosamente la ruta crítica.</w:t>
      </w:r>
    </w:p>
    <w:p>
      <w:pPr>
        <w:widowControl/>
      </w:pPr>
      <w:r>
        <w:rPr>
          <w:b w:val="0"/>
        </w:rPr>
        <w:t>Objetos: Schedule Register/Version; WBS; Activity/Milestone; Calendar/Relationship/Constraint; Baseline/current dates; Imported criticality/float; Schedule import reconciliation.</w:t>
      </w:r>
    </w:p>
    <w:p>
      <w:pPr>
        <w:widowControl/>
      </w:pPr>
      <w:r>
        <w:rPr>
          <w:b w:val="0"/>
        </w:rPr>
        <w:t>Estado observado: Importación P6/WBS y metadatos son reales. Handbook calcula CPM básico y persiste controles locales, riesgo a aislar/no promover a fuente P6. Falta ciclo completo de versiones/exportación y 4D.</w:t>
      </w:r>
    </w:p>
    <w:p>
      <w:pPr>
        <w:widowControl/>
      </w:pPr>
      <w:r>
        <w:rPr>
          <w:b w:val="0"/>
        </w:rPr>
        <w:t>Evolución propuesta: EXTEND_EXISTING · O1 · complejidad VERY_HIGH. Separar gestión de datos de cálculo externo; preservar semántica de calendarios/constraints y trazabilidad sin equivalencia funcional falsa.</w:t>
      </w:r>
    </w:p>
    <w:p>
      <w:pPr>
        <w:pStyle w:val="Heading2"/>
        <w:keepNext/>
        <w:keepLines/>
      </w:pPr>
      <w:r>
        <w:t>D04 · Cost Management</w:t>
      </w:r>
    </w:p>
    <w:p>
      <w:pPr>
        <w:widowControl/>
      </w:pPr>
      <w:r>
        <w:rPr>
          <w:b w:val="0"/>
        </w:rPr>
        <w:t>Controlar presupuesto operacional, costos reales/accruals, codificación y cierre de períodos sin duplicar Funding estratégico ni obligación contractual. Cost posee presupuesto de control, clasificación y costo operacional validado. D12 posee obligación legal/commitment; Strategic Funds posee cobertura y FIN modelo económico. Contabilidad/tesorería futura posee posting/pago.</w:t>
      </w:r>
    </w:p>
    <w:p>
      <w:pPr>
        <w:widowControl/>
      </w:pPr>
      <w:r>
        <w:rPr>
          <w:b w:val="0"/>
        </w:rPr>
        <w:t>Objetos: CBS/Cost Code/Control Account; Original/approved/current budget; Actual Cost/Accrual; Cost period; Cash-flow phasing; Commitment reference; Contingency/reserve classification.</w:t>
      </w:r>
    </w:p>
    <w:p>
      <w:pPr>
        <w:widowControl/>
      </w:pPr>
      <w:r>
        <w:rPr>
          <w:b w:val="0"/>
        </w:rPr>
        <w:t>Estado observado: Cost sheet, CBS/FBS, recost/reconciliation y BIM budget parciales. Riesgo de sumatoria Contract+PO y committed+executed no neteados requiere diseño; no se afirma doble conteo real en producción.</w:t>
      </w:r>
    </w:p>
    <w:p>
      <w:pPr>
        <w:widowControl/>
      </w:pPr>
      <w:r>
        <w:rPr>
          <w:b w:val="0"/>
        </w:rPr>
        <w:t>Evolución propuesta: EXTEND_EXISTING · O1 · complejidad VERY_HIGH. Reutilizar core y resolver origen económico/semántica de costo antes de ampliar controles; evitar Funding/Commitment paralelo.</w:t>
      </w:r>
    </w:p>
    <w:p>
      <w:pPr>
        <w:pStyle w:val="Heading2"/>
        <w:keepNext/>
        <w:keepLines/>
      </w:pPr>
      <w:r>
        <w:t>D05 · Resource &amp; Productivity Management</w:t>
      </w:r>
    </w:p>
    <w:p>
      <w:pPr>
        <w:widowControl/>
      </w:pPr>
      <w:r>
        <w:rPr>
          <w:b w:val="0"/>
        </w:rPr>
        <w:t>Controlar recursos operacionales, crews/horas y productividad mediante cantidades aprobadas, separado de escenarios estratégicos de capacidad. Subdominio operacional de ejecución/costos posee asignaciones y horas verificadas; D06 posee cantidad aprobada por método; APU/rate sheet conserva su catálogo. Portfolio Resource Planning no posee asignación operacional.</w:t>
      </w:r>
    </w:p>
    <w:p>
      <w:pPr>
        <w:widowControl/>
      </w:pPr>
      <w:r>
        <w:rPr>
          <w:b w:val="0"/>
        </w:rPr>
        <w:t>Objetos: Resource category/crew/labor/equipment; Planned/actual/remaining hours; Production rate; Productivity observation; Resource forecast/histogram.</w:t>
      </w:r>
    </w:p>
    <w:p>
      <w:pPr>
        <w:widowControl/>
      </w:pPr>
      <w:r>
        <w:rPr>
          <w:b w:val="0"/>
        </w:rPr>
        <w:t>Estado observado: APU/tarifas y catálogo/resource primitives backend, horas/progress/productivity summary parciales; no asignación multiusuario completa demostrada.</w:t>
      </w:r>
    </w:p>
    <w:p>
      <w:pPr>
        <w:widowControl/>
      </w:pPr>
      <w:r>
        <w:rPr>
          <w:b w:val="0"/>
        </w:rPr>
        <w:t>Evolución propuesta: EXTEND_EXISTING · O3 · complejidad HIGH. No convertir Master Rate Sheet en sistema completo de recursos ni duplicar escenario estratégico; extender desde hechos de campo y costo.</w:t>
      </w:r>
    </w:p>
    <w:p>
      <w:pPr>
        <w:pStyle w:val="Heading2"/>
        <w:keepNext/>
        <w:keepLines/>
      </w:pPr>
      <w:r>
        <w:t>D06 · Progress Management</w:t>
      </w:r>
    </w:p>
    <w:p>
      <w:pPr>
        <w:widowControl/>
      </w:pPr>
      <w:r>
        <w:rPr>
          <w:b w:val="0"/>
        </w:rPr>
        <w:t>Mantener medición operacional por método, período y aprobación sin mezclar physical, schedule, cost y earned percentages. Progress posee aprobación y consolidación por método; fuente original permanece Quantity/Field/P6/Cost según método. Earned progress se deriva del presupuesto y regla aprobada, no de un porcentaje intercambiable.</w:t>
      </w:r>
    </w:p>
    <w:p>
      <w:pPr>
        <w:widowControl/>
      </w:pPr>
      <w:r>
        <w:rPr>
          <w:b w:val="0"/>
        </w:rPr>
        <w:t>Objetos: Progress record/measurement; Measurement method/version; Period/cumulative quantity; Approved progress cutoff; Milestone/weighted progress; Progress correction/supersession.</w:t>
      </w:r>
    </w:p>
    <w:p>
      <w:pPr>
        <w:widowControl/>
      </w:pPr>
      <w:r>
        <w:rPr>
          <w:b w:val="0"/>
        </w:rPr>
        <w:t>Estado observado: Capture endpoint y records reales; pantalla activa principalmente de lectura. Falta ciclo integral de método/aprobación/cutoff/supersession y UI de captura gobernada.</w:t>
      </w:r>
    </w:p>
    <w:p>
      <w:pPr>
        <w:widowControl/>
      </w:pPr>
      <w:r>
        <w:rPr>
          <w:b w:val="0"/>
        </w:rPr>
        <w:t>Evolución propuesta: EXTEND_EXISTING · O1 · complejidad HIGH. Conservar registros y añadir semántica antes de alimentar Forecast/EVM; separar medición de aprobación y performance derivada.</w:t>
      </w:r>
    </w:p>
    <w:p>
      <w:pPr>
        <w:pStyle w:val="Heading2"/>
        <w:keepNext/>
        <w:keepLines/>
      </w:pPr>
      <w:r>
        <w:t>D07 · Forecast / ETC / EAC</w:t>
      </w:r>
    </w:p>
    <w:p>
      <w:pPr>
        <w:widowControl/>
      </w:pPr>
      <w:r>
        <w:rPr>
          <w:b w:val="0"/>
        </w:rPr>
        <w:t>Consolidar pronósticos temporales/de costo/cantidad/recursos con supuestos, versión y aprobación sin reescribir baseline. Subdominio Forecast de Project Controls posee supuestos/revisión aprobada y reglas de consolidación. Cost/Schedule/Progress/Risk/Change conservan datos fuente.</w:t>
      </w:r>
    </w:p>
    <w:p>
      <w:pPr>
        <w:widowControl/>
      </w:pPr>
      <w:r>
        <w:rPr>
          <w:b w:val="0"/>
        </w:rPr>
        <w:t>Objetos: Forecast version; ETC/EAC/VAC; Forecast finish/milestone; Quantity/resource forecast; Assumption set; Forecast approval snapshot.</w:t>
      </w:r>
    </w:p>
    <w:p>
      <w:pPr>
        <w:widowControl/>
      </w:pPr>
      <w:r>
        <w:rPr>
          <w:b w:val="0"/>
        </w:rPr>
        <w:t>Estado observado: EVM/EAC/VAC y forecast-vs-funding existen como reportes; no lifecycle completo de forecast aprobado/local revision UI.</w:t>
      </w:r>
    </w:p>
    <w:p>
      <w:pPr>
        <w:widowControl/>
      </w:pPr>
      <w:r>
        <w:rPr>
          <w:b w:val="0"/>
        </w:rPr>
        <w:t>Evolución propuesta: EXTEND_EXISTING · O1 · complejidad HIGH. Consolidación bajo Project Controls sin otro dueño de actuals, contratos o baseline.</w:t>
      </w:r>
    </w:p>
    <w:p>
      <w:pPr>
        <w:pStyle w:val="Heading2"/>
        <w:keepNext/>
        <w:keepLines/>
      </w:pPr>
      <w:r>
        <w:t>D08 · Change Management</w:t>
      </w:r>
    </w:p>
    <w:p>
      <w:pPr>
        <w:widowControl/>
      </w:pPr>
      <w:r>
        <w:rPr>
          <w:b w:val="0"/>
        </w:rPr>
        <w:t>Gobernar un Change Event/Request transversal con evaluación de impactos y aplicación explícita por dueños de fuentes. Change posee estado, aprobación y assessment consolidado; Scope/Schedule/Cost/D12 poseen modificación de sus propios registros. Una Change Order legal solo la autoriza Contract Administration.</w:t>
      </w:r>
    </w:p>
    <w:p>
      <w:pPr>
        <w:widowControl/>
      </w:pPr>
      <w:r>
        <w:rPr>
          <w:b w:val="0"/>
        </w:rPr>
        <w:t>Objetos: Change Event/Request/Potential Change; Impact assessment; Approved/rejected change; Change Order reference; Implementation record/change log.</w:t>
      </w:r>
    </w:p>
    <w:p>
      <w:pPr>
        <w:widowControl/>
      </w:pPr>
      <w:r>
        <w:rPr>
          <w:b w:val="0"/>
        </w:rPr>
        <w:t>Estado observado: ChangeRequest/create y vista Scope Changes de lectura parciales; schedule/budget/contract changes reservados, integración de impacto/aprobación incompleta.</w:t>
      </w:r>
    </w:p>
    <w:p>
      <w:pPr>
        <w:widowControl/>
      </w:pPr>
      <w:r>
        <w:rPr>
          <w:b w:val="0"/>
        </w:rPr>
        <w:t>Evolución propuesta: EXTEND_EXISTING · O1 · complejidad HIGH. Unificar orquestación del cambio sin convertirla en dueño de todos los datos ni duplicar variaciones legales.</w:t>
      </w:r>
    </w:p>
    <w:p>
      <w:pPr>
        <w:pStyle w:val="Heading2"/>
        <w:keepNext/>
        <w:keepLines/>
      </w:pPr>
      <w:r>
        <w:t>D09 · Risk Management</w:t>
      </w:r>
    </w:p>
    <w:p>
      <w:pPr>
        <w:widowControl/>
      </w:pPr>
      <w:r>
        <w:rPr>
          <w:b w:val="0"/>
        </w:rPr>
        <w:t>Gestionar incertidumbre futura operacional, respuestas, riesgo residual y escalación con referencia a evidencia estratégica sin reutilizarla como registro operacional. Operational Risk posee registro y evaluaciones de ejecución. Strategic Risk Readiness/QRA conserva su evidencia/método/decisión; no se copia una aprobación como mitigación realizada.</w:t>
      </w:r>
    </w:p>
    <w:p>
      <w:pPr>
        <w:widowControl/>
      </w:pPr>
      <w:r>
        <w:rPr>
          <w:b w:val="0"/>
        </w:rPr>
        <w:t>Objetos: Operational Risk; Risk assessment/response/residual; Risk owner/due date; Risk exposure/contingency reference; Operational SRA source reference.</w:t>
      </w:r>
    </w:p>
    <w:p>
      <w:pPr>
        <w:widowControl/>
      </w:pPr>
      <w:r>
        <w:rPr>
          <w:b w:val="0"/>
        </w:rPr>
        <w:t>Estado observado: Operational risk menu placeholder. Strategic risk/QRA real aguas arriba, no registro de ejecución demostrado.</w:t>
      </w:r>
    </w:p>
    <w:p>
      <w:pPr>
        <w:widowControl/>
      </w:pPr>
      <w:r>
        <w:rPr>
          <w:b w:val="0"/>
        </w:rPr>
        <w:t>Evolución propuesta: BUILD_LATER · O1 · complejidad HIGH. Nuevo comportamiento operacional cohesivo, pero solo diseño actual; evita contaminar políticas estratégicas ya gobernadas.</w:t>
      </w:r>
    </w:p>
    <w:p>
      <w:pPr>
        <w:pStyle w:val="Heading2"/>
        <w:keepNext/>
        <w:keepLines/>
      </w:pPr>
      <w:r>
        <w:t>D10 · Issue Management</w:t>
      </w:r>
    </w:p>
    <w:p>
      <w:pPr>
        <w:widowControl/>
      </w:pPr>
      <w:r>
        <w:rPr>
          <w:b w:val="0"/>
        </w:rPr>
        <w:t>Gestionar eventos/condiciones ya ocurridos con acciones, owner, vencimiento, escalación y referencias de impacto. Issue posee resolución/escalación de condición actual; fuente técnica/legal permanece en dominio originador. No reemplaza AWP constraint, NCR, claim ni risk.</w:t>
      </w:r>
    </w:p>
    <w:p>
      <w:pPr>
        <w:widowControl/>
      </w:pPr>
      <w:r>
        <w:rPr>
          <w:b w:val="0"/>
        </w:rPr>
        <w:t>Objetos: Issue; Action; Escalation; Owner/due date; Closure evidence; Origin domain reference.</w:t>
      </w:r>
    </w:p>
    <w:p>
      <w:pPr>
        <w:widowControl/>
      </w:pPr>
      <w:r>
        <w:rPr>
          <w:b w:val="0"/>
        </w:rPr>
        <w:t>Estado observado: Issues placeholder; restricciones AWP reales no constituyen registro general de Issues.</w:t>
      </w:r>
    </w:p>
    <w:p>
      <w:pPr>
        <w:widowControl/>
      </w:pPr>
      <w:r>
        <w:rPr>
          <w:b w:val="0"/>
        </w:rPr>
        <w:t>Evolución propuesta: BUILD_LATER · O1 · complejidad MEDIUM. Subdominio pequeño reutilizable; coordina acciones sin inventar otro registro de riesgos o restricciones.</w:t>
      </w:r>
    </w:p>
    <w:p>
      <w:pPr>
        <w:pStyle w:val="Heading2"/>
        <w:keepNext/>
        <w:keepLines/>
      </w:pPr>
      <w:r>
        <w:t>D11 · Procurement Management</w:t>
      </w:r>
    </w:p>
    <w:p>
      <w:pPr>
        <w:widowControl/>
      </w:pPr>
      <w:r>
        <w:rPr>
          <w:b w:val="0"/>
        </w:rPr>
        <w:t>Gestionar sourcing: plan/paquete/requisición/RFQ-RFP/bids/evaluación y recomendación de adjudicación, sin poseer otra obligación legal. Procurement posee sourcing y recomendación; D12 posee Contract/PO y obligación después de aprobación autorizada; Party master futuro es compartido, no vendor string duplicado.</w:t>
      </w:r>
    </w:p>
    <w:p>
      <w:pPr>
        <w:widowControl/>
      </w:pPr>
      <w:r>
        <w:rPr>
          <w:b w:val="0"/>
        </w:rPr>
        <w:t>Objetos: Procurement Plan/Package; Requisition; RFQ/RFP; Bid/Evaluation; Award Recommendation; Vendor party reference.</w:t>
      </w:r>
    </w:p>
    <w:p>
      <w:pPr>
        <w:widowControl/>
      </w:pPr>
      <w:r>
        <w:rPr>
          <w:b w:val="0"/>
        </w:rPr>
        <w:t>Estado observado: RFQ backend real con pesos hardcoded/summary; UI actual reservada y sin award gobernado completo. Vendors/Partners son placeholders.</w:t>
      </w:r>
    </w:p>
    <w:p>
      <w:pPr>
        <w:widowControl/>
      </w:pPr>
      <w:r>
        <w:rPr>
          <w:b w:val="0"/>
        </w:rPr>
        <w:t>Evolución propuesta: EXTEND_EXISTING · O2 · complejidad HIGH. Reutilizar RFQ y configurar evaluación/autoridad antes de cualquier nueva pantalla; sourcing distinto de compromiso.</w:t>
      </w:r>
    </w:p>
    <w:p>
      <w:pPr>
        <w:pStyle w:val="Heading2"/>
        <w:keepNext/>
        <w:keepLines/>
      </w:pPr>
      <w:r>
        <w:t>D12 · Commitments / Contract Administration</w:t>
      </w:r>
    </w:p>
    <w:p>
      <w:pPr>
        <w:widowControl/>
      </w:pPr>
      <w:r>
        <w:rPr>
          <w:b w:val="0"/>
        </w:rPr>
        <w:t>Administrar registro legal Contract/PO/subcontract, SOV, notices, variaciones, certificación y cierre con una sola autoridad de obligaciones. Reutilizar Contract y PurchaseOrder existentes como única autoridad contractual/commitment. Cost consume refs neteadas. Certificado/recepción no es pago bancario; invoice/payment posting queda en ERP/Treasury futuro.</w:t>
      </w:r>
    </w:p>
    <w:p>
      <w:pPr>
        <w:widowControl/>
      </w:pPr>
      <w:r>
        <w:rPr>
          <w:b w:val="0"/>
        </w:rPr>
        <w:t>Objetos: Contract/PurchaseOrder/Subcontract; Original/current legal value; SOV; Contract notice/instruction; Change Order; Certificate/retention; Commitment source/economic event.</w:t>
      </w:r>
    </w:p>
    <w:p>
      <w:pPr>
        <w:widowControl/>
      </w:pPr>
      <w:r>
        <w:rPr>
          <w:b w:val="0"/>
        </w:rPr>
        <w:t>Estado observado: Contract/PO/SOV/notices/certificates/receipts reales parciales; menús reservados, doble conteo y gate commitment-only requieren hardening futuro. Sin inferir vendor master ni pagos.</w:t>
      </w:r>
    </w:p>
    <w:p>
      <w:pPr>
        <w:widowControl/>
      </w:pPr>
      <w:r>
        <w:rPr>
          <w:b w:val="0"/>
        </w:rPr>
        <w:t>Evolución propuesta: EXTEND_EXISTING · O2 · complejidad VERY_HIGH. Separación cohesiva de sourcing por obligación legal; conservar APIs/datos y sustituir conceptos duplicados solo con deprecación aprobada.</w:t>
      </w:r>
    </w:p>
    <w:p>
      <w:pPr>
        <w:pStyle w:val="Heading2"/>
        <w:keepNext/>
        <w:keepLines/>
      </w:pPr>
      <w:r>
        <w:t>D13 · Engineering &amp; Design Management</w:t>
      </w:r>
    </w:p>
    <w:p>
      <w:pPr>
        <w:widowControl/>
      </w:pPr>
      <w:r>
        <w:rPr>
          <w:b w:val="0"/>
        </w:rPr>
        <w:t>Gestionar paquetes/deliverables técnicos, disciplina, estado IFA/IFC equivalente, revisión, comentarios y cambios de diseño. Engineering posee madurez/liberación técnica del entregable; D14 posee documento/revisión/transmittal; Scope/Change/Contract mantienen sus autoridades.</w:t>
      </w:r>
    </w:p>
    <w:p>
      <w:pPr>
        <w:widowControl/>
      </w:pPr>
      <w:r>
        <w:rPr>
          <w:b w:val="0"/>
        </w:rPr>
        <w:t>Objetos: Design Package/Deliverable; Discipline/revision/status; Review/comment cycle; Technical query/RFI; Technical release reference.</w:t>
      </w:r>
    </w:p>
    <w:p>
      <w:pPr>
        <w:widowControl/>
      </w:pPr>
      <w:r>
        <w:rPr>
          <w:b w:val="0"/>
        </w:rPr>
        <w:t>Estado observado: No workspace operacional dedicado identificado; BIM/docs aportan primitivas, no lifecycle de diseño.</w:t>
      </w:r>
    </w:p>
    <w:p>
      <w:pPr>
        <w:widowControl/>
      </w:pPr>
      <w:r>
        <w:rPr>
          <w:b w:val="0"/>
        </w:rPr>
        <w:t>Evolución propuesta: BUILD_LATER · O2 · complejidad HIGH. Separar estado técnico de archivo documental; diseñar antes de implementar sin otro DMS.</w:t>
      </w:r>
    </w:p>
    <w:p>
      <w:pPr>
        <w:pStyle w:val="Heading2"/>
        <w:keepNext/>
        <w:keepLines/>
      </w:pPr>
      <w:r>
        <w:t>D14 · Document &amp; Information Management</w:t>
      </w:r>
    </w:p>
    <w:p>
      <w:pPr>
        <w:widowControl/>
      </w:pPr>
      <w:r>
        <w:rPr>
          <w:b w:val="0"/>
        </w:rPr>
        <w:t>Proveer registro/revisión/distribución/evidencia reutilizable a dominios sin construir un enterprise DMS innecesario. Reutilizar Document/revision/attachment/transmittal backend como autoridad documental. Dominio de negocio conserva decisión técnica/legal; DMS externo futuro conserva original cuando se use reference-only.</w:t>
      </w:r>
    </w:p>
    <w:p>
      <w:pPr>
        <w:widowControl/>
      </w:pPr>
      <w:r>
        <w:rPr>
          <w:b w:val="0"/>
        </w:rPr>
        <w:t>Objetos: Document/Revision; Attachment/source hash; Transmittal/distribution; Review/approval record; External DMS reference; Access classification.</w:t>
      </w:r>
    </w:p>
    <w:p>
      <w:pPr>
        <w:widowControl/>
      </w:pPr>
      <w:r>
        <w:rPr>
          <w:b w:val="0"/>
        </w:rPr>
        <w:t>Estado observado: Backend documents/transmittals/reviews/attachment security real; dedicated Document Approval/Submittals placeholder y Evidence live reachability por validar.</w:t>
      </w:r>
    </w:p>
    <w:p>
      <w:pPr>
        <w:widowControl/>
      </w:pPr>
      <w:r>
        <w:rPr>
          <w:b w:val="0"/>
        </w:rPr>
        <w:t>Evolución propuesta: CROSS_CUTTING · O1 · complejidad HIGH. Mover evidencia mínima antes de baselines evita bloqueos; conservar autoridad documental y no confundir review documental con decisión del dominio.</w:t>
      </w:r>
    </w:p>
    <w:p>
      <w:pPr>
        <w:pStyle w:val="Heading2"/>
        <w:keepNext/>
        <w:keepLines/>
      </w:pPr>
      <w:r>
        <w:t>D15 · Interface Management</w:t>
      </w:r>
    </w:p>
    <w:p>
      <w:pPr>
        <w:widowControl/>
      </w:pPr>
      <w:r>
        <w:rPr>
          <w:b w:val="0"/>
        </w:rPr>
        <w:t>Coordinar interfaces internas/externas técnicas, comerciales y temporales con owner, due date, dependencia y cierre. Interface posee coordinación/acuerdo y closure; fuente técnica/legal/schedule permanece en su dominio. Issues/risk conservan sus casos si una interfaz falla.</w:t>
      </w:r>
    </w:p>
    <w:p>
      <w:pPr>
        <w:widowControl/>
      </w:pPr>
      <w:r>
        <w:rPr>
          <w:b w:val="0"/>
        </w:rPr>
        <w:t>Objetos: Interface Register/Agreement; Internal/external interface; Dependency/required-by; Owner/due date; Closure evidence.</w:t>
      </w:r>
    </w:p>
    <w:p>
      <w:pPr>
        <w:widowControl/>
      </w:pPr>
      <w:r>
        <w:rPr>
          <w:b w:val="0"/>
        </w:rPr>
        <w:t>Estado observado: Sin registro operacional dedicado identificado; communications/issues placeholders no prueban lifecycle.</w:t>
      </w:r>
    </w:p>
    <w:p>
      <w:pPr>
        <w:widowControl/>
      </w:pPr>
      <w:r>
        <w:rPr>
          <w:b w:val="0"/>
        </w:rPr>
        <w:t>Evolución propuesta: CROSS_CUTTING · O2 · complejidad MEDIUM. Capacidad transversal ligera; coordina sin duplicar issue, riesgo, contrato o entregable técnico.</w:t>
      </w:r>
    </w:p>
    <w:p>
      <w:pPr>
        <w:pStyle w:val="Heading2"/>
        <w:keepNext/>
        <w:keepLines/>
      </w:pPr>
      <w:r>
        <w:t>D16 · Construction / Field Management</w:t>
      </w:r>
    </w:p>
    <w:p>
      <w:pPr>
        <w:widowControl/>
      </w:pPr>
      <w:r>
        <w:rPr>
          <w:b w:val="0"/>
        </w:rPr>
        <w:t>Coordinar workfronts, ejecución, diario de campo, recursos y cantidades fuente con release/constraints y referencias a controles aprobados. Field posee hechos de ejecución y release operacional del workfront; D02 posee alcance/definición de Work Package, D06 aprobación de medición, D17 calidad y D18 seguridad.</w:t>
      </w:r>
    </w:p>
    <w:p>
      <w:pPr>
        <w:widowControl/>
      </w:pPr>
      <w:r>
        <w:rPr>
          <w:b w:val="0"/>
        </w:rPr>
        <w:t>Objetos: Work Area/Workfront; Daily Report; Installed Quantity source; Labor/equipment/weather observation; AWP execution package/constraint; Inspection request/field issue.</w:t>
      </w:r>
    </w:p>
    <w:p>
      <w:pPr>
        <w:widowControl/>
      </w:pPr>
      <w:r>
        <w:rPr>
          <w:b w:val="0"/>
        </w:rPr>
        <w:t>Estado observado: AWP paquetes/constraints/drafts reales parciales; no diario/field suite completa. CWP/IWP/TWP/TOP actuales no prueban toda jerarquía CWA/EWP/PWP deseada.</w:t>
      </w:r>
    </w:p>
    <w:p>
      <w:pPr>
        <w:widowControl/>
      </w:pPr>
      <w:r>
        <w:rPr>
          <w:b w:val="0"/>
        </w:rPr>
        <w:t>Evolución propuesta: EXTEND_EXISTING · O3 · complejidad VERY_HIGH. Extender AWP y field facts con QA/HSE prerequisitos; no construir módulo aislado que posea alcance, schedule y costo.</w:t>
      </w:r>
    </w:p>
    <w:p>
      <w:pPr>
        <w:pStyle w:val="Heading2"/>
        <w:keepNext/>
        <w:keepLines/>
      </w:pPr>
      <w:r>
        <w:t>D17 · Quality Management</w:t>
      </w:r>
    </w:p>
    <w:p>
      <w:pPr>
        <w:widowControl/>
      </w:pPr>
      <w:r>
        <w:rPr>
          <w:b w:val="0"/>
        </w:rPr>
        <w:t>Controlar ITP, inspecciones, tests, NCR/corrective actions y punch/quality dossiers para release y entrega. Quality posee aceptación técnica QA/QC y cierre de NCR/punch; documentos/evidencias en D14 y commissioning tests específicos en D21 por referencia.</w:t>
      </w:r>
    </w:p>
    <w:p>
      <w:pPr>
        <w:widowControl/>
      </w:pPr>
      <w:r>
        <w:rPr>
          <w:b w:val="0"/>
        </w:rPr>
        <w:t>Objetos: ITP; Inspection/Test; NCR/Corrective Action; Punch Item; Quality dossier/turnover reference.</w:t>
      </w:r>
    </w:p>
    <w:p>
      <w:pPr>
        <w:widowControl/>
      </w:pPr>
      <w:r>
        <w:rPr>
          <w:b w:val="0"/>
        </w:rPr>
        <w:t>Estado observado: Punch List title-only; schedule/IFC quality checks no son dominio QA/QC de construcción.</w:t>
      </w:r>
    </w:p>
    <w:p>
      <w:pPr>
        <w:widowControl/>
      </w:pPr>
      <w:r>
        <w:rPr>
          <w:b w:val="0"/>
        </w:rPr>
        <w:t>Evolución propuesta: BUILD_LATER · O3 · complejidad HIGH. Dominio propio por autoridad de aceptación técnica; usar contratos de calidad mínimos antes de field release.</w:t>
      </w:r>
    </w:p>
    <w:p>
      <w:pPr>
        <w:pStyle w:val="Heading2"/>
        <w:keepNext/>
        <w:keepLines/>
      </w:pPr>
      <w:r>
        <w:t>D18 · HSE Management</w:t>
      </w:r>
    </w:p>
    <w:p>
      <w:pPr>
        <w:widowControl/>
      </w:pPr>
      <w:r>
        <w:rPr>
          <w:b w:val="0"/>
        </w:rPr>
        <w:t>Definir integración/control de observaciones, incidentes, permits-to-work y acciones HSE sin afirmar cumplimiento ni sustituir sistema especializado. Sistema HSE autorizado —externo si existe— posee incidentes/work permits y decisión safety; P&amp;Pmis solo referencias/readiness bajo contrato explícito hasta implementación autorizada.</w:t>
      </w:r>
    </w:p>
    <w:p>
      <w:pPr>
        <w:widowControl/>
      </w:pPr>
      <w:r>
        <w:rPr>
          <w:b w:val="0"/>
        </w:rPr>
        <w:t>Objetos: HSE observation/incident reference; Permit-to-work reference; HSE action; Leading/lagging indicator; HSE clearance evidence.</w:t>
      </w:r>
    </w:p>
    <w:p>
      <w:pPr>
        <w:widowControl/>
      </w:pPr>
      <w:r>
        <w:rPr>
          <w:b w:val="0"/>
        </w:rPr>
        <w:t>Estado observado: No dominio HSE operacional dedicado identificado; no inferirlo de permit-readiness estratégico.</w:t>
      </w:r>
    </w:p>
    <w:p>
      <w:pPr>
        <w:widowControl/>
      </w:pPr>
      <w:r>
        <w:rPr>
          <w:b w:val="0"/>
        </w:rPr>
        <w:t>Evolución propuesta: BUILD_LATER · O3 · complejidad HIGH. Frontera especializada/externa primero; contract mínimo de blocker/readiness antes de autorizar Field release.</w:t>
      </w:r>
    </w:p>
    <w:p>
      <w:pPr>
        <w:pStyle w:val="Heading2"/>
        <w:keepNext/>
        <w:keepLines/>
      </w:pPr>
      <w:r>
        <w:t>D19 · Project Controls &amp; Reporting</w:t>
      </w:r>
    </w:p>
    <w:p>
      <w:pPr>
        <w:widowControl/>
      </w:pPr>
      <w:r>
        <w:rPr>
          <w:b w:val="0"/>
        </w:rPr>
        <w:t>Integrar fuentes operacionales mediante período/corte, baseline bundle, reconciliación, forecast/performance y reporting sin poseer todos los datos. Integración posee contratos de período, lineage y snapshots/reportes emitidos. Scope/Schedule/Cost/Progress/Change/Risk/Issue/Contract conservan sus datos y aprobaciones. Dashboards no ejecutan reglas transaccionales ocultas.</w:t>
      </w:r>
    </w:p>
    <w:p>
      <w:pPr>
        <w:widowControl/>
      </w:pPr>
      <w:r>
        <w:rPr>
          <w:b w:val="0"/>
        </w:rPr>
        <w:t>Objetos: Project Control Baseline bundle; Control period/cutoff; Read model/report snapshot; KPI/EVM result; Reconciliation finding; Source lineage/refresh status.</w:t>
      </w:r>
    </w:p>
    <w:p>
      <w:pPr>
        <w:widowControl/>
      </w:pPr>
      <w:r>
        <w:rPr>
          <w:b w:val="0"/>
        </w:rPr>
        <w:t>Estado observado: EVM/reconciliation/dashboard/audit/exports reales parciales; GET dashboard puede escribir KPI/cache y no debe asumirse query inocua. Falta common period y reporting history plenamente gobernado.</w:t>
      </w:r>
    </w:p>
    <w:p>
      <w:pPr>
        <w:widowControl/>
      </w:pPr>
      <w:r>
        <w:rPr>
          <w:b w:val="0"/>
        </w:rPr>
        <w:t>Evolución propuesta: CROSS_CUTTING · O1 · complejidad VERY_HIGH. Project Controls es núcleo de integración pero no megadominio dueño de fuentes; separar read models de efectos laterales.</w:t>
      </w:r>
    </w:p>
    <w:p>
      <w:pPr>
        <w:pStyle w:val="Heading2"/>
        <w:keepNext/>
        <w:keepLines/>
      </w:pPr>
      <w:r>
        <w:t>D20 · Claims / Delay / Forensic Analysis</w:t>
      </w:r>
    </w:p>
    <w:p>
      <w:pPr>
        <w:widowControl/>
      </w:pPr>
      <w:r>
        <w:rPr>
          <w:b w:val="0"/>
        </w:rPr>
        <w:t>Especializar análisis de entitlement/causa/efecto/delay/daño y expediente contractual sin contaminar transacciones normales de control. Subdominio de D12 posee expediente/posición/revisión del claim; experto/autoridad contractual decide aceptación. P6/source schedules y hechos de Cost/Progress permanecen inmutables por referencia.</w:t>
      </w:r>
    </w:p>
    <w:p>
      <w:pPr>
        <w:widowControl/>
      </w:pPr>
      <w:r>
        <w:rPr>
          <w:b w:val="0"/>
        </w:rPr>
        <w:t>Objetos: Claim/Event/Notice; Entitlement item; Impact/cause-effect analysis; Forensic window/TIA reference; Concurrency/mitigation; Evidence dossier/source schedules.</w:t>
      </w:r>
    </w:p>
    <w:p>
      <w:pPr>
        <w:widowControl/>
      </w:pPr>
      <w:r>
        <w:rPr>
          <w:b w:val="0"/>
        </w:rPr>
        <w:t>Estado observado: Dossier y ventanas MIP3.7 implementados parciales; no todos métodos TIA/but-for/settlement ni aceptación legal demostrados.</w:t>
      </w:r>
    </w:p>
    <w:p>
      <w:pPr>
        <w:widowControl/>
      </w:pPr>
      <w:r>
        <w:rPr>
          <w:b w:val="0"/>
        </w:rPr>
        <w:t>Evolución propuesta: MERGE_WITH_ANOTHER_DOMAIN · O4 · complejidad VERY_HIGH. Conservar motores y fuente bajo Contract Administration; especialización navegable no equivale a otra autoridad de cambios/contratos.</w:t>
      </w:r>
    </w:p>
    <w:p>
      <w:pPr>
        <w:pStyle w:val="Heading2"/>
        <w:keepNext/>
        <w:keepLines/>
      </w:pPr>
      <w:r>
        <w:t>D21 · Commissioning</w:t>
      </w:r>
    </w:p>
    <w:p>
      <w:pPr>
        <w:widowControl/>
      </w:pPr>
      <w:r>
        <w:rPr>
          <w:b w:val="0"/>
        </w:rPr>
        <w:t>Controlar systemization, mechanical completion, pre-commissioning, pruebas y readiness técnica de entrega de sistemas. Commissioning posee secuencia/prueba y aceptación de sistema; Quality mantiene NCR/inspección y documento D14 contiene evidencia; no es asset master.</w:t>
      </w:r>
    </w:p>
    <w:p>
      <w:pPr>
        <w:widowControl/>
      </w:pPr>
      <w:r>
        <w:rPr>
          <w:b w:val="0"/>
        </w:rPr>
        <w:t>Objetos: System/Subsystem; Mechanical completion; Test pack/procedure/result; TWP/Turnover package reference; Punch classification; Commissioning acceptance.</w:t>
      </w:r>
    </w:p>
    <w:p>
      <w:pPr>
        <w:widowControl/>
      </w:pPr>
      <w:r>
        <w:rPr>
          <w:b w:val="0"/>
        </w:rPr>
        <w:t>Estado observado: TWP/TOP en taxonomía AWP, sin lifecycle dedicado de sistemas/tests probado.</w:t>
      </w:r>
    </w:p>
    <w:p>
      <w:pPr>
        <w:widowControl/>
      </w:pPr>
      <w:r>
        <w:rPr>
          <w:b w:val="0"/>
        </w:rPr>
        <w:t>Evolución propuesta: BUILD_LATER · O4 · complejidad VERY_HIGH. Separar prueba de sistema de Field completion y Handover; reutilizar dossiers y packages.</w:t>
      </w:r>
    </w:p>
    <w:p>
      <w:pPr>
        <w:pStyle w:val="Heading2"/>
        <w:keepNext/>
        <w:keepLines/>
      </w:pPr>
      <w:r>
        <w:t>D22 · Handover</w:t>
      </w:r>
    </w:p>
    <w:p>
      <w:pPr>
        <w:widowControl/>
      </w:pPr>
      <w:r>
        <w:rPr>
          <w:b w:val="0"/>
        </w:rPr>
        <w:t>Orquestar aceptación de entrega/custodia de alcance completado con dossier, punch y condiciones explícitas entre emisor/receptor. Workflow posee acta/decisión de entrega y condiciones; D21 posee prueba técnica, D23 readiness operativa, D25 transición de datos/activos y fuentes conservan sus evidencias.</w:t>
      </w:r>
    </w:p>
    <w:p>
      <w:pPr>
        <w:widowControl/>
      </w:pPr>
      <w:r>
        <w:rPr>
          <w:b w:val="0"/>
        </w:rPr>
        <w:t>Objetos: Handover package/dossier; Acceptance/rejection/conditions; Custody/recipient reference; Outstanding punch/action; Turnover milestone.</w:t>
      </w:r>
    </w:p>
    <w:p>
      <w:pPr>
        <w:widowControl/>
      </w:pPr>
      <w:r>
        <w:rPr>
          <w:b w:val="0"/>
        </w:rPr>
        <w:t>Estado observado: Referencias TOP/evidence parciales; no workflow de aceptación/custodia completo demostrado.</w:t>
      </w:r>
    </w:p>
    <w:p>
      <w:pPr>
        <w:widowControl/>
      </w:pPr>
      <w:r>
        <w:rPr>
          <w:b w:val="0"/>
        </w:rPr>
        <w:t>Evolución propuesta: BUILD_LATER · O4 · complejidad HIGH. Workflow de varios dominios, no módulo fuente dueño de todo; gate configurable y sin firma ficticia.</w:t>
      </w:r>
    </w:p>
    <w:p>
      <w:pPr>
        <w:pStyle w:val="Heading2"/>
        <w:keepNext/>
        <w:keepLines/>
      </w:pPr>
      <w:r>
        <w:t>D23 · Operational Readiness</w:t>
      </w:r>
    </w:p>
    <w:p>
      <w:pPr>
        <w:widowControl/>
      </w:pPr>
      <w:r>
        <w:rPr>
          <w:b w:val="0"/>
        </w:rPr>
        <w:t>Verificar preparación real para operar el resultado/activo, distinta del setup inicial del Project Workspace. Workflow agrega readiness pero cada área fuente conserva aprobación (operación, HSE, QA, commissioning, asset owner). Setup flags legacy no son autorización de operación.</w:t>
      </w:r>
    </w:p>
    <w:p>
      <w:pPr>
        <w:widowControl/>
      </w:pPr>
      <w:r>
        <w:rPr>
          <w:b w:val="0"/>
        </w:rPr>
        <w:t>Objetos: Operations readiness checklist/version; Training/competence evidence; O&amp;M manual/spares requirement; Operating permit/source reference; Readiness exception/acceptance.</w:t>
      </w:r>
    </w:p>
    <w:p>
      <w:pPr>
        <w:widowControl/>
      </w:pPr>
      <w:r>
        <w:rPr>
          <w:b w:val="0"/>
        </w:rPr>
        <w:t>Estado observado: Legacy operational setup gate existe, pero readiness de operaciones/activos no implementada como workflow.</w:t>
      </w:r>
    </w:p>
    <w:p>
      <w:pPr>
        <w:widowControl/>
      </w:pPr>
      <w:r>
        <w:rPr>
          <w:b w:val="0"/>
        </w:rPr>
        <w:t>Evolución propuesta: BUILD_LATER · O4 · complejidad HIGH. Prevenir falsa equivalencia ready flags = operación segura; evidencia y dueño de aceptación explícitos.</w:t>
      </w:r>
    </w:p>
    <w:p>
      <w:pPr>
        <w:pStyle w:val="Heading2"/>
        <w:keepNext/>
        <w:keepLines/>
      </w:pPr>
      <w:r>
        <w:t>D24 · Project Closeout</w:t>
      </w:r>
    </w:p>
    <w:p>
      <w:pPr>
        <w:widowControl/>
      </w:pPr>
      <w:r>
        <w:rPr>
          <w:b w:val="0"/>
        </w:rPr>
        <w:t>Cerrar obligaciones comerciales/financieras/técnicas/documentales y operación del Project Workspace manteniendo identidad e historia. Closeout posee agregación/checklist y decisión de cierre operacional. D12/Cost/Schedule/Docs/Claims conservan cierre de fuente; Enterprise conserva identidad y lifecycle canónico.</w:t>
      </w:r>
    </w:p>
    <w:p>
      <w:pPr>
        <w:widowControl/>
      </w:pPr>
      <w:r>
        <w:rPr>
          <w:b w:val="0"/>
        </w:rPr>
        <w:t>Objetos: Closeout checklist/package; Contract/financial/schedule/document closure references; Lessons learned; Residual obligations; Operational closure decision.</w:t>
      </w:r>
    </w:p>
    <w:p>
      <w:pPr>
        <w:widowControl/>
      </w:pPr>
      <w:r>
        <w:rPr>
          <w:b w:val="0"/>
        </w:rPr>
        <w:t>Estado observado: Closeout report/financial-closeout existentes parciales no equivalen a cierre integral del proyecto.</w:t>
      </w:r>
    </w:p>
    <w:p>
      <w:pPr>
        <w:widowControl/>
      </w:pPr>
      <w:r>
        <w:rPr>
          <w:b w:val="0"/>
        </w:rPr>
        <w:t>Evolución propuesta: EXTEND_EXISTING · O4 · complejidad HIGH. Extender reporte/cierre financiero como componentes de workflow integral, sin otro dueño de saldos ni delete del Project.</w:t>
      </w:r>
    </w:p>
    <w:p>
      <w:pPr>
        <w:pStyle w:val="Heading2"/>
        <w:keepNext/>
        <w:keepLines/>
      </w:pPr>
      <w:r>
        <w:t>D25 · Asset Handover / Transition</w:t>
      </w:r>
    </w:p>
    <w:p>
      <w:pPr>
        <w:widowControl/>
      </w:pPr>
      <w:r>
        <w:rPr>
          <w:b w:val="0"/>
        </w:rPr>
        <w:t>Transferir datos/deliverables y responsabilidad hacia Facility/Property/asset operations por referencias canónicas y aceptación explícita. Workflow posee transferencia y mapping aceptado; Facility/Property/asset owner posee destino/master de operación, no se crea otro Project ni se usa setup label como asset receipt.</w:t>
      </w:r>
    </w:p>
    <w:p>
      <w:pPr>
        <w:widowControl/>
      </w:pPr>
      <w:r>
        <w:rPr>
          <w:b w:val="0"/>
        </w:rPr>
        <w:t>Objetos: Asset transition package; Canonical Facility/Property/Workspace reference; Asset data/O&amp;M record reference; Recipient acceptance; Data quality/relationship mapping; Warranty/spares record reference.</w:t>
      </w:r>
    </w:p>
    <w:p>
      <w:pPr>
        <w:widowControl/>
      </w:pPr>
      <w:r>
        <w:rPr>
          <w:b w:val="0"/>
        </w:rPr>
        <w:t>Estado observado: Physical Workspace infrastructure real; Asset inventory/warranty/meter placeholders y Asset Creator/Receipt es label de setup legacy, no transición implementada.</w:t>
      </w:r>
    </w:p>
    <w:p>
      <w:pPr>
        <w:widowControl/>
      </w:pPr>
      <w:r>
        <w:rPr>
          <w:b w:val="0"/>
        </w:rPr>
        <w:t>Evolución propuesta: BUILD_LATER · O4 · complejidad HIGH. Workflow fronterizo a Facility/Property, no convertir macroproceso operacional en mantenimiento ni duplicar identidad física.</w:t>
      </w:r>
    </w:p>
    <w:p>
      <w:pPr>
        <w:pStyle w:val="Heading1"/>
        <w:keepNext/>
        <w:keepLines/>
      </w:pPr>
      <w:r>
        <w:t>8. Aplicabilidad Owner, Contractor y Direct Internal</w:t>
      </w:r>
    </w:p>
    <w:p>
      <w:pPr>
        <w:widowControl/>
      </w:pPr>
      <w:r>
        <w:rPr>
          <w:b w:val="0"/>
        </w:rPr>
        <w:t>La matriz completa asigna MANDATORY, OPTIONAL, CONDITIONAL o NOT_APPLICABLE a los 25 candidatos para cada governance model. Es política objetivo para revisión, no configuración runtime ya aplicada. Project Type, materialidad, estrategia y alcance determinan profundidad y controles.</w:t>
      </w:r>
    </w:p>
    <w:p>
      <w:pPr>
        <w:widowControl/>
      </w:pPr>
      <w:r>
        <w:rPr>
          <w:b w:val="0"/>
        </w:rPr>
        <w:t>CAPITAL_OWNER controla inversión, entrega, interfaces y riesgo del activo, con referencias vigentes FID/Post-FID cuando correspondan. Puede supervisar contratistas sin gestionar directamente crews. CONTRACTOR_DELIVERY controla alcance contractual, costo propio, productividad, ingresos/certificados, avisos, variaciones y obligaciones de entrega; contrato cliente de ingreso no es un compromiso de compra.</w:t>
      </w:r>
    </w:p>
    <w:p>
      <w:pPr>
        <w:widowControl/>
      </w:pPr>
      <w:r>
        <w:rPr>
          <w:b w:val="0"/>
        </w:rPr>
        <w:t>DIRECT_INTERNAL parte de autorización interna/sponsor y aplica controles proporcionales. No exige automáticamente FEL/FID completo, external procurement, commissioning ni AWP. Evidencia/contexto mínimo y seguridad sí se preservan en todas las rutas.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cantSplit/>
          <w:tblHeader w:val="true"/>
        </w:trPr>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Elemento</w:t>
            </w:r>
          </w:p>
        </w:tc>
        <w:tc>
          <w:tcPr>
            <w:tcW w:type="dxa" w:w="771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Definición / control propuesto</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Owner</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Autorización de inversión y condiciones; oversight contractual y receptor del activo.</w:t>
            </w:r>
          </w:p>
        </w:tc>
      </w:tr>
      <w:tr>
        <w:trPr>
          <w:cantSplit/>
        </w:trPr>
        <w:tc>
          <w:tcPr>
            <w:tcW w:type="dxa" w:w="244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Contractor</w:t>
            </w:r>
          </w:p>
        </w:tc>
        <w:tc>
          <w:tcPr>
            <w:tcW w:type="dxa" w:w="771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Award/contrato de cliente y movilización/NTP según política; ejecución de alcance y subcontratos diferenciados.</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Direct Internal</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Referencia de autorización interna/sponsor y controles adaptados al trabajo.</w:t>
            </w:r>
          </w:p>
        </w:tc>
      </w:tr>
      <w:tr>
        <w:trPr>
          <w:cantSplit/>
        </w:trPr>
        <w:tc>
          <w:tcPr>
            <w:tcW w:type="dxa" w:w="24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No aplicable</w:t>
            </w:r>
          </w:p>
        </w:tc>
        <w:tc>
          <w:tcPr>
            <w:tcW w:type="dxa" w:w="771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Razón y autoridad trazables; jamás objetos ficticios ni gates completados por defecto.</w:t>
            </w:r>
          </w:p>
        </w:tc>
      </w:tr>
    </w:tbl>
    <w:p>
      <w:pPr>
        <w:widowControl/>
      </w:pPr>
      <w:r>
        <w:rPr>
          <w:b w:val="0"/>
        </w:rPr>
      </w:r>
    </w:p>
    <w:p>
      <w:pPr>
        <w:pStyle w:val="Heading1"/>
        <w:keepNext/>
        <w:keepLines/>
      </w:pPr>
      <w:r>
        <w:t>9. ADMIN MODE y USER MODE</w:t>
      </w:r>
    </w:p>
    <w:p>
      <w:pPr>
        <w:widowControl/>
      </w:pPr>
      <w:r>
        <w:rPr>
          <w:b w:val="0"/>
        </w:rPr>
        <w:t>ADMIN configura/publica plantillas de Project Type, aplicabilidad, estados, roles/SoD, umbrales, mappings/catálogos, calendario, métodos de progreso, reglas de baseline/change/forecast, paquetes AWP y referencias de evidencia. Publicar configuración no aprueba ninguna transacción del proyecto.</w:t>
      </w:r>
    </w:p>
    <w:p>
      <w:pPr>
        <w:widowControl/>
      </w:pPr>
      <w:r>
        <w:rPr>
          <w:b w:val="0"/>
        </w:rPr>
        <w:t>USER prepara/importa, revisa, captura, solicita, aprueba bajo delegación y ejecuta comandos del dueño del dominio. Draft simple puede ser directo; las decisiones materiales tienen la separación requerida. Las consultas comunes muestran historia, configuración aplicable y lineage sin permitir escrituras por acceso al reporte.</w:t>
      </w:r>
    </w:p>
    <w:p>
      <w:pPr>
        <w:widowControl/>
      </w:pPr>
      <w:r>
        <w:rPr>
          <w:b w:val="0"/>
        </w:rPr>
        <w:t>Se reutilizan el catálogo de navegación y WorkspaceContext. El diseño no agrega otro router ni cambia el menú actual. La hoja 03 contiene la matriz de los 25 candidatos; la navegación ADMIN operacional específica es una brecha para una fase autorizada.</w:t>
      </w:r>
    </w:p>
    <w:p>
      <w:pPr>
        <w:pStyle w:val="Heading1"/>
        <w:keepNext/>
        <w:keepLines/>
      </w:pPr>
      <w:r>
        <w:t>10. Data ownership y modelos conceptuales</w:t>
      </w:r>
    </w:p>
    <w:p>
      <w:pPr>
        <w:widowControl/>
      </w:pPr>
      <w:r>
        <w:rPr>
          <w:b w:val="0"/>
        </w:rPr>
        <w:t>La hoja 05 define 26 objetos/facetas con propietario único. Quantity de alcance pertenece a Scope; hechos instalados a Field; aprobación/consolidación de medición por método a Progress. Work Package definition/baseline pertenece a Scope; release y hechos de ejecución son registros de Field que la referencian.</w:t>
      </w:r>
    </w:p>
    <w:p>
      <w:pPr>
        <w:widowControl/>
      </w:pPr>
      <w:r>
        <w:rPr>
          <w:b w:val="0"/>
        </w:rPr>
        <w:t>Objeto conceptual mínimo: identidad canónica, ID del agregado dentro del tenant/Workspace, revisión/configuración, estado, unidad/base temporal cuando aplique, origen/hash, actor y auditoría. IDs externos se guardan con namespace y versión; no se usan nombres para fusionar proyectos.</w:t>
      </w:r>
    </w:p>
    <w:p>
      <w:pPr>
        <w:widowControl/>
      </w:pPr>
      <w:r>
        <w:rPr>
          <w:b w:val="0"/>
        </w:rPr>
        <w:t>Las extensiones futuras deben evaluar las tablas existentes y su compatibilidad antes de proponer schema. No se crea un segundo maestro Project, Supplier, Contract/PO, baseline ni documento. Las tablas projects y sus FKs se conservan hasta un plan de transición acotado y autorizado.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92"/>
        <w:gridCol w:w="7574"/>
      </w:tblGrid>
      <w:tr>
        <w:trPr>
          <w:cantSplit/>
          <w:tblHeader w:val="true"/>
        </w:trPr>
        <w:tc>
          <w:tcPr>
            <w:tcW w:type="dxa" w:w="259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Grupo</w:t>
            </w:r>
          </w:p>
        </w:tc>
        <w:tc>
          <w:tcPr>
            <w:tcW w:type="dxa" w:w="757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Autoridad y consumo</w:t>
            </w:r>
          </w:p>
        </w:tc>
      </w:tr>
      <w:tr>
        <w:trPr>
          <w:cantSplit/>
        </w:trPr>
        <w:tc>
          <w:tcPr>
            <w:tcW w:type="dxa" w:w="259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Identidad / autorización</w:t>
            </w:r>
          </w:p>
        </w:tc>
        <w:tc>
          <w:tcPr>
            <w:tcW w:type="dxa" w:w="75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Enterprise Workspace / ruta de autorización vigente; operación consume referencia.</w:t>
            </w:r>
          </w:p>
        </w:tc>
      </w:tr>
      <w:tr>
        <w:trPr>
          <w:cantSplit/>
        </w:trPr>
        <w:tc>
          <w:tcPr>
            <w:tcW w:type="dxa" w:w="259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Scope / WBS / cantidades</w:t>
            </w:r>
          </w:p>
        </w:tc>
        <w:tc>
          <w:tcPr>
            <w:tcW w:type="dxa" w:w="75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Scope controla definición; mappings a PBS/WBS/CBS y actividades son versionados M:N.</w:t>
            </w:r>
          </w:p>
        </w:tc>
      </w:tr>
      <w:tr>
        <w:trPr>
          <w:cantSplit/>
        </w:trPr>
        <w:tc>
          <w:tcPr>
            <w:tcW w:type="dxa" w:w="259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Schedule / calendario</w:t>
            </w:r>
          </w:p>
        </w:tc>
        <w:tc>
          <w:tcPr>
            <w:tcW w:type="dxa" w:w="75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Registro de versión en Schedule; fechas CPM/float/critical de P6 importado.</w:t>
            </w:r>
          </w:p>
        </w:tc>
      </w:tr>
      <w:tr>
        <w:trPr>
          <w:cantSplit/>
        </w:trPr>
        <w:tc>
          <w:tcPr>
            <w:tcW w:type="dxa" w:w="259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Budget / actual</w:t>
            </w:r>
          </w:p>
        </w:tc>
        <w:tc>
          <w:tcPr>
            <w:tcW w:type="dxa" w:w="75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Cost; obligación legal fuente en Contract Administration y posting/pago fuera de este incremento.</w:t>
            </w:r>
          </w:p>
        </w:tc>
      </w:tr>
      <w:tr>
        <w:trPr>
          <w:cantSplit/>
        </w:trPr>
        <w:tc>
          <w:tcPr>
            <w:tcW w:type="dxa" w:w="259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Progress / Forecast / Change</w:t>
            </w:r>
          </w:p>
        </w:tc>
        <w:tc>
          <w:tcPr>
            <w:tcW w:type="dxa" w:w="75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Aprobación propia de cada agregado, con fuentes congeladas y receipts de implementación.</w:t>
            </w:r>
          </w:p>
        </w:tc>
      </w:tr>
      <w:tr>
        <w:trPr>
          <w:cantSplit/>
        </w:trPr>
        <w:tc>
          <w:tcPr>
            <w:tcW w:type="dxa" w:w="259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Document / paquete / claim</w:t>
            </w:r>
          </w:p>
        </w:tc>
        <w:tc>
          <w:tcPr>
            <w:tcW w:type="dxa" w:w="757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Document Controller / Scope definición y Field release / subdominio Claims de Contracts.</w:t>
            </w:r>
          </w:p>
        </w:tc>
      </w:tr>
    </w:tbl>
    <w:p>
      <w:pPr>
        <w:widowControl/>
      </w:pPr>
      <w:r>
        <w:rPr>
          <w:b w:val="0"/>
        </w:rPr>
      </w:r>
    </w:p>
    <w:p>
      <w:pPr>
        <w:pStyle w:val="Heading1"/>
        <w:keepNext/>
        <w:keepLines/>
      </w:pPr>
      <w:r>
        <w:t>11. Integraciones y eventos</w:t>
      </w:r>
    </w:p>
    <w:p>
      <w:pPr>
        <w:widowControl/>
      </w:pPr>
      <w:r>
        <w:rPr>
          <w:b w:val="0"/>
        </w:rPr>
        <w:t>La hoja 06 contiene 26 enlaces de datos/eventos con fuente, destino, dirección, referencia/snapshot/comando, autoridad y prerrequisitos. Ninguno autoriza escritura directa sobre tablas ajenas. Los ciclos de negocio no son ciclos del DAG de implementación.</w:t>
      </w:r>
    </w:p>
    <w:p>
      <w:pPr>
        <w:widowControl/>
      </w:pPr>
      <w:r>
        <w:rPr>
          <w:b w:val="0"/>
        </w:rPr>
        <w:t>El envelope de evento conceptual incluye event_id/type/schema, tenant/Workspace, aggregate/version, occurred_at UTC, source owner, actor/action, idempotency/correlation/causation, source hashes, policy y audit reference. Se emite tras una transacción autorizada exitosa; replays son idempotentes y no inventan aprobación.</w:t>
      </w:r>
    </w:p>
    <w:p>
      <w:pPr>
        <w:widowControl/>
      </w:pPr>
      <w:r>
        <w:rPr>
          <w:b w:val="0"/>
        </w:rPr>
        <w:t>Comenzar con registros de dominio/auditoría y llamadas de servicios dentro del monolito modular. No se crea infraestructura event bus. Los 13 nombres siguientes son contratos propuestos, no eventos emitidos en esta tarea.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816"/>
        <w:gridCol w:w="6350"/>
      </w:tblGrid>
      <w:tr>
        <w:trPr>
          <w:cantSplit/>
          <w:tblHeader w:val="true"/>
        </w:trPr>
        <w:tc>
          <w:tcPr>
            <w:tcW w:type="dxa" w:w="381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Evento</w:t>
            </w:r>
          </w:p>
        </w:tc>
        <w:tc>
          <w:tcPr>
            <w:tcW w:type="dxa" w:w="635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Dueño / límite</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PROJECT_ACTIVATED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Canonical Project Workspace lifecycle. References successful activation; does not create FID, schedule baseline or cost budget</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BASELINE_APPROVED</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Applicable Scope/Schedule/Cost baseline owner. Identify baseline type/version and aligned control baseline set, not all domains approved implicitly</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SCHEDULE_IMPORTED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Schedule Management. Includes source/P6 revision/file hash/data date; does not itself approve baseline or calculate CPM</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PROGRESS_PERIOD_CLOSED</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Progress Management. Method/source/denominator/unit/period and revisions; no rewrite on late entry</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CHANGE_SUBMITTED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Change Management. Not approved; no source baseline mutation</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CHANGE_APPROVED</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Change Management. Owners implement via guarded idempotent command and publish receipts</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FORECAST_APPROVED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Forecast. No investment authorization or approved source-baseline rewrite</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CONTRACT_AWARDED</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Contract Administration &amp; Commitments. Not emitted by RFQ highest-score summary; current commitment conditions checked</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RISK_ESCALATED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Operational Risk. Uncertain event remains Risk; issue conversion is explicit linked action</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ISSUE_ESCALATED</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Issue Management. Does not approve change or close associated risk automatically</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WORK_PACKAGE_RELEASED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Package owner / Construction. Optional AWP context; no universal package hierarchy assumed</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MECHANICAL_COMPLETION</w:t>
            </w:r>
          </w:p>
        </w:tc>
        <w:tc>
          <w:tcPr>
            <w:tcW w:type="dxa" w:w="635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Commissioning / Construction system owner. Does not imply commissioning accepted, permit satisfied or handover complete</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HANDOVER_ACCEPTED</w:t>
            </w:r>
          </w:p>
        </w:tc>
        <w:tc>
          <w:tcPr>
            <w:tcW w:type="dxa" w:w="63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Handover authority. Canonical Project retained; financial/claims closeout remain separate</w:t>
            </w:r>
          </w:p>
        </w:tc>
      </w:tr>
    </w:tbl>
    <w:p>
      <w:pPr>
        <w:widowControl/>
      </w:pPr>
      <w:r>
        <w:rPr>
          <w:b w:val="0"/>
        </w:rPr>
      </w:r>
    </w:p>
    <w:p>
      <w:pPr>
        <w:pStyle w:val="Heading1"/>
        <w:keepNext/>
        <w:keepLines/>
      </w:pPr>
      <w:r>
        <w:t>12. Frontera con Primavera P6</w:t>
      </w:r>
    </w:p>
    <w:p>
      <w:pPr>
        <w:widowControl/>
      </w:pPr>
      <w:r>
        <w:rPr>
          <w:b w:val="0"/>
        </w:rPr>
        <w:t>P6 permanece como motor CPM operacional externo: calcula fechas, ruta crítica/near-critical y float. P&amp;Pmis controla identidad, versiones, mapping, validación, aceptación de cortes y reporting. No propone CPM principal nativo, API directa P6, OPC ni sincronización automática.</w:t>
      </w:r>
    </w:p>
    <w:p>
      <w:pPr>
        <w:widowControl/>
      </w:pPr>
      <w:r>
        <w:rPr>
          <w:b w:val="0"/>
        </w:rPr>
        <w:t>El flujo objetivo es intercambio manual XML/XER: seleccionar versión/manifest → actualizar y calcular en P6 → importar a staging → validar/diff → revisar/aceptar nueva versión current o solicitar baseline → conservar historia/rollback. El exportador de roundtrip completo es futuro y debe declarar subset soportado; no se presenta un CSV/JSON como exportador P6.</w:t>
      </w:r>
    </w:p>
    <w:p>
      <w:pPr>
        <w:widowControl/>
      </w:pPr>
      <w:r>
        <w:rPr>
          <w:b w:val="0"/>
        </w:rPr>
        <w:t>Oracle documenta una asimetría relevante: XML transporta baselines, mientras XER no las intercambia de ese modo. Para baseline usar XML compatible o un artefacto aprobado separado y explícitamente vinculado al XER current. Esta restricción del formato no demuestra compatibilidad completa del importador local.</w:t>
      </w:r>
    </w:p>
    <w:p>
      <w:pPr>
        <w:widowControl/>
      </w:pPr>
      <w:r>
        <w:rPr>
          <w:b w:val="0"/>
        </w:rPr>
        <w:t>Validar IDs externos/namespace, WBS, relaciones FS/SS/FF/SF y lag, vínculos externos no resueltos, calendarios/turnos/excepciones, unidades, restricciones, data date, timezone y fechas planned/actual/remaining. No asumir 8 h/día; unknown bloquea conversiones dependientes. Critical/float importados no se sustituyen silenciosamente por una heurística local.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cantSplit/>
          <w:tblHeader w:val="true"/>
        </w:trPr>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Elemento</w:t>
            </w:r>
          </w:p>
        </w:tc>
        <w:tc>
          <w:tcPr>
            <w:tcW w:type="dxa" w:w="771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Definición / control propuesto</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Baseline</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Versión aprobada inmutable, independiente del update.</w:t>
            </w:r>
          </w:p>
        </w:tc>
      </w:tr>
      <w:tr>
        <w:trPr>
          <w:cantSplit/>
        </w:trPr>
        <w:tc>
          <w:tcPr>
            <w:tcW w:type="dxa" w:w="244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Current</w:t>
            </w:r>
          </w:p>
        </w:tc>
        <w:tc>
          <w:tcPr>
            <w:tcW w:type="dxa" w:w="771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Último update aceptado con Data Date explícito; importar no aprueba baseline.</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Forecast</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Escenario/proyección explícito; no se declara resultado CPM P6 si no fue calculado/importado allí.</w:t>
            </w:r>
          </w:p>
        </w:tc>
      </w:tr>
      <w:tr>
        <w:trPr>
          <w:cantSplit/>
        </w:trPr>
        <w:tc>
          <w:tcPr>
            <w:tcW w:type="dxa" w:w="24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Rollback</w:t>
            </w:r>
          </w:p>
        </w:tc>
        <w:tc>
          <w:tcPr>
            <w:tcW w:type="dxa" w:w="771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Reversión controlada de pointer o nueva revisión; no borrar archivos/aprobaciones históricas.</w:t>
            </w:r>
          </w:p>
        </w:tc>
      </w:tr>
    </w:tbl>
    <w:p>
      <w:pPr>
        <w:widowControl/>
      </w:pPr>
      <w:r>
        <w:rPr>
          <w:b w:val="0"/>
        </w:rPr>
      </w:r>
    </w:p>
    <w:p>
      <w:pPr>
        <w:widowControl/>
      </w:pPr>
      <w:r>
        <w:rPr>
          <w:b w:val="0"/>
        </w:rPr>
        <w:t>Fuente primaria consultada el 19-10-2026: Oracle, Import/Export File Formats. https://docs.oracle.com/cd/F51303_01/English/admin/p6_pro_importing_exporting/import_export_file_formats.htm</w:t>
      </w:r>
    </w:p>
    <w:p>
      <w:pPr>
        <w:widowControl/>
      </w:pPr>
      <w:r>
        <w:rPr>
          <w:b w:val="0"/>
          <w:sz w:val="18"/>
        </w:rPr>
        <w:t>Evidencia inspeccionada: backend/app/services/schedule_ingestion.py:402; backend/app/services/schedule_ingestion.py:1612; backend/app/services/schedule_ingestion.py:1731.</w:t>
      </w:r>
    </w:p>
    <w:p>
      <w:pPr>
        <w:pStyle w:val="Heading1"/>
        <w:keepNext/>
        <w:keepLines/>
      </w:pPr>
      <w:r>
        <w:t>13. Gobernanza de baselines y presupuesto</w:t>
      </w:r>
    </w:p>
    <w:p>
      <w:pPr>
        <w:widowControl/>
      </w:pPr>
      <w:r>
        <w:rPr>
          <w:b w:val="0"/>
        </w:rPr>
        <w:t>Un Control Baseline Set referencia versiones aprobadas separadas de Scope, Schedule, Cost y Resource opcional, junto con mapping/configuración. Aprobación parcial es visible; no se transforma en aprobación global. Original, approved revision, current control, forecast, actual e historia no son sinónimos.</w:t>
      </w:r>
    </w:p>
    <w:p>
      <w:pPr>
        <w:widowControl/>
      </w:pPr>
      <w:r>
        <w:rPr>
          <w:b w:val="0"/>
        </w:rPr>
        <w:t>Original Budget es la primera versión aprobada. Current Budget deriva de cambios/transferencias aprobados e implementados con lineage. BAC identifica el presupuesto aplicable a medición del desempeño, no es automáticamente capital FID, strategic envelope, reserva o saldo bancario.</w:t>
      </w:r>
    </w:p>
    <w:p>
      <w:pPr>
        <w:widowControl/>
      </w:pPr>
      <w:r>
        <w:rPr>
          <w:b w:val="0"/>
        </w:rPr>
        <w:t>Scope Item/cantidad/unidad/método y revisiones se alinean M:N con PBS/WBS/CBS/control accounts/actividades/contratos, sin asumir jerarquías idénticas. Scope baseline no publica Cost automáticamente. Cambios de moneda/FX, redondeo, inclusión de contingencia y reservas requieren política, fecha/fuente y reconciliación.</w:t>
      </w:r>
    </w:p>
    <w:p>
      <w:pPr>
        <w:widowControl/>
      </w:pPr>
      <w:r>
        <w:rPr>
          <w:b w:val="0"/>
        </w:rPr>
        <w:t>La importación legacy puede actualizar baseline_start y materializar Budget; esa conducta se identifica como brecha, no arquitectura objetivo. El futuro endurecimiento preservará historia y canalizará propuestas al dueño autorizado en lugar de sobrescribir aprobaciones.</w:t>
      </w:r>
    </w:p>
    <w:p>
      <w:pPr>
        <w:pStyle w:val="Heading1"/>
        <w:keepNext/>
        <w:keepLines/>
      </w:pPr>
      <w:r>
        <w:t>14. Change Management transversal</w:t>
      </w:r>
    </w:p>
    <w:p>
      <w:pPr>
        <w:widowControl/>
      </w:pPr>
      <w:r>
        <w:rPr>
          <w:b w:val="0"/>
        </w:rPr>
        <w:t>Un solo registro Change enlaza origen, causa, alcance, dominios afectados, evaluaciones, evidencia, versión de política y decisión. Assessment de costo/plazo/riesgo/contrato no implica aprobación. Change aprobado tampoco implica implementación completada.</w:t>
      </w:r>
    </w:p>
    <w:p>
      <w:pPr>
        <w:widowControl/>
      </w:pPr>
      <w:r>
        <w:rPr>
          <w:b w:val="0"/>
        </w:rPr>
        <w:t>El dueño de cada fuente aplica comandos idempotentes autorizados, con revisión esperada y receipt de nueva versión. La coordinación registra IMPLEMENTED/PARTIAL/FAILED según respuestas, no falsifica atomicidad interdominio. Un fallo requiere remediación/compensación gobernada, sin alterar baseline histórica ni aprobar automáticamente variación legal.</w:t>
      </w:r>
    </w:p>
    <w:p>
      <w:pPr>
        <w:widowControl/>
      </w:pPr>
      <w:r>
        <w:rPr>
          <w:b w:val="0"/>
        </w:rPr>
        <w:t>Variaciones de contrato pertenecen a Contract Administration; evaluación consolidada a Change. Rebaselining solo por decisión explícita de baseline y trazabilidad de antes/después. Issues, NCR o claims pueden originar un cambio, pero no se fusionan sus autoridades.</w:t>
      </w:r>
    </w:p>
    <w:p>
      <w:pPr>
        <w:pStyle w:val="Heading1"/>
        <w:keepNext/>
        <w:keepLines/>
      </w:pPr>
      <w:r>
        <w:t>15. Procurement, Commitments y Contract Administration</w:t>
      </w:r>
    </w:p>
    <w:p>
      <w:pPr>
        <w:widowControl/>
      </w:pPr>
      <w:r>
        <w:rPr>
          <w:b w:val="0"/>
        </w:rPr>
        <w:t>Resolución conceptual: Procurement posee requisición, sourcing, RFQ/bids, evaluación y recomendación de adjudicación. Contract Administration &amp; Commitments es un dominio cohesivo distinto que reutiliza Contract, PO/subcontract, SOV, notices, certificaciones/recepciones y obligación legal. Cost consume referencias reconciliadas, no emite otra PO.</w:t>
      </w:r>
    </w:p>
    <w:p>
      <w:pPr>
        <w:widowControl/>
      </w:pPr>
      <w:r>
        <w:rPr>
          <w:b w:val="0"/>
        </w:rPr>
        <w:t>Vendors/Partners se tratan como shared party/reference data futura reutilizable, no nuevos maestros porque existan dos menús. Strategic Commercial Strategy y Funds permanecen estratégicos; su handoff aporta contexto/constraints, no transacciones de compra ni gasto. Una recomendación con mejor score RFQ no constituye award aprobado.</w:t>
      </w:r>
    </w:p>
    <w:p>
      <w:pPr>
        <w:widowControl/>
      </w:pPr>
      <w:r>
        <w:rPr>
          <w:b w:val="0"/>
        </w:rPr>
        <w:t>Presupuesto aprobado, compromiso bruto, compromiso neto pendiente, actual reconocido, accrual y Funding son medidas distintas. PO incluido o call-off consume exposición del padre sin volver a sumarla; PO ADDITIVE añade solo obligación incremental. Cancelación, cumplimiento y liquidación tienen una política explícita.</w:t>
      </w:r>
    </w:p>
    <w:p>
      <w:pPr>
        <w:widowControl/>
      </w:pPr>
      <w:r>
        <w:rPr>
          <w:b w:val="0"/>
        </w:rPr>
        <w:t>Certificado, recepción, factura de referencia y accrual pueden representar el mismo hecho económico. Se requiere clave de origen/proyecto/moneda/línea y reglas de matching/reversión para contabilizar una vez. No se deduce un actual dos veces del compromiso. Certificación no es pago bancario; ERP/Accounting/Treasury quedan fuera de esta fase.</w:t>
      </w:r>
    </w:p>
    <w:p>
      <w:pPr>
        <w:widowControl/>
      </w:pPr>
      <w:r>
        <w:rPr>
          <w:b w:val="0"/>
        </w:rPr>
        <w:t>La agregación actual localizada suma Contract.value y PO.committed_amount, y maneja committed/executed sin semántica uniforme de neteo. Esto prueba exposición de diseño, no que se hayan duplicado valores reales de producción. Antes de ampliar el uso vivo deben definirse y probarse casos de call-off, included, additive, cancelación, accrual/reversal y monedas.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cantSplit/>
          <w:tblHeader w:val="true"/>
        </w:trPr>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Elemento</w:t>
            </w:r>
          </w:p>
        </w:tc>
        <w:tc>
          <w:tcPr>
            <w:tcW w:type="dxa" w:w="771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Definición / control propuesto</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KEEP STRATEGIC</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Commercial strategy, Funds/readiness, FID y restricciones upstream.</w:t>
            </w:r>
          </w:p>
        </w:tc>
      </w:tr>
      <w:tr>
        <w:trPr>
          <w:cantSplit/>
        </w:trPr>
        <w:tc>
          <w:tcPr>
            <w:tcW w:type="dxa" w:w="244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REUSE OPERATIONAL</w:t>
            </w:r>
          </w:p>
        </w:tc>
        <w:tc>
          <w:tcPr>
            <w:tcW w:type="dxa" w:w="771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RFQ, Contract, PO, SOV, notices, certificados y recepciones existentes.</w:t>
            </w:r>
          </w:p>
        </w:tc>
      </w:tr>
      <w:tr>
        <w:trPr>
          <w:cantSplit/>
        </w:trPr>
        <w:tc>
          <w:tcPr>
            <w:tcW w:type="dxa" w:w="244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SHARED MASTER DATA</w:t>
            </w:r>
          </w:p>
        </w:tc>
        <w:tc>
          <w:tcPr>
            <w:tcW w:type="dxa" w:w="771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Identidad de parties/Vendors/Partners, con contexto y permisos; no string duplicado como maestro nuevo.</w:t>
            </w:r>
          </w:p>
        </w:tc>
      </w:tr>
      <w:tr>
        <w:trPr>
          <w:cantSplit/>
        </w:trPr>
        <w:tc>
          <w:tcPr>
            <w:tcW w:type="dxa" w:w="24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DEPRECATE / FUTURE</w:t>
            </w:r>
          </w:p>
        </w:tc>
        <w:tc>
          <w:tcPr>
            <w:tcW w:type="dxa" w:w="771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Solo tras revisar consumidores y paridad. Ningún componente se elimina aquí.</w:t>
            </w:r>
          </w:p>
        </w:tc>
      </w:tr>
    </w:tbl>
    <w:p>
      <w:pPr>
        <w:widowControl/>
      </w:pPr>
      <w:r>
        <w:rPr>
          <w:b w:val="0"/>
        </w:rPr>
      </w:r>
    </w:p>
    <w:p>
      <w:pPr>
        <w:widowControl/>
      </w:pPr>
      <w:r>
        <w:rPr>
          <w:b w:val="0"/>
          <w:sz w:val="18"/>
        </w:rPr>
        <w:t>Evidencia inspeccionada: backend/app/services/integrated_control.py:392; backend/app/modules/post_fid_governance/service.py:499; docs/validation/operational-master-architecture-20261019/procurement-handoff-inventory.json.</w:t>
      </w:r>
    </w:p>
    <w:p>
      <w:pPr>
        <w:pStyle w:val="Heading1"/>
        <w:keepNext/>
        <w:keepLines/>
      </w:pPr>
      <w:r>
        <w:t>16. AWP opcional y ejecución por paquetes</w:t>
      </w:r>
    </w:p>
    <w:p>
      <w:pPr>
        <w:widowControl/>
      </w:pPr>
      <w:r>
        <w:rPr>
          <w:b w:val="0"/>
        </w:rPr>
        <w:t>AWP se habilita por Project Type/estrategia de ejecución y configuración publicada. CWA agrupa CWP; EWP/PWP aportan dependencias de ingeniería/materiales; IWP representa alcance ejecutable. Las relaciones son tipadas y pueden ser M:N o paralelas, no una cadena lineal obligatoria.</w:t>
      </w:r>
    </w:p>
    <w:p>
      <w:pPr>
        <w:widowControl/>
      </w:pPr>
      <w:r>
        <w:rPr>
          <w:b w:val="0"/>
        </w:rPr>
        <w:t>TWP conserva significado configurado de test/turnover y puede abarcar varios sistemas/paquetes; no se afirma que sea un nivel universal de CII ni hijo obligatorio de IWP. La referencia primaria CII reconoce, entre otros, CWP/EWP/PWP/SWP/IWP. El diseño de P&amp;Pmis debe adaptar estos conceptos a su alcance real.</w:t>
      </w:r>
    </w:p>
    <w:p>
      <w:pPr>
        <w:widowControl/>
      </w:pPr>
      <w:r>
        <w:rPr>
          <w:b w:val="0"/>
        </w:rPr>
        <w:t>Scope conserva definición/baseline del paquete; Field posee release y hechos. Liberar requiere evidencia vigente de alcance, cronograma/look-ahead, materiales, revisiones técnicas, permisos, QA/HSE e issues aplicables. Field no resuelve restricciones de otros dueños localmente. AWP actual es parcial y no demuestra toda esta arquitectura.</w:t>
      </w:r>
    </w:p>
    <w:p>
      <w:pPr>
        <w:widowControl/>
      </w:pPr>
      <w:r>
        <w:rPr>
          <w:b w:val="0"/>
        </w:rPr>
        <w:t>Fuente primaria consultada el 19-10-2026: Construction Industry Institute, AWP Overview. https://www.construction-institute.org/awp-overview</w:t>
      </w:r>
    </w:p>
    <w:p>
      <w:pPr>
        <w:pStyle w:val="Heading1"/>
        <w:keepNext/>
        <w:keepLines/>
      </w:pPr>
      <w:r>
        <w:t>17. BIM, cantidades, APU y 4D</w:t>
      </w:r>
    </w:p>
    <w:p>
      <w:pPr>
        <w:widowControl/>
      </w:pPr>
      <w:r>
        <w:rPr>
          <w:b w:val="0"/>
        </w:rPr>
        <w:t>Conservar el viewer web-ifc/Three.js, explorador/propiedades, selección GUID/ExpressID, hashes de archivo, tabla de cantidades, asignación de códigos y APU. Geometría/modelo fuente no reemplaza ítem de alcance aprobado ni presupuesto Cost. raw_data.budget_item_assignment es evidencia de asignación, no publicación financiera automática.</w:t>
      </w:r>
    </w:p>
    <w:p>
      <w:pPr>
        <w:widowControl/>
      </w:pPr>
      <w:r>
        <w:rPr>
          <w:b w:val="0"/>
        </w:rPr>
        <w:t>El mapping modelo-versión-objeto ↔ Scope Item ↔ actividad-versión debe ser persistente, auditable, M:N y tolerar elementos sin asociación o revisiones removidas. Una simulación 4D consume fechas aceptadas o escenario declarado y no cambia el cronograma actual.</w:t>
      </w:r>
    </w:p>
    <w:p>
      <w:pPr>
        <w:widowControl/>
      </w:pPr>
      <w:r>
        <w:rPr>
          <w:b w:val="0"/>
        </w:rPr>
        <w:t>Las cantidades de diseño, ejecutadas, aceptadas, certificadas y usadas para earned value son facetas diferentes. Unidad, método, tolerancia, fuente y aprobación evitan intercambiar m², m³, horas y porcentajes. No se presenta .xls binario ni .mpp como parser validado solo porque el detector admita su extensión.</w:t>
      </w:r>
    </w:p>
    <w:p>
      <w:pPr>
        <w:widowControl/>
      </w:pPr>
      <w:r>
        <w:rPr>
          <w:b w:val="0"/>
          <w:sz w:val="18"/>
        </w:rPr>
        <w:t>Evidencia inspeccionada: backend/app/api/v1/routers/projects.py:1165; frontend/src/lib/bimBudget.ts:115.</w:t>
      </w:r>
    </w:p>
    <w:p>
      <w:pPr>
        <w:pStyle w:val="Heading1"/>
        <w:keepNext/>
        <w:keepLines/>
      </w:pPr>
      <w:r>
        <w:t>18. Seguridad, roles y segregación de funciones</w:t>
      </w:r>
    </w:p>
    <w:p>
      <w:pPr>
        <w:widowControl/>
      </w:pPr>
      <w:r>
        <w:rPr>
          <w:b w:val="0"/>
        </w:rPr>
        <w:t>Reutilizar tenant/Workspace-scoped RBAC, membresías, permisos de acción/módulo y seguridad de documentos. Listas, exportaciones y reportes validan el mismo alcance; un reporte no debe filtrar datos de otra organización ni saltar controles de fuente.</w:t>
      </w:r>
    </w:p>
    <w:p>
      <w:pPr>
        <w:widowControl/>
      </w:pPr>
      <w:r>
        <w:rPr>
          <w:b w:val="0"/>
        </w:rPr>
        <w:t>Los comandos verifican estado canónico activo, ruta/autorización, condiciones vigentes, policy/config, ETag/revisión e idempotencia. Una operación staged o de larga duración revalida al promover. El acceso ADMIN no equivale a autoridad para adjudicar o aceptar una medición.</w:t>
      </w:r>
    </w:p>
    <w:p>
      <w:pPr>
        <w:widowControl/>
      </w:pPr>
      <w:r>
        <w:rPr>
          <w:b w:val="0"/>
        </w:rPr>
        <w:t>SoD se aplica proporcionalmente: entrada de draft simple no exige cuatro ojos; aprobación material sí requiere actor independiente y umbrales publicados. Los roles son responsabilidades scoped propuestas, no nuevos superroles globales.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12"/>
        <w:gridCol w:w="3096"/>
        <w:gridCol w:w="5558"/>
      </w:tblGrid>
      <w:tr>
        <w:trPr>
          <w:cantSplit/>
          <w:tblHeader w:val="true"/>
        </w:trPr>
        <w:tc>
          <w:tcPr>
            <w:tcW w:type="dxa" w:w="151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Decisión</w:t>
            </w:r>
          </w:p>
        </w:tc>
        <w:tc>
          <w:tcPr>
            <w:tcW w:type="dxa" w:w="309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Prepara</w:t>
            </w:r>
          </w:p>
        </w:tc>
        <w:tc>
          <w:tcPr>
            <w:tcW w:type="dxa" w:w="555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Aprueba / regla</w:t>
            </w:r>
          </w:p>
        </w:tc>
      </w:tr>
      <w:tr>
        <w:trPr>
          <w:cantSplit/>
        </w:trPr>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Baseline</w:t>
            </w:r>
          </w:p>
        </w:tc>
        <w:tc>
          <w:tcPr>
            <w:tcW w:type="dxa" w:w="309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Planner/Scope/Cost preparer</w:t>
            </w:r>
          </w:p>
        </w:tc>
        <w:tc>
          <w:tcPr>
            <w:tcW w:type="dxa" w:w="555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Independent applicable baseline approver. Preparer cannot approve own material baseline; source owners implement only approved versions.</w:t>
            </w:r>
          </w:p>
        </w:tc>
      </w:tr>
      <w:tr>
        <w:trPr>
          <w:cantSplit/>
        </w:trPr>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Progress</w:t>
            </w:r>
          </w:p>
        </w:tc>
        <w:tc>
          <w:tcPr>
            <w:tcW w:type="dxa" w:w="309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Field/Progress Engineer capture</w:t>
            </w:r>
          </w:p>
        </w:tc>
        <w:tc>
          <w:tcPr>
            <w:tcW w:type="dxa" w:w="555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Independent progress approval where configured. Simple draft entry does not need four-eyes; approved earned/physical reporting does.</w:t>
            </w:r>
          </w:p>
        </w:tc>
      </w:tr>
      <w:tr>
        <w:trPr>
          <w:cantSplit/>
        </w:trPr>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Change</w:t>
            </w:r>
          </w:p>
        </w:tc>
        <w:tc>
          <w:tcPr>
            <w:tcW w:type="dxa" w:w="309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Change originator/impact assessor</w:t>
            </w:r>
          </w:p>
        </w:tc>
        <w:tc>
          <w:tcPr>
            <w:tcW w:type="dxa" w:w="555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Independent delegated change authority. Authority thresholds/scope and affected owner receipts; submission not implementation.</w:t>
            </w:r>
          </w:p>
        </w:tc>
      </w:tr>
      <w:tr>
        <w:trPr>
          <w:cantSplit/>
        </w:trPr>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Forecast</w:t>
            </w:r>
          </w:p>
        </w:tc>
        <w:tc>
          <w:tcPr>
            <w:tcW w:type="dxa" w:w="309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Forecast preparer</w:t>
            </w:r>
          </w:p>
        </w:tc>
        <w:tc>
          <w:tcPr>
            <w:tcW w:type="dxa" w:w="555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Independent delegated forecast approver. Approved assumptions/inputs frozen; no authorization to rewrite baseline.</w:t>
            </w:r>
          </w:p>
        </w:tc>
      </w:tr>
      <w:tr>
        <w:trPr>
          <w:cantSplit/>
        </w:trPr>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Contract award</w:t>
            </w:r>
          </w:p>
        </w:tc>
        <w:tc>
          <w:tcPr>
            <w:tcW w:type="dxa" w:w="309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Procurement evaluator/recommender</w:t>
            </w:r>
          </w:p>
        </w:tc>
        <w:tc>
          <w:tcPr>
            <w:tcW w:type="dxa" w:w="555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Independent delegated award/contract authority. Highest score is not approval; applicable Post-FID commitment conditions enforced.</w:t>
            </w:r>
          </w:p>
        </w:tc>
      </w:tr>
      <w:tr>
        <w:trPr>
          <w:cantSplit/>
        </w:trPr>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Claim</w:t>
            </w:r>
          </w:p>
        </w:tc>
        <w:tc>
          <w:tcPr>
            <w:tcW w:type="dxa" w:w="309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Claims analyst/contract submitter</w:t>
            </w:r>
          </w:p>
        </w:tc>
        <w:tc>
          <w:tcPr>
            <w:tcW w:type="dxa" w:w="555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Independent authorized claim submission/settlement authority. Entitlement/quantum/release decision separate from ordinary cost reporting.</w:t>
            </w:r>
          </w:p>
        </w:tc>
      </w:tr>
      <w:tr>
        <w:trPr>
          <w:cantSplit/>
        </w:trPr>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Closeout</w:t>
            </w:r>
          </w:p>
        </w:tc>
        <w:tc>
          <w:tcPr>
            <w:tcW w:type="dxa" w:w="309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Domain closeout coordinators</w:t>
            </w:r>
          </w:p>
        </w:tc>
        <w:tc>
          <w:tcPr>
            <w:tcW w:type="dxa" w:w="555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Independent Project closeout authority. Outstanding contractual/claims/financial/handover conditions explicit; canonical identity retained.</w:t>
            </w:r>
          </w:p>
        </w:tc>
      </w:tr>
    </w:tbl>
    <w:p>
      <w:pPr>
        <w:widowControl/>
      </w:pPr>
      <w:r>
        <w:rPr>
          <w:b w:val="0"/>
        </w:rPr>
      </w:r>
    </w:p>
    <w:p>
      <w:pPr>
        <w:pStyle w:val="Heading1"/>
        <w:keepNext/>
        <w:keepLines/>
      </w:pPr>
      <w:r>
        <w:t>19. Reporting, período común y forecast</w:t>
      </w:r>
    </w:p>
    <w:p>
      <w:pPr>
        <w:widowControl/>
      </w:pPr>
      <w:r>
        <w:rPr>
          <w:b w:val="0"/>
        </w:rPr>
        <w:t>Un calendario común identifica período, inicio/cutoff, timezone, data date schedule y revisión. OPEN permite capturas; REVIEW congela candidatos; CLOSED fija fuentes aprobadas/reconciliadas; PUBLISHED emite bundle/reporte inmutable. Datos tardíos usan ajustes o reapertura autorizada con nueva revisión; el publicado anterior se conserva.</w:t>
      </w:r>
    </w:p>
    <w:p>
      <w:pPr>
        <w:widowControl/>
      </w:pPr>
      <w:r>
        <w:rPr>
          <w:b w:val="0"/>
        </w:rPr>
        <w:t>Data Date P6, fecha del hecho, recepción, contabilización y cutoff no se fuerzan iguales. El forecast declara fuentes abiertas/cerradas y excepciones de corte. Mezclas no reconciliadas son visibles, no porcentajes aparentemente consistentes.</w:t>
      </w:r>
    </w:p>
    <w:p>
      <w:pPr>
        <w:widowControl/>
      </w:pPr>
      <w:r>
        <w:rPr>
          <w:b w:val="0"/>
        </w:rPr>
        <w:t>Physical progress, schedule percent, cost percent, earned progress, quantity-based, weighted y milestone mantienen método/denominador/unidad/aprobación distintos. EV deriva de una baseline de medición y regla aprobadas; no de cualquier porcentaje disponible. PV usa distribución temporal aprobada y AC una base de costo declarada.</w:t>
      </w:r>
    </w:p>
    <w:p>
      <w:pPr>
        <w:widowControl/>
      </w:pPr>
      <w:r>
        <w:rPr>
          <w:b w:val="0"/>
        </w:rPr>
        <w:t>ETC explicita alcance remanente, precios/productividad, cambios/riesgos y método bottom-up/estadístico. EAC=actual reconocido+ETC aprobado bajo la misma base. Compromiso neto no se vuelve a sumar si ya está dentro del ETC; contingencia/reserva se incluye una sola vez. Forecast time requiere supuestos o resultado P6 importado; no convierte una heurística CPI/SPI en nueva baseline.</w:t>
      </w:r>
    </w:p>
    <w:p>
      <w:pPr>
        <w:widowControl/>
      </w:pPr>
      <w:r>
        <w:rPr>
          <w:b w:val="0"/>
        </w:rPr>
        <w:t>Look-ahead predeterminado de cuatro semanas, configurable, consume current schedule y restricciones vigentes de workfront/materiales/ingeniería/permisos/issues. Indicadores de costo/plazo, curvas, dashboards y exportaciones se reproducen por snapshot y versión de fórmula. Publication no equivale a aprobación de inversión.</w:t>
      </w:r>
    </w:p>
    <w:p>
      <w:pPr>
        <w:pStyle w:val="Heading1"/>
        <w:keepNext/>
        <w:keepLines/>
      </w:pPr>
      <w:r>
        <w:t>20. Checkpoints operacionales</w:t>
      </w:r>
    </w:p>
    <w:p>
      <w:pPr>
        <w:widowControl/>
      </w:pPr>
      <w:r>
        <w:rPr>
          <w:b w:val="0"/>
        </w:rPr>
        <w:t>Se definen seis checkpoints de ejecución, distintos de Strategic Gates/FID. Cada decisión consume aprobación de sus fuentes, mantiene bloqueos explícitos y aplica tailoring. No se ejecutó ninguno en este incremento.</w:t>
      </w:r>
    </w:p>
    <w:p>
      <w:pPr>
        <w:pStyle w:val="Heading2"/>
        <w:keepNext/>
        <w:keepLines/>
      </w:pPr>
      <w:r>
        <w:t>G-O1 · Baseline Approved</w:t>
      </w:r>
    </w:p>
    <w:p>
      <w:pPr>
        <w:widowControl/>
      </w:pPr>
      <w:r>
        <w:rPr>
          <w:b w:val="0"/>
        </w:rPr>
        <w:t>Entrada: Contexto/autoridad/binding y fuentes verificadas; Scope/Schedule/Cost candidates con data date/cutoff. Salida: Aprobación independiente por cada dueño de baseline; Bundle con hashes/versiones/códigos mapeados y pendientes no ocultos.</w:t>
      </w:r>
    </w:p>
    <w:p>
      <w:pPr>
        <w:widowControl/>
      </w:pPr>
      <w:r>
        <w:rPr>
          <w:b w:val="0"/>
        </w:rPr>
        <w:t>Bloquea: Falta identidad/membresía/autorización válida; Fuente baseline inválida/no aprobada o mappings incoherentes. Autoridad propuesta: Autoridades propuestas Scope/Schedule/Cost y Project Control Manager según matriz publicada; no firma inventada.</w:t>
      </w:r>
    </w:p>
    <w:p>
      <w:pPr>
        <w:pStyle w:val="Heading2"/>
        <w:keepNext/>
        <w:keepLines/>
      </w:pPr>
      <w:r>
        <w:t>G-O2 · Ready to Execute</w:t>
      </w:r>
    </w:p>
    <w:p>
      <w:pPr>
        <w:widowControl/>
      </w:pPr>
      <w:r>
        <w:rPr>
          <w:b w:val="0"/>
        </w:rPr>
        <w:t>Entrada: Baseline aprobada y plan de ejecución contextual; Contratos/autoridades requeridos y conditions actuales consultados. Salida: Plan y recursos/evidencias mínimos aprobados; Alcance de ejecución autorizado y excepciones explícitas.</w:t>
      </w:r>
    </w:p>
    <w:p>
      <w:pPr>
        <w:widowControl/>
      </w:pPr>
      <w:r>
        <w:rPr>
          <w:b w:val="0"/>
        </w:rPr>
        <w:t>Bloquea: Activación usada como permiso irrestricto de contratar; Condición upstream de ejecución/compromiso no resuelta por su dueño. Autoridad propuesta: Responsable autorizado de ejecución y dueños de restricciones; commitment authority separada.</w:t>
      </w:r>
    </w:p>
    <w:p>
      <w:pPr>
        <w:pStyle w:val="Heading2"/>
        <w:keepNext/>
        <w:keepLines/>
      </w:pPr>
      <w:r>
        <w:t>G-O3 · Workfront Ready</w:t>
      </w:r>
    </w:p>
    <w:p>
      <w:pPr>
        <w:widowControl/>
      </w:pPr>
      <w:r>
        <w:rPr>
          <w:b w:val="0"/>
        </w:rPr>
        <w:t>Entrada: Paquete/área y activities referenciados; Información/materiales/recursos/QA/HSE identificados. Salida: Liberación explícita de workfront y constraints bloqueantes cerradas; Plan look-ahead y permisos fuente vigentes.</w:t>
      </w:r>
    </w:p>
    <w:p>
      <w:pPr>
        <w:widowControl/>
      </w:pPr>
      <w:r>
        <w:rPr>
          <w:b w:val="0"/>
        </w:rPr>
        <w:t>Bloquea: Permiso de trabajo/QA/material/diseño pendiente bloqueante; Constraint cerrado sin evidencia o aprobación fuente. Autoridad propuesta: Autoridad Field/Construction con clearance independiente QA/HSE/Engineering según fuente.</w:t>
      </w:r>
    </w:p>
    <w:p>
      <w:pPr>
        <w:pStyle w:val="Heading2"/>
        <w:keepNext/>
        <w:keepLines/>
      </w:pPr>
      <w:r>
        <w:t>G-O4 · Ready for Commissioning</w:t>
      </w:r>
    </w:p>
    <w:p>
      <w:pPr>
        <w:widowControl/>
      </w:pPr>
      <w:r>
        <w:rPr>
          <w:b w:val="0"/>
        </w:rPr>
        <w:t>Entrada: Systemization y mechanical-completion scope definidos; QA dossier/punch y procedimiento de test. Salida: Completion/readiness técnica y safety clearance aprobados; Personal/procedimientos/evidencia de pruebas preparados.</w:t>
      </w:r>
    </w:p>
    <w:p>
      <w:pPr>
        <w:widowControl/>
      </w:pPr>
      <w:r>
        <w:rPr>
          <w:b w:val="0"/>
        </w:rPr>
        <w:t>Bloquea: Punch bloqueante, test procedure no aprobado o clearance safety ausente. Autoridad propuesta: Autoridad Commissioning y responsables QA/HSE del sistema; solo donde aplique.</w:t>
      </w:r>
    </w:p>
    <w:p>
      <w:pPr>
        <w:pStyle w:val="Heading2"/>
        <w:keepNext/>
        <w:keepLines/>
      </w:pPr>
      <w:r>
        <w:t>G-O5 · Ready for Handover</w:t>
      </w:r>
    </w:p>
    <w:p>
      <w:pPr>
        <w:widowControl/>
      </w:pPr>
      <w:r>
        <w:rPr>
          <w:b w:val="0"/>
        </w:rPr>
        <w:t>Entrada: Dossier/test/readiness y receptor definidos; Manuals/as-built/training/spares según contrato. Salida: Receptor acepta o enumera condiciones autorizadas; Punch residual y custodia/datos transferidos con referencia.</w:t>
      </w:r>
    </w:p>
    <w:p>
      <w:pPr>
        <w:widowControl/>
      </w:pPr>
      <w:r>
        <w:rPr>
          <w:b w:val="0"/>
        </w:rPr>
        <w:t>Bloquea: Aceptación inferida de completion técnica; Readiness requerida o datos contratados faltantes sin condición autorizada. Autoridad propuesta: Receptor/owner y entregante autorizados; evidencia humana necesaria.</w:t>
      </w:r>
    </w:p>
    <w:p>
      <w:pPr>
        <w:pStyle w:val="Heading2"/>
        <w:keepNext/>
        <w:keepLines/>
      </w:pPr>
      <w:r>
        <w:t>G-O6 · Project Closeout Ready</w:t>
      </w:r>
    </w:p>
    <w:p>
      <w:pPr>
        <w:widowControl/>
      </w:pPr>
      <w:r>
        <w:rPr>
          <w:b w:val="0"/>
        </w:rPr>
        <w:t>Entrada: Cierres fuente y residual obligations conciliados; Entrega aceptada donde aplique y registros finales. Salida: Cierre operacional aprobado y fuentes preservadas; Pendientes/claims/retention tratados explícitamente sin borrar identidad.</w:t>
      </w:r>
    </w:p>
    <w:p>
      <w:pPr>
        <w:widowControl/>
      </w:pPr>
      <w:r>
        <w:rPr>
          <w:b w:val="0"/>
        </w:rPr>
        <w:t>Bloquea: Obligación legal/financiera/claim abierta no permitida; Evidencia retenida inaccesible o cierre pretendido por delete/archive. Autoridad propuesta: Project closure authority publicada con aprobaciones fuente independientes.</w:t>
      </w:r>
    </w:p>
    <w:p>
      <w:pPr>
        <w:pStyle w:val="Heading1"/>
        <w:keepNext/>
        <w:keepLines/>
      </w:pPr>
      <w:r>
        <w:t>21. Inventario de capacidad actual</w:t>
      </w:r>
    </w:p>
    <w:p>
      <w:pPr>
        <w:widowControl/>
      </w:pPr>
      <w:r>
        <w:rPr>
          <w:b w:val="0"/>
        </w:rPr>
        <w:t>El inventario distingue REUSE, EXTEND, REFACTOR, RESERVED y NOT_RELEVANT, además de madurez frontend. Hay 15 fichas backend (4 REUSE, 6 EXTEND, 3 REFACTOR, 1 RESERVED, 1 NOT_RELEVANT), 25 fichas frontend y 16 de procurement/handoff. Su granularidad se superpone: no deben sumarse como funciones implementadas.</w:t>
      </w:r>
    </w:p>
    <w:p>
      <w:pPr>
        <w:widowControl/>
      </w:pPr>
      <w:r>
        <w:rPr>
          <w:b w:val="0"/>
        </w:rPr>
        <w:t>USER Project Control Manager contiene diez módulos en el catálogo: Project, Scope, Schedule, Cost, Risk, Procurement, Progress/Performance, Resource, Claim y Document. ADMIN contiene enterprise/strategy/platform; no se encontró un área operacional completa configurada para todos los dominios.</w:t>
      </w:r>
    </w:p>
    <w:p>
      <w:pPr>
        <w:widowControl/>
      </w:pPr>
      <w:r>
        <w:rPr>
          <w:b w:val="0"/>
        </w:rPr>
        <w:t>Las fichas documentan modelo, API/servicio, rutas, comportamiento, límites y tests definidos con path:line. Tests inspeccionados no significa tests ejecutados hoy. Baseline/Evidence tiene JSX, pero accesibilidad por el flujo/nav vigente requiere prueba futura de navegador; se clasifica UNKNOWN en lugar de declarar pantalla completa.</w:t>
      </w:r>
    </w:p>
    <w:p>
      <w:pPr>
        <w:widowControl/>
      </w:pPr>
      <w:r>
        <w:rPr>
          <w:b w:val="0"/>
        </w:rPr>
        <w:t>No se llamó GET dashboard porque el código puede generar registros si faltan. No se iniciaron servicios ni se consultó una base operacional. La auditoría no demuestra disponibilidad localhost, performance, datos reales ni conformidad legal.</w:t>
      </w:r>
    </w:p>
    <w:p>
      <w:pPr>
        <w:pStyle w:val="Heading1"/>
        <w:keepNext/>
        <w:keepLines/>
      </w:pPr>
      <w:r>
        <w:t>22. Gap analysis y riesgo crítico</w:t>
      </w:r>
    </w:p>
    <w:p>
      <w:pPr>
        <w:widowControl/>
      </w:pPr>
      <w:r>
        <w:rPr>
          <w:b w:val="0"/>
        </w:rPr>
        <w:t>La hoja 08 registra 18 brechas con severidad de diseño, objetivo, fase, evidencia y guardrail. P0 señala un prerrequisito de diseño crítico, no una clasificación de incidente real. Se destacan:</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4320"/>
        <w:gridCol w:w="4406"/>
      </w:tblGrid>
      <w:tr>
        <w:trPr>
          <w:cantSplit/>
          <w:tblHeader w:val="true"/>
        </w:trPr>
        <w:tc>
          <w:tcPr>
            <w:tcW w:type="dxa" w:w="144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Brecha</w:t>
            </w:r>
          </w:p>
        </w:tc>
        <w:tc>
          <w:tcPr>
            <w:tcW w:type="dxa" w:w="432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Hallazgo</w:t>
            </w:r>
          </w:p>
        </w:tc>
        <w:tc>
          <w:tcPr>
            <w:tcW w:type="dxa" w:w="440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Remediación futura</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GAP-01 · P0</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Identidad canónica / legacy. enterprise_workspaces y projects son espacios de ID distintos. Creación canónica no crea Project legacy.</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Binding explícito tenant-scoped, único y versionado; rechazo de ausente/ambiguo, membresía/estado/autorización vigentes. [O1A]</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GAP-02 · P0</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Condiciones para comprometer. ACTIVE no demuestra autorización de compromiso; Post-FID distingue activation-blocking y commitment-only.</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Cada comando de obligación consulta autoridad/condiciones actuales antes de promover. [O1A / O2]</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GAP-03 · P0</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Presupuesto con múltiples escritores. Ingestión schedule y BP-CBS-WBS materializan Budget/CostCode fuera de una autoridad uniforme.</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Cost único escritor mediante comando aprobado; adaptadores emiten propuestas. [O1B]</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GAP-04 · P0</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Baselines inmutables. Campos baseline se actualizan durante ingestión legacy.</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Original/aprobada/current/update/forecast separados; aceptación de importación no aprueba baseline. [O1B]</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GAP-05 · P0</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Compromisos / actual / accrual. Agregación Contract + PO y committed + executed sin semántica neta uniforme localizada.</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INCLUDED/CALL_OFF/ADDITIVE, liquidación y clave de origen económico; reversión accrual/actual. [O1B contrato mínimo / O2]</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GAP-06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P6 calendario/unidades. Fallback critical por float y conversión horas/8 no constituyen fidelidad P6 completa.</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Conservar fechas/critical/float/calendarios/unidades importadas; bloquear conversión desconocida. [O1B]</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GAP-07 · P1</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P6 ciclo de intercambio. XML/XER importados; exportador completo con roundtrip no demostrado.</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Subset soportado explícito; staging/diff/revisión/promoción/rollback. XML para intercambio de baseline; XER requiere vínculo separado. [O1B]</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GAP-08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Scope y BIM/APU. Asignación BIM/APU en raw_data no es publicación de presupuesto Cost.</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Scope Item/revisión/cantidad/método/unidad y mappings M:N con aprobación de fuente. [O1B]</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GAP-09 · P1</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Progress tipado. Capturas/registros reales pero ciclo método-aprobación-corte incompleto.</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Distinguir físico/schedule/costo/earned/cantidad/weighted/milestone, denominador y aprobación. [O1B]</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GAP-10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Período común. Snapshots/reportes no demuestran cierre y freeze de todas las fuentes.</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OPEN → REVIEW → CLOSED → PUBLISHED, ajuste/reapertura versionada y data date explícito. [O1A / O1C]</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GAP-11 · P1</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Forecast gobernado. Fórmulas CPI/SPI heurísticas no equivalen a forecast aprobado y versionado.</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ETC bottom-up/estadístico declarado, EAC=actual reconocido+ETC, contingencia/reservas una sola vez. [O1C]</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GAP-12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Dashboard con efectos. GET dashboard puede producir KPI/snapshots/forecast cuando faltan.</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Consultas de reporting sin escrituras transaccionales; publicación explícita del snapshot. [O1C]</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GAP-13 · P1</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Risk / Issue / Change. Menús reservados no son registro operacional completo; ChangeRequest parcial.</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Riesgo incierto, issue ocurrido y change con assessments, aprobación e implementación separadas. [O1B]</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GAP-14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Procurement UI / autoridad. RFQ/Contract/PO backend parciales; varias pantallas reservadas.</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Sourcing/recomendación en Procurement, obligación única en Contract Administration. [O2]</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GAP-15 · P2</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BIM 4D. Visor/selección y cantidades reales; vínculo persistente IFC-actividad y simulación 4D no demostrados.</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Capability transversal que consume modelo/versiones y activity references. [O2 / O3]</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GAP-16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Ingeniería / QA / HSE / Field. Primitivas AWP/documentales no prueban suite de ejecución ni QA/QC/HSE.</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Límites por fuente, evidencia mínima, restricciones vigentes y release según proyecto. [O2 / O3]</w:t>
            </w:r>
          </w:p>
        </w:tc>
      </w:tr>
      <w:tr>
        <w:trPr>
          <w:cantSplit/>
        </w:trPr>
        <w:tc>
          <w:tcPr>
            <w:tcW w:type="dxa" w:w="144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GAP-17 · P2</w:t>
            </w:r>
          </w:p>
        </w:tc>
        <w:tc>
          <w:tcPr>
            <w:tcW w:type="dxa" w:w="43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Claims y closeout. MIP3.7/expediente y reportes de cierre son parciales.</w:t>
            </w:r>
          </w:p>
        </w:tc>
        <w:tc>
          <w:tcPr>
            <w:tcW w:type="dxa" w:w="44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Forensic sobre snapshots aislados; commissioning, handover, readiness, asset transition y closeout distintos. [O4]</w:t>
            </w:r>
          </w:p>
        </w:tc>
      </w:tr>
      <w:tr>
        <w:trPr>
          <w:cantSplit/>
        </w:trPr>
        <w:tc>
          <w:tcPr>
            <w:tcW w:type="dxa" w:w="14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GAP-18 · P1</w:t>
            </w:r>
          </w:p>
        </w:tc>
        <w:tc>
          <w:tcPr>
            <w:tcW w:type="dxa" w:w="43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Deuda / rutas / formatos. Vistas legacy y branches baseline/evidence requieren validar accesibilidad; .xls/.mpp detectados no demuestran parser binario.</w:t>
            </w:r>
          </w:p>
        </w:tc>
        <w:tc>
          <w:tcPr>
            <w:tcW w:type="dxa" w:w="44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Auditoría de uso/paridad/compatibilidad y formatos soportados antes de deprecar o publicitar. [O1–O4]</w:t>
            </w:r>
          </w:p>
        </w:tc>
      </w:tr>
    </w:tbl>
    <w:p>
      <w:pPr>
        <w:widowControl/>
      </w:pPr>
      <w:r>
        <w:rPr>
          <w:b w:val="0"/>
        </w:rPr>
      </w:r>
    </w:p>
    <w:p>
      <w:pPr>
        <w:pStyle w:val="Heading1"/>
        <w:keepNext/>
        <w:keepLines/>
      </w:pPr>
      <w:r>
        <w:t>23. Deuda técnica y candidatos legacy</w:t>
      </w:r>
    </w:p>
    <w:p>
      <w:pPr>
        <w:widowControl/>
      </w:pPr>
      <w:r>
        <w:rPr>
          <w:b w:val="0"/>
        </w:rPr>
        <w:t>Se registran 28 unidades de revisión legacy a partir de tres vistas de evidencia, no 28 archivos muertos únicos. Clasificaciones KEEP, REQUIRES_DEPRECATION y UNKNOWN evitan confundir falta de import local con autorización de borrar. SAFE_TO_REMOVE es cero y no se elimina ningún archivo.</w:t>
      </w:r>
    </w:p>
    <w:p>
      <w:pPr>
        <w:widowControl/>
      </w:pPr>
      <w:r>
        <w:rPr>
          <w:b w:val="0"/>
        </w:rPr>
        <w:t>schedule_parser.py tiene tests propios y contrato diferente de la ingestión canónica: requiere compatibilidad/consumidores externos/deprecación. Las vistas antiguas, Sidebar/AppShellCtx y tipos acoplados exigen revisión de paridad y rutas. App.tsx y el viewer grandes son capacidades activas, no basura por tamaño.</w:t>
      </w:r>
    </w:p>
    <w:p>
      <w:pPr>
        <w:widowControl/>
      </w:pPr>
      <w:r>
        <w:rPr>
          <w:b w:val="0"/>
        </w:rPr>
        <w:t>projects legacy, Budget/CostCode/control accounts, APU/BIM y recursos se conservan porque tienen datos/consumidores. La transición debe ser incremental, con adaptadores, pruebas de caracterización, instrumentación de uso y rollback. No se propone refactor masivo ni borrar placeholders del catálogo aprobado.</w:t>
      </w:r>
    </w:p>
    <w:p>
      <w:pPr>
        <w:pStyle w:val="Heading1"/>
        <w:keepNext/>
        <w:keepLines/>
      </w:pPr>
      <w:r>
        <w:t>24. Arquitectura recomendada y cierre del incremento</w:t>
      </w:r>
    </w:p>
    <w:p>
      <w:pPr>
        <w:widowControl/>
      </w:pPr>
      <w:r>
        <w:rPr>
          <w:b w:val="0"/>
        </w:rPr>
        <w:t>Mantener identidad Enterprise, seguridad y autoridades estratégicas; resolver contexto/binding canónico primero. Construir Project Controls como integración de fuentes dueñas y período común, no otro megaagregado. Separar procurement de obligación legal y aislar análisis forensic de operación viva.</w:t>
      </w:r>
    </w:p>
    <w:p>
      <w:pPr>
        <w:widowControl/>
      </w:pPr>
      <w:r>
        <w:rPr>
          <w:b w:val="0"/>
        </w:rPr>
        <w:t>Las olas propuestas son O1 Project Controls Foundation; O2 Procurement/Contracts/Engineering; O3 Construction Execution; O4 Claims/Commissioning/Handover/Closeout. D14 evidencia mínima se adelanta a O1; D05 rates/horas mínimas se reutilizan en O1, productividad completa en O3. Claims existente continúa disponible: O4 endurece integración, no elimina esa capacidad hasta entonces.</w:t>
      </w:r>
    </w:p>
    <w:p>
      <w:pPr>
        <w:widowControl/>
      </w:pPr>
      <w:r>
        <w:rPr>
          <w:b w:val="0"/>
        </w:rPr>
        <w:t>Los ADR 86–97 registran los doce mínimos usando la numeración global del repositorio y aliases ADR-O-001–012. Permanecen PROPOSED_DESIGN. La matriz de 32 criterios declara cobertura arquitectónica, no PASS de tests de producto ni aceptación de negocio.</w:t>
      </w:r>
    </w:p>
    <w:p>
      <w:pPr>
        <w:widowControl/>
      </w:pPr>
      <w:r>
        <w:rPr>
          <w:b w:val="0"/>
        </w:rPr>
        <w:t>Siguiente implementación única recomendada: WAVE O1 — PROJECT CONTROLS FOUNDATION, empezando por O1A contexto/binding canónico y período/políticas comunes; después O1B baselines/fuentes y O1C forecast/reporting. La autorización de este diseño no libera operación viva ni sustituye el signoff estratégico pendiente. Detenerse aquí y esperar autorización expresa.</w:t>
      </w:r>
    </w:p>
    <w:p>
      <w:pPr>
        <w:widowControl/>
      </w:pPr>
      <w:r>
        <w:rPr>
          <w:b w:val="0"/>
        </w:rPr>
        <w:t>Paquete complementario: Implementation Roadmap.docx y Domain Map and Roadmap.xlsx. Fuente reproducible: docs/architecture/operational/architecture-data.json; inventarios y auditorías: docs/validation/operational-master-architecture-20261019/.</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19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