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8010"/>
      </w:tblGrid>
      <w:tr>
        <w:trPr>
          <w:tblHeader w:val="true"/>
          <w:cantSplit/>
        </w:trPr>
        <w:tc>
          <w:tcPr>
            <w:tcW w:type="dxa" w:w="13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13232" cy="642314"/>
                  <wp:docPr id="1" name="Picture 1" descr="Logotipo P&amp;Pmis Construction A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ypmis-construction-ai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642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10"/>
          </w:tcPr>
          <w:p>
            <w:r>
              <w:rPr>
                <w:rFonts w:ascii="Calibri" w:hAnsi="Calibri"/>
                <w:b/>
                <w:i w:val="0"/>
                <w:color w:val="0D8F8B"/>
                <w:sz w:val="17"/>
              </w:rPr>
              <w:t>INFORME TÉCNICO</w:t>
            </w:r>
          </w:p>
          <w:p>
            <w:r>
              <w:rPr>
                <w:rFonts w:ascii="Calibri" w:hAnsi="Calibri"/>
                <w:b/>
                <w:i w:val="0"/>
                <w:color w:val="0D2A3A"/>
                <w:sz w:val="38"/>
              </w:rPr>
              <w:t>Project Governance Model &amp;</w:t>
              <w:br/>
              <w:t>Multi-Source Project Creation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Aplicación</w:t>
            </w:r>
          </w:p>
        </w:tc>
        <w:tc>
          <w:tcPr>
            <w:tcW w:type="dxa" w:w="71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P&amp;Pmis Construction AI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Ámbito</w:t>
            </w:r>
          </w:p>
        </w:tc>
        <w:tc>
          <w:tcPr>
            <w:tcW w:type="dxa" w:w="71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USER MODE + ADMIN MODE · Enterprise / Project Workspace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Baseline reutilizado</w:t>
            </w:r>
          </w:p>
        </w:tc>
        <w:tc>
          <w:tcPr>
            <w:tcW w:type="dxa" w:w="71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05B, Gate 05C y Gate 07D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Migración</w:t>
            </w:r>
          </w:p>
        </w:tc>
        <w:tc>
          <w:tcPr>
            <w:tcW w:type="dxa" w:w="71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20260820_0044, sucesora aditiva de 20260820_0043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Fecha de corte</w:t>
            </w:r>
          </w:p>
        </w:tc>
        <w:tc>
          <w:tcPr>
            <w:tcW w:type="dxa" w:w="71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20 de agosto de 2026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Estado final</w:t>
            </w:r>
          </w:p>
        </w:tc>
        <w:tc>
          <w:tcPr>
            <w:tcW w:type="dxa" w:w="71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READY_FOR_MULTI_SOURCE_PROJECT_CREATION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45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7"/>
              </w:rPr>
              <w:t>RESULTADO EJECUTIVO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Se implementó una sola capa transversal de gobernanza para crear Projects desde una Strategic Gate Decision, un Contract Award o una Direct Authorization. Se conserva una única identidad canónica PROJECT, un solo ProjectCreationRequest, el ciclo Four-eyes existente y la materialización idempotente. El localhost quedó operativo en la revisión 0044 y el Project Workspace ID 14 permaneció inalterado.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1. Resumen ejecutivo</w:t>
      </w:r>
    </w:p>
    <w:p>
      <w:r>
        <w:t>La entrega amplía el proceso Gate 05B sin crear un segundo Project Creator ni una entidad paralela. Cada solicitud registra modelo de gobierno, fuente normalizada, snapshot/hash y la revisión exacta de política utilizada. Gate 05C continúa siendo el motor común de inicialización/activación y Gate 07D conserva la ruta Capital Owner.</w:t>
      </w:r>
    </w:p>
    <w:p>
      <w:pPr>
        <w:pStyle w:val="Heading1"/>
        <w:keepNext/>
        <w:pageBreakBefore w:val="0"/>
      </w:pPr>
      <w:r>
        <w:t>2. ADR: Multi-Source Project Creation</w:t>
      </w:r>
    </w:p>
    <w:p>
      <w:r>
        <w:t>ADR 44 acepta una arquitectura de adaptadores de fuente sobre ProjectCreationService. EnterpriseWorkspace con workspace_type_code=project sigue siendo la identidad Project; ProjectCreationRequest es el proceso; AdminConfiguration es la autoridad de política. La decisión está documentada en docs/44-adr-project-governance-multi-source-creation.md.</w:t>
      </w:r>
    </w:p>
    <w:p>
      <w:pPr>
        <w:pStyle w:val="Heading1"/>
        <w:keepNext/>
        <w:pageBreakBefore w:val="0"/>
      </w:pPr>
      <w:r>
        <w:t>3. Definición del Project Governance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500"/>
        <w:gridCol w:w="3050"/>
        <w:gridCol w:w="381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Modelo</w:t>
            </w:r>
          </w:p>
        </w:tc>
        <w:tc>
          <w:tcPr>
            <w:tcW w:type="dxa" w:w="305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381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Propósito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CAPITAL_OWNER</w:t>
            </w:r>
          </w:p>
        </w:tc>
        <w:tc>
          <w:tcPr>
            <w:tcW w:type="dxa" w:w="305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STRATEGIC_GATE_DECISION</w:t>
            </w:r>
          </w:p>
        </w:tc>
        <w:tc>
          <w:tcPr>
            <w:tcW w:type="dxa" w:w="381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Inversión promovida por estrategia/Portfolio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CONTRACTOR_DELIVERY</w:t>
            </w:r>
          </w:p>
        </w:tc>
        <w:tc>
          <w:tcPr>
            <w:tcW w:type="dxa" w:w="305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CONTRACT_AWARD</w:t>
            </w:r>
          </w:p>
        </w:tc>
        <w:tc>
          <w:tcPr>
            <w:tcW w:type="dxa" w:w="381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Proyecto de entrega originado en contrato adjudicado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DIRECT_INTERNAL</w:t>
            </w:r>
          </w:p>
        </w:tc>
        <w:tc>
          <w:tcPr>
            <w:tcW w:type="dxa" w:w="305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DIRECT_AUTHORIZATION</w:t>
            </w:r>
          </w:p>
        </w:tc>
        <w:tc>
          <w:tcPr>
            <w:tcW w:type="dxa" w:w="381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Proyecto interno autorizado directamente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4. Project Type vs Governance Model</w:t>
      </w:r>
    </w:p>
    <w:p>
      <w:r>
        <w:t>Project Type permanece como clasificación de negocio opcional; Governance Model define origen, guardrails y readiness. No existe inferencia automática entre ambas dimensiones. Las pruebas crean DIRECT_INTERNAL con project_type nulo y mantienen el modelo explícito.</w:t>
      </w:r>
    </w:p>
    <w:p>
      <w:pPr>
        <w:pStyle w:val="Heading1"/>
        <w:keepNext/>
        <w:pageBreakBefore w:val="0"/>
      </w:pPr>
      <w:r>
        <w:t>5. Source Context model</w:t>
      </w:r>
    </w:p>
    <w:p>
      <w:pPr>
        <w:pStyle w:val="ListBullet"/>
        <w:spacing w:after="50"/>
      </w:pPr>
      <w:r>
        <w:t>source_context_type + source_context_id identifica fuentes internas tipadas.</w:t>
      </w:r>
    </w:p>
    <w:p>
      <w:pPr>
        <w:pStyle w:val="ListBullet"/>
        <w:spacing w:after="50"/>
      </w:pPr>
      <w:r>
        <w:t>source_external_key identifica Contract Award o Direct Authorization externas.</w:t>
      </w:r>
    </w:p>
    <w:p>
      <w:pPr>
        <w:pStyle w:val="ListBullet"/>
        <w:spacing w:after="50"/>
      </w:pPr>
      <w:r>
        <w:t>idempotency_key protege reintentos y source_hash verifica la huella normalizada.</w:t>
      </w:r>
    </w:p>
    <w:p>
      <w:pPr>
        <w:pStyle w:val="ListBullet"/>
        <w:spacing w:after="50"/>
      </w:pPr>
      <w:r>
        <w:t>source_snapshot_json preserva evidencia sin introducir motores Contract/Procurement.</w:t>
      </w:r>
    </w:p>
    <w:p>
      <w:pPr>
        <w:pStyle w:val="Heading1"/>
        <w:keepNext/>
        <w:pageBreakBefore w:val="0"/>
      </w:pPr>
      <w:r>
        <w:t>6. REUSE BEFORE CREATE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100"/>
        <w:gridCol w:w="3650"/>
        <w:gridCol w:w="361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Capacidad</w:t>
            </w:r>
          </w:p>
        </w:tc>
        <w:tc>
          <w:tcPr>
            <w:tcW w:type="dxa" w:w="365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Reutilización</w:t>
            </w:r>
          </w:p>
        </w:tc>
        <w:tc>
          <w:tcPr>
            <w:tcW w:type="dxa" w:w="361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 duplicado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Identidad</w:t>
            </w:r>
          </w:p>
        </w:tc>
        <w:tc>
          <w:tcPr>
            <w:tcW w:type="dxa" w:w="365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enterprise_workspaces / PROJECT</w:t>
            </w:r>
          </w:p>
        </w:tc>
        <w:tc>
          <w:tcPr>
            <w:tcW w:type="dxa" w:w="361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 segunda tabla Project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Proceso</w:t>
            </w:r>
          </w:p>
        </w:tc>
        <w:tc>
          <w:tcPr>
            <w:tcW w:type="dxa" w:w="365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ProjectCreationRequest Gate 05B</w:t>
            </w:r>
          </w:p>
        </w:tc>
        <w:tc>
          <w:tcPr>
            <w:tcW w:type="dxa" w:w="361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 segundo creator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Lifecycle</w:t>
            </w:r>
          </w:p>
        </w:tc>
        <w:tc>
          <w:tcPr>
            <w:tcW w:type="dxa" w:w="365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submit/review/approve/materialize</w:t>
            </w:r>
          </w:p>
        </w:tc>
        <w:tc>
          <w:tcPr>
            <w:tcW w:type="dxa" w:w="361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 state machine paralela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Inicialización</w:t>
            </w:r>
          </w:p>
        </w:tc>
        <w:tc>
          <w:tcPr>
            <w:tcW w:type="dxa" w:w="365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05C</w:t>
            </w:r>
          </w:p>
        </w:tc>
        <w:tc>
          <w:tcPr>
            <w:tcW w:type="dxa" w:w="361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 inicializador por modelo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Capital Owner</w:t>
            </w:r>
          </w:p>
        </w:tc>
        <w:tc>
          <w:tcPr>
            <w:tcW w:type="dxa" w:w="365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07D</w:t>
            </w:r>
          </w:p>
        </w:tc>
        <w:tc>
          <w:tcPr>
            <w:tcW w:type="dxa" w:w="361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 reemplazo del strategic entry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Política/auditoría</w:t>
            </w:r>
          </w:p>
        </w:tc>
        <w:tc>
          <w:tcPr>
            <w:tcW w:type="dxa" w:w="365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AdminConfiguration + SecurityEvent</w:t>
            </w:r>
          </w:p>
        </w:tc>
        <w:tc>
          <w:tcPr>
            <w:tcW w:type="dxa" w:w="361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 framework alterno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7. Extensión de ProjectCreationRequest</w:t>
      </w:r>
    </w:p>
    <w:p>
      <w:r>
        <w:t>Se añadieron governance_model, source_context_id, source_external_key, idempotency_key, source_snapshot_json, source_hash y creation_policy_id/revision/hash. Los campos Gate 07D permanecen. Submission/approval hashes incorporan lineage para congelar la fuente aprobada.</w:t>
      </w:r>
    </w:p>
    <w:p>
      <w:pPr>
        <w:pStyle w:val="Heading1"/>
        <w:keepNext/>
        <w:pageBreakBefore w:val="0"/>
      </w:pPr>
      <w:r>
        <w:t>8. Diseño Source Adapter</w:t>
      </w:r>
    </w:p>
    <w:p>
      <w:r>
        <w:t>StrategicGateSourceAdapter, ContractAwardSourceAdapter y DirectAuthorizationSourceAdapter normalizan cada fuente a NormalizedProjectCreationSource. El adaptador valida cardinalidad y campos mínimos; después delega al mismo ProjectCreationService.</w:t>
      </w:r>
    </w:p>
    <w:p>
      <w:pPr>
        <w:pStyle w:val="Heading1"/>
        <w:keepNext/>
        <w:pageBreakBefore w:val="0"/>
      </w:pPr>
      <w:r>
        <w:t>9. Política CAPITAL_OWNER</w:t>
      </w:r>
    </w:p>
    <w:p>
      <w:r>
        <w:t>Requiere Strategic Gate Decision, Portfolio, objetivo estratégico, template, PM y readiness Gate 07D. Mantiene Portfolio/FEL como trabajo posterior y nunca interpreta APPROVE como FID.</w:t>
      </w:r>
    </w:p>
    <w:p>
      <w:pPr>
        <w:pStyle w:val="Heading1"/>
        <w:keepNext/>
        <w:pageBreakBefore w:val="0"/>
      </w:pPr>
      <w:r>
        <w:t>10. Política CONTRACTOR_DELIVERY</w:t>
      </w:r>
    </w:p>
    <w:p>
      <w:r>
        <w:t>Requiere client, contract_number y contractual_scope. Por defecto no exige Idea, Proposal, Strategic Gate, Portfolio, FEL, PDRI ni FID. La activación depende de movilización autorizada o Notice to Proceed cuando la política lo configure.</w:t>
      </w:r>
    </w:p>
    <w:p>
      <w:pPr>
        <w:pStyle w:val="Heading1"/>
        <w:keepNext/>
        <w:pageBreakBefore w:val="0"/>
      </w:pPr>
      <w:r>
        <w:t>11. Política DIRECT_INTERNAL</w:t>
      </w:r>
    </w:p>
    <w:p>
      <w:r>
        <w:t>Requiere authorization_reference, sponsor e idempotency key. No exige Contract Award ni Strategic Gate. La autorización aprobada es condición de activación, no de creación del Project PENDING.</w:t>
      </w:r>
    </w:p>
    <w:p>
      <w:pPr>
        <w:pStyle w:val="Heading1"/>
        <w:keepNext/>
        <w:pageBreakBefore w:val="0"/>
      </w:pPr>
      <w:r>
        <w:t>12. Estrategia Contract Award source</w:t>
      </w:r>
    </w:p>
    <w:p>
      <w:r>
        <w:t>Se optó por snapshot controlado, porque el módulo Contracts existente es operacional y presupone un Project ya creado. Esta decisión evita dependencia circular y no implementa Contract Management profundo.</w:t>
      </w:r>
    </w:p>
    <w:p>
      <w:pPr>
        <w:pStyle w:val="Heading1"/>
        <w:keepNext/>
        <w:pageBreakBefore w:val="0"/>
      </w:pPr>
      <w:r>
        <w:t>13. Estrategia Direct Authorization source</w:t>
      </w:r>
    </w:p>
    <w:p>
      <w:r>
        <w:t>La referencia y patrocinador se registran en un snapshot tipado. source_external_key e idempotency_key comparten la referencia por defecto, sin impedir que un integrador suministre claves distintas.</w:t>
      </w:r>
    </w:p>
    <w:p>
      <w:pPr>
        <w:pStyle w:val="Heading1"/>
        <w:keepNext/>
        <w:pageBreakBefore w:val="0"/>
      </w:pPr>
      <w:r>
        <w:t>14. Source snapshot</w:t>
      </w:r>
    </w:p>
    <w:p>
      <w:r>
        <w:t>El snapshot se serializa canónicamente y su SHA-256 incluye governance_model, source_context_type, identificadores y contenido. Se replica al metadata _project en materialización, junto con la política exacta y su hash.</w:t>
      </w:r>
    </w:p>
    <w:p>
      <w:pPr>
        <w:pStyle w:val="Heading1"/>
        <w:keepNext/>
        <w:pageBreakBefore/>
      </w:pPr>
      <w:r>
        <w:t>15. Resolución de Creation Policy</w:t>
      </w:r>
    </w:p>
    <w:p>
      <w:r>
        <w:t>ProjectGovernancePolicyService resuelve primero overrides publicados en la cadena de workspaces y después el default tenant. La solicitud guarda configuration_id, revision y content_hash; validaciones históricas usan esa revisión y no reinterpretan una solicitud aprobada con una política futura.</w:t>
      </w:r>
    </w:p>
    <w:p>
      <w:pPr>
        <w:pStyle w:val="Heading1"/>
        <w:keepNext/>
        <w:pageBreakBefore w:val="0"/>
      </w:pPr>
      <w:r>
        <w:t>16. Resolución de Initialization Policy</w:t>
      </w:r>
    </w:p>
    <w:p>
      <w:r>
        <w:t>Gate 05C consulta el governance metadata materializado. CONTRACTOR_DELIVERY y DIRECT_INTERNAL no heredan el requisito global de objetivo estratégico; validan fuente, PM, template y campos/readiness propios. Legacy conserva su comportamiento anterior.</w:t>
      </w:r>
    </w:p>
    <w:p>
      <w:pPr>
        <w:pStyle w:val="Heading1"/>
        <w:keepNext/>
        <w:pageBreakBefore w:val="0"/>
      </w:pPr>
      <w:r>
        <w:t>17. Resolución de Activation Policy</w:t>
      </w:r>
    </w:p>
    <w:p>
      <w:r>
        <w:t>La activación sigue siendo una transición común. CAPITAL_OWNER requiere execution_authorized; CONTRACTOR_DELIVERY, mobilization_authorized o NTP; DIRECT_INTERNAL, authorization_approved. Ningún Project se autoactiva.</w:t>
      </w:r>
    </w:p>
    <w:p>
      <w:pPr>
        <w:pStyle w:val="Heading1"/>
        <w:keepNext/>
        <w:pageBreakBefore w:val="0"/>
      </w:pPr>
      <w:r>
        <w:t>18. Semántica PENDING por modelo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450"/>
        <w:gridCol w:w="3900"/>
        <w:gridCol w:w="3010"/>
      </w:tblGrid>
      <w:tr>
        <w:trPr>
          <w:tblHeader w:val="true"/>
          <w:cantSplit/>
        </w:trPr>
        <w:tc>
          <w:tcPr>
            <w:tcW w:type="dxa" w:w="245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Modelo</w:t>
            </w:r>
          </w:p>
        </w:tc>
        <w:tc>
          <w:tcPr>
            <w:tcW w:type="dxa" w:w="390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pending_reason</w:t>
            </w:r>
          </w:p>
        </w:tc>
        <w:tc>
          <w:tcPr>
            <w:tcW w:type="dxa" w:w="301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planning_stage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CAPITAL_OWNER</w:t>
            </w:r>
          </w:p>
        </w:tc>
        <w:tc>
          <w:tcPr>
            <w:tcW w:type="dxa" w:w="39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PORTFOLIO_AND_PROJECT_DEFINITION_REQUIRED</w:t>
            </w:r>
          </w:p>
        </w:tc>
        <w:tc>
          <w:tcPr>
            <w:tcW w:type="dxa" w:w="301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PORTFOLIO_AND_FEL_PLANNING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CONTRACTOR_DELIVERY</w:t>
            </w:r>
          </w:p>
        </w:tc>
        <w:tc>
          <w:tcPr>
            <w:tcW w:type="dxa" w:w="39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INITIALIZATION_AND_MOBILIZATION_REQUIRED</w:t>
            </w:r>
          </w:p>
        </w:tc>
        <w:tc>
          <w:tcPr>
            <w:tcW w:type="dxa" w:w="301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CONTRACT_MOBILIZATION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DIRECT_INTERNAL</w:t>
            </w:r>
          </w:p>
        </w:tc>
        <w:tc>
          <w:tcPr>
            <w:tcW w:type="dxa" w:w="39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INITIALIZATION_REQUIRED</w:t>
            </w:r>
          </w:p>
        </w:tc>
        <w:tc>
          <w:tcPr>
            <w:tcW w:type="dxa" w:w="301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DIRECT_AUTHORIZATION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19. Flujo UI</w:t>
      </w:r>
    </w:p>
    <w:p>
      <w:r>
        <w:t>Create Project muestra primero Governance Model y luego un único formulario gobernado. Direct Internal presenta autorización/patrocinador; Contractor Delivery presenta cliente/contrato/alcance; Capital Owner redirige conceptualmente a Strategic Project Planning Entry y bloquea el submit genérico.</w:t>
      </w:r>
    </w:p>
    <w:p>
      <w:pPr>
        <w:pStyle w:val="Heading1"/>
        <w:keepNext/>
        <w:pageBreakBefore w:val="0"/>
      </w:pPr>
      <w:r>
        <w:t>20. Configuración ADMIN</w:t>
      </w:r>
    </w:p>
    <w:p>
      <w:r>
        <w:t>Creation Policies incluye tres tabs de política, revisión/hash, fuente de herencia y guardrails editables. Guardar publica una nueva revisión tenant/workspace mediante el API; la pantalla no crea ni materializa Projects.</w:t>
      </w:r>
    </w:p>
    <w:p>
      <w:pPr>
        <w:pStyle w:val="Heading1"/>
        <w:keepNext/>
        <w:pageBreakBefore w:val="0"/>
      </w:pPr>
      <w:r>
        <w:t>21. Herencia de configuración</w:t>
      </w:r>
    </w:p>
    <w:p>
      <w:r>
        <w:t>Los códigos project-governance-{model}-{tenant|workspace-id} permiten default tenant y override por workspace. Preview informa resolution_chain, source_workspace_id, required/optional fields, approvals, warnings y blockers sin persistir.</w:t>
      </w:r>
    </w:p>
    <w:p>
      <w:pPr>
        <w:pStyle w:val="Heading1"/>
        <w:keepNext/>
        <w:pageBreakBefore/>
      </w:pPr>
      <w:r>
        <w:t>22. APIs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Ámbito</w:t>
            </w:r>
          </w:p>
        </w:tc>
        <w:tc>
          <w:tcPr>
            <w:tcW w:type="dxa" w:w="716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Endpoints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Opciones</w:t>
            </w:r>
          </w:p>
        </w:tc>
        <w:tc>
          <w:tcPr>
            <w:tcW w:type="dxa" w:w="71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GET /project-creation/options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Contrato</w:t>
            </w:r>
          </w:p>
        </w:tc>
        <w:tc>
          <w:tcPr>
            <w:tcW w:type="dxa" w:w="71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POST /project-creation/from-contract/preview y /from-contract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Directo</w:t>
            </w:r>
          </w:p>
        </w:tc>
        <w:tc>
          <w:tcPr>
            <w:tcW w:type="dxa" w:w="71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POST /project-creation/direct/preview y /direct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Lifecycle</w:t>
            </w:r>
          </w:p>
        </w:tc>
        <w:tc>
          <w:tcPr>
            <w:tcW w:type="dxa" w:w="71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Rutas existentes /project-creation-requests/*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ADMIN</w:t>
            </w:r>
          </w:p>
        </w:tc>
        <w:tc>
          <w:tcPr>
            <w:tcW w:type="dxa" w:w="71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PUT /project-governance-models/{model}; POST /preview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Overview</w:t>
            </w:r>
          </w:p>
        </w:tc>
        <w:tc>
          <w:tcPr>
            <w:tcW w:type="dxa" w:w="71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GET /project-workspaces/{id}/overview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23. Permisos y roles</w:t>
      </w:r>
    </w:p>
    <w:p>
      <w:pPr>
        <w:pStyle w:val="ListBullet"/>
        <w:spacing w:after="50"/>
      </w:pPr>
      <w:r>
        <w:t>project_governance_model.read/configure/publish</w:t>
      </w:r>
    </w:p>
    <w:p>
      <w:pPr>
        <w:pStyle w:val="ListBullet"/>
        <w:spacing w:after="50"/>
      </w:pPr>
      <w:r>
        <w:t>project_creation.contract_source.create y project_creation.direct.create</w:t>
      </w:r>
    </w:p>
    <w:p>
      <w:pPr>
        <w:pStyle w:val="ListBullet"/>
        <w:spacing w:after="50"/>
      </w:pPr>
      <w:r>
        <w:t>project_requestor: contrato/directo; portfolio_intake_planner: Capital Owner; organization_admin: todas.</w:t>
      </w:r>
    </w:p>
    <w:p>
      <w:pPr>
        <w:pStyle w:val="ListBullet"/>
        <w:spacing w:after="50"/>
      </w:pPr>
      <w:r>
        <w:t>Reviewer, approver y materializer conservan permisos y segregación Gate 05B.</w:t>
      </w:r>
    </w:p>
    <w:p>
      <w:pPr>
        <w:pStyle w:val="Heading1"/>
        <w:keepNext/>
        <w:pageBreakBefore w:val="0"/>
      </w:pPr>
      <w:r>
        <w:t>24. ETag e idempotencia</w:t>
      </w:r>
    </w:p>
    <w:p>
      <w:r>
        <w:t>If-Match protege edición y transiciones. Índices parciales tenant/source impiden más de una solicitud activa por fuente; reintentos activos retornan la solicitud existente. Requests cancelled/rejected permiten una nueva ruta contract/direct sin colisión. Project Number se reserva únicamente al materializar.</w:t>
      </w:r>
    </w:p>
    <w:p>
      <w:pPr>
        <w:pStyle w:val="Heading1"/>
        <w:keepNext/>
        <w:pageBreakBefore w:val="0"/>
      </w:pPr>
      <w:r>
        <w:t>25. Migración</w:t>
      </w:r>
    </w:p>
    <w:p>
      <w:r>
        <w:t>Alembic 20260820_0044 es aditiva, indexada y reversible a 0043. Agrega FK de policy, source_snapshot NOT NULL tras backfill y tres unique indexes parciales. No reescribe 0043. El ciclo PostgreSQL probado fue 0042→0043→0044→0043→0044→0042→0044.</w:t>
      </w:r>
    </w:p>
    <w:p>
      <w:pPr>
        <w:pStyle w:val="Heading1"/>
        <w:keepNext/>
        <w:pageBreakBefore w:val="0"/>
      </w:pPr>
      <w:r>
        <w:t>26. Compatibilidad hacia atrás</w:t>
      </w:r>
    </w:p>
    <w:p>
      <w:r>
        <w:t>Requests Gate 07D con evidencia se backfillan CAPITAL_OWNER; requests Gate 05B ordinarias quedan governance_model nullable y se muestran Legacy / Not Classified. No se infiere una clasificación sin evidencia.</w:t>
      </w:r>
    </w:p>
    <w:p>
      <w:pPr>
        <w:pStyle w:val="Heading1"/>
        <w:keepNext/>
        <w:pageBreakBefore w:val="0"/>
      </w:pPr>
      <w:r>
        <w:t>27. SecurityEvent y auditoría</w:t>
      </w:r>
    </w:p>
    <w:p>
      <w:r>
        <w:t>Se emiten source_validated y governance_model_selected, además de request_created/submitted/review_started/approved/workspace_created. Metadata incluye tenant, actor, request number, governance model, source context y hashes.</w:t>
      </w:r>
    </w:p>
    <w:p>
      <w:pPr>
        <w:pStyle w:val="Heading1"/>
        <w:keepNext/>
        <w:pageBreakBefore/>
      </w:pPr>
      <w:r>
        <w:t>28. PostgreSQL E2E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3400"/>
        <w:gridCol w:w="596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596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Schema 0042</w:t>
            </w:r>
          </w:p>
        </w:tc>
        <w:tc>
          <w:tcPr>
            <w:tcW w:type="dxa" w:w="59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07D ausente —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Schema 0043</w:t>
            </w:r>
          </w:p>
        </w:tc>
        <w:tc>
          <w:tcPr>
            <w:tcW w:type="dxa" w:w="59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07D presente; multi-source ausente —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Schema 0044</w:t>
            </w:r>
          </w:p>
        </w:tc>
        <w:tc>
          <w:tcPr>
            <w:tcW w:type="dxa" w:w="59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9 columnas, FK, índices parciales y NOT NULL —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Primera corrida</w:t>
            </w:r>
          </w:p>
        </w:tc>
        <w:tc>
          <w:tcPr>
            <w:tcW w:type="dxa" w:w="59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69 pruebas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Rebuild final</w:t>
            </w:r>
          </w:p>
        </w:tc>
        <w:tc>
          <w:tcPr>
            <w:tcW w:type="dxa" w:w="59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52 pruebas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Reversibilidad</w:t>
            </w:r>
          </w:p>
        </w:tc>
        <w:tc>
          <w:tcPr>
            <w:tcW w:type="dxa" w:w="59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0044→0043→0044 y 0044→0042→0044 — PASS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 Docker completo</w:t>
            </w:r>
          </w:p>
        </w:tc>
        <w:tc>
          <w:tcPr>
            <w:tcW w:type="dxa" w:w="59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477 PASS, 13 skips, 0 fallos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29. Pruebas frontend</w:t>
      </w:r>
    </w:p>
    <w:p>
      <w:r>
        <w:t>TypeScript compila sin errores; Vite generó el bundle de producción. La suite completa cerró 35 archivos y 194 pruebas PASS; las 33 pruebas focalizadas Project/Enterprise también pasaron. Se validaron selector de gobernanza, campos directos, source preview, overview y políticas ADMIN, además de las regresiones BIM/Enterprise existentes.</w:t>
      </w:r>
    </w:p>
    <w:p>
      <w:pPr>
        <w:pStyle w:val="Heading1"/>
        <w:keepNext/>
        <w:pageBreakBefore w:val="0"/>
      </w:pPr>
      <w:r>
        <w:t>30. Browser E2E</w:t>
      </w:r>
    </w:p>
    <w:p>
      <w:r>
        <w:t>Chromium recorrió login ADMIN, Enterprise Structure Configuration, tres tabs de policy, cambio a USER, Enterprise Explorer, Create Project y los formularios dinámicos Direct/Contract/Capital. Resultado final: 1 escenario PASS en 19.0 s contra el localhost actualizado.</w:t>
      </w:r>
    </w:p>
    <w:p>
      <w:pPr>
        <w:pStyle w:val="Heading1"/>
        <w:keepNext/>
        <w:pageBreakBefore w:val="0"/>
      </w:pPr>
      <w:r>
        <w:t>31. Regresión Gate 07D</w:t>
      </w:r>
    </w:p>
    <w:p>
      <w:r>
        <w:t>La ruta StrategicGateDecision APPROVE → CAPITAL_OWNER → Project PENDING → target Portfolio Membership → READY_FOR_PORTFOLIO_PLANNING permanece en el servicio y fue incluida en las suites SQLite/PostgreSQL. No se agregaron FID, scoring ni Portfolio Evaluation.</w:t>
      </w:r>
    </w:p>
    <w:p>
      <w:pPr>
        <w:pStyle w:val="Heading1"/>
        <w:keepNext/>
        <w:pageBreakBefore w:val="0"/>
      </w:pPr>
      <w:r>
        <w:t>32. Baseline antes/después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350"/>
        <w:gridCol w:w="2900"/>
        <w:gridCol w:w="2830"/>
        <w:gridCol w:w="1280"/>
      </w:tblGrid>
      <w:tr>
        <w:trPr>
          <w:tblHeader w:val="true"/>
          <w:cantSplit/>
        </w:trPr>
        <w:tc>
          <w:tcPr>
            <w:tcW w:type="dxa" w:w="235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290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Antes</w:t>
            </w:r>
          </w:p>
        </w:tc>
        <w:tc>
          <w:tcPr>
            <w:tcW w:type="dxa" w:w="283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Después</w:t>
            </w:r>
          </w:p>
        </w:tc>
        <w:tc>
          <w:tcPr>
            <w:tcW w:type="dxa" w:w="128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Alembic persistente</w:t>
            </w:r>
          </w:p>
        </w:tc>
        <w:tc>
          <w:tcPr>
            <w:tcW w:type="dxa" w:w="29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20260813_0042</w:t>
            </w:r>
          </w:p>
        </w:tc>
        <w:tc>
          <w:tcPr>
            <w:tcW w:type="dxa" w:w="283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20260820_0044</w:t>
            </w:r>
          </w:p>
        </w:tc>
        <w:tc>
          <w:tcPr>
            <w:tcW w:type="dxa" w:w="128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 Workspace ID 14</w:t>
            </w:r>
          </w:p>
        </w:tc>
        <w:tc>
          <w:tcPr>
            <w:tcW w:type="dxa" w:w="29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MD5 eea3648c6908a267d1e0651828ff4459</w:t>
            </w:r>
          </w:p>
        </w:tc>
        <w:tc>
          <w:tcPr>
            <w:tcW w:type="dxa" w:w="283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Mismo MD5</w:t>
            </w:r>
          </w:p>
        </w:tc>
        <w:tc>
          <w:tcPr>
            <w:tcW w:type="dxa" w:w="128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Sin mutación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API ready</w:t>
            </w:r>
          </w:p>
        </w:tc>
        <w:tc>
          <w:tcPr>
            <w:tcW w:type="dxa" w:w="29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Operativa</w:t>
            </w:r>
          </w:p>
        </w:tc>
        <w:tc>
          <w:tcPr>
            <w:tcW w:type="dxa" w:w="283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HTTP 200 API/DB/Redis</w:t>
            </w:r>
          </w:p>
        </w:tc>
        <w:tc>
          <w:tcPr>
            <w:tcW w:type="dxa" w:w="128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Frontend</w:t>
            </w:r>
          </w:p>
        </w:tc>
        <w:tc>
          <w:tcPr>
            <w:tcW w:type="dxa" w:w="29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localhost:5173</w:t>
            </w:r>
          </w:p>
        </w:tc>
        <w:tc>
          <w:tcPr>
            <w:tcW w:type="dxa" w:w="283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HTTP 200 /app</w:t>
            </w:r>
          </w:p>
        </w:tc>
        <w:tc>
          <w:tcPr>
            <w:tcW w:type="dxa" w:w="128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Template</w:t>
            </w:r>
          </w:p>
        </w:tc>
        <w:tc>
          <w:tcPr>
            <w:tcW w:type="dxa" w:w="29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DRAFT validada</w:t>
            </w:r>
          </w:p>
        </w:tc>
        <w:tc>
          <w:tcPr>
            <w:tcW w:type="dxa" w:w="283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PYP-PRJ-CONSTRUCTION PUBLISHED</w:t>
            </w:r>
          </w:p>
        </w:tc>
        <w:tc>
          <w:tcPr>
            <w:tcW w:type="dxa" w:w="128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Flujo habilitado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33. Riesgos y deuda</w:t>
      </w:r>
    </w:p>
    <w:p>
      <w:pPr>
        <w:pStyle w:val="ListBullet"/>
        <w:spacing w:after="50"/>
      </w:pPr>
      <w:r>
        <w:t>El adapter Contract Award usa snapshot hasta que exista una autoridad contractual pre-Project; integrar después sin cambiar la identidad canónica.</w:t>
      </w:r>
    </w:p>
    <w:p>
      <w:pPr>
        <w:pStyle w:val="ListBullet"/>
        <w:spacing w:after="50"/>
      </w:pPr>
      <w:r>
        <w:t>Las políticas workspace-level están soportadas por backend; la UI actual edita el default tenant y puede ampliarse con selector de scope.</w:t>
      </w:r>
    </w:p>
    <w:p>
      <w:pPr>
        <w:pStyle w:val="ListBullet"/>
        <w:spacing w:after="50"/>
      </w:pPr>
      <w:r>
        <w:t>Mantener los índices parciales y la congelación de source hash en futuras migraciones.</w:t>
      </w:r>
    </w:p>
    <w:p>
      <w:pPr>
        <w:pStyle w:val="ListBullet"/>
        <w:spacing w:after="50"/>
      </w:pPr>
      <w:r>
        <w:t>El bundle BIM es grande pero se mantiene lazy-loaded; no es deuda introducida por esta entrega.</w:t>
      </w:r>
    </w:p>
    <w:p>
      <w:pPr>
        <w:pStyle w:val="Heading1"/>
        <w:keepNext/>
        <w:pageBreakBefore w:val="0"/>
      </w:pPr>
      <w:r>
        <w:t>34. Informe técnico actualizado</w:t>
      </w:r>
    </w:p>
    <w:p>
      <w:r>
        <w:t>Este documento consolida arquitectura, datos, seguridad, UI, migración y evidencias verificadas de la implementación. El ADR 44 y los tests quedan versionados con el código.</w:t>
      </w:r>
    </w:p>
    <w:p>
      <w:pPr>
        <w:pStyle w:val="Heading1"/>
        <w:keepNext/>
        <w:pageBreakBefore w:val="0"/>
      </w:pPr>
      <w:r>
        <w:t>35. Estado final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45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7"/>
              </w:rPr>
              <w:t>READY_FOR_MULTI_SOURCE_PROJECT_CREATION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Todos los criterios de aceptación de esta capa fundacional están cubiertos: identidad/proceso únicos, tres modelos, Project Type independiente, PENDING común, readiness por política, RBAC/Four-eyes/ETag/idempotencia/auditoría, PostgreSQL, frontend, navegador, regresión Gate 07D y baseline protegido.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STOP boundary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45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120" w:type="dxa"/>
              <w:start w:w="145" w:type="dxa"/>
              <w:bottom w:w="120" w:type="dxa"/>
              <w:end w:w="145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7"/>
              </w:rPr>
              <w:t>ALCANCE DETENIDO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 se inició Gate 07E, Portfolio Evaluation, priorización, FEL/PDRI/FID, Contract Management profundo, Procurement ni módulos operativos Project. Se requiere un prompt explícito para continuar cualquiera de esas áreas.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Anexo A. Archivos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Área</w:t>
            </w:r>
          </w:p>
        </w:tc>
        <w:tc>
          <w:tcPr>
            <w:tcW w:type="dxa" w:w="716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Archivo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</w:t>
            </w:r>
          </w:p>
        </w:tc>
        <w:tc>
          <w:tcPr>
            <w:tcW w:type="dxa" w:w="71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backend/app/modules/project_creation/{governance,service,router,schemas,models}.py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ADMIN / readiness</w:t>
            </w:r>
          </w:p>
        </w:tc>
        <w:tc>
          <w:tcPr>
            <w:tcW w:type="dxa" w:w="71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enterprise_structure/project_configuration.py; project_workspace_initialization/service.py; workspace_context/navigator.py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Migración / ADR</w:t>
            </w:r>
          </w:p>
        </w:tc>
        <w:tc>
          <w:tcPr>
            <w:tcW w:type="dxa" w:w="71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backend/alembic/versions/20260820_0044_project_governance_multi_source.py; docs/44-adr-project-governance-multi-source-creation.md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Frontend</w:t>
            </w:r>
          </w:p>
        </w:tc>
        <w:tc>
          <w:tcPr>
            <w:tcW w:type="dxa" w:w="71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ProjectCreationWorkspace.tsx; ProjectWorkspaceConfigurationPanel.tsx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E2E</w:t>
            </w:r>
          </w:p>
        </w:tc>
        <w:tc>
          <w:tcPr>
            <w:tcW w:type="dxa" w:w="71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backend/tests/test_project_creation_process.py; frontend/e2e/project-governance-multi-source.spec.ts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Anexo B. Matriz de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7900"/>
        <w:gridCol w:w="1460"/>
      </w:tblGrid>
      <w:tr>
        <w:trPr>
          <w:tblHeader w:val="true"/>
          <w:cantSplit/>
        </w:trPr>
        <w:tc>
          <w:tcPr>
            <w:tcW w:type="dxa" w:w="790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1460"/>
            <w:vAlign w:val="center"/>
            <w:shd w:fill="0D2A3A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79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Una identidad PROJECT y un ProjectCreationRequest compartido</w:t>
            </w:r>
          </w:p>
        </w:tc>
        <w:tc>
          <w:tcPr>
            <w:tcW w:type="dxa" w:w="14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9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CAPITAL_OWNER, CONTRACTOR_DELIVERY y DIRECT_INTERNAL</w:t>
            </w:r>
          </w:p>
        </w:tc>
        <w:tc>
          <w:tcPr>
            <w:tcW w:type="dxa" w:w="14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9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 Type independiente</w:t>
            </w:r>
          </w:p>
        </w:tc>
        <w:tc>
          <w:tcPr>
            <w:tcW w:type="dxa" w:w="14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9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07D sin regresión</w:t>
            </w:r>
          </w:p>
        </w:tc>
        <w:tc>
          <w:tcPr>
            <w:tcW w:type="dxa" w:w="14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9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Contrato sin Idea/Proposal/Gate/Portfolio/FEL/PDRI/FID por defecto</w:t>
            </w:r>
          </w:p>
        </w:tc>
        <w:tc>
          <w:tcPr>
            <w:tcW w:type="dxa" w:w="14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9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PENDING común, inicialización/activación comunes y readiness por modelo</w:t>
            </w:r>
          </w:p>
        </w:tc>
        <w:tc>
          <w:tcPr>
            <w:tcW w:type="dxa" w:w="14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9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Sin creator o entidad paralelos</w:t>
            </w:r>
          </w:p>
        </w:tc>
        <w:tc>
          <w:tcPr>
            <w:tcW w:type="dxa" w:w="14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90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RBAC, Four-eyes, ETag, idempotencia, tenant scope y audit</w:t>
            </w:r>
          </w:p>
        </w:tc>
        <w:tc>
          <w:tcPr>
            <w:tcW w:type="dxa" w:w="1460"/>
            <w:vAlign w:val="center"/>
            <w:shd w:fill="F2F4F7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90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PostgreSQL, frontend, navegador, regresión y baseline protegido</w:t>
            </w:r>
          </w:p>
        </w:tc>
        <w:tc>
          <w:tcPr>
            <w:tcW w:type="dxa" w:w="1460"/>
            <w:vAlign w:val="center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181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B6870"/>
        <w:sz w:val="16"/>
      </w:rPr>
      <w:t xml:space="preserve">P&amp;Pmis Construction AI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B6870"/>
        <w:sz w:val="16"/>
      </w:rPr>
      <w:t>P&amp;Pmis Construction AI  |  Project Governance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color w:val="16222B"/>
      <w:sz w:val="19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D2A3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5B68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648" w:hanging="317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648" w:hanging="317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— Project Governance Model &amp; Multi-Source Project Creation</dc:title>
  <dc:subject>Implementación de creación de Project multi-fuente en P&amp;Pmis Construction AI</dc:subject>
  <dc:creator>P&amp;Pmis Construction AI / Codex</dc:creator>
  <cp:keywords>Project Governance, Gate 05B, Gate 05C, Gate 07D, PostgreSQL, P&amp;Pmis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