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The Republic must provide adequate education assistance to ensure that no child's educational opportunity is determined primarily by the wealth of their territory, and that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The Republic's constitutional literacy standard for citizenship purposes is the CLT, defined in §5.4. Public education must equip students to meet that standard — education for citizenship is a constitutional obligation, not a civic nicety.</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five rights are absolute under any circumstances: the prohibition on torture (§1.3); slavery (§1.4); habeas corpus (§1.14); the right to a public trial (§1.18); and no retroactive punishment (§1.19).</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PM and the Senate Speaker jointly certify the incapacity and publish the certification to the NRS within 6 hours; Acting Presidential Authority activates upon publication. Where the PM is next in the presidential succession line and therefore holds a direct interest in the transfer, the Deputy Speaker substitutes for the PM in the certification.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the President publishing a restoration declaration to the NRS, at which point the President immediately resumes full authority and the Deputy Speaker reverts to their role; or the PM and the Senate Speaker jointly certifying and publishing that the incapacity has ended. Where Temporary Acting Presidential Authority extends beyond 90 consecutive days without restoration, the PM and Senate Speaker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until restoration or permanent certification. Failure to conduct and publish the mandatory 90-day assessment is a constitutional failure for both the PM and the Senate Speaker.</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15% citizen petition, which triggers a national referendum requiring 60% affirmative with 55% participation.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Republic's legislature is bicameral. The House of Representatives is the proportional chamber. Seats are allocated by population with a minimum of one seat per State, a floor of one seat per 750,000 citizens, and a formula that self-scales with population growth. The Legislature may set a higher membership by statute and must publish justification for any formula producing fewer than one seat per 500,000 citizens.</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The seat allocation formula is administered by the LI following each census. The LI publishes the updated seat allocation to the NRS within 30 days of census completion. Where a reapportionment event is triggered between census cycles, the LI recalculates and publishes the revised allocation.</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lowering it by 2/3 supermajority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The Legislature holds supreme authority over immigration — it sets the standards for both gates and may set aggregate limits on total applications processed in any period, provided limits are applied without §1.9 discrimination. Asylum proceedings under §6.4 are explicitly exempt from the Gate 1 requirement: the right to claim and have determined a §1.28 asylum claim exists independently of the dual-gate system and no state's refusal to sponsor can extinguish it. The dual-gate design balances state acceptance — states retain discretion over who they sponsor — against a federal floor that ensures constitutional standards apply uniformly to Gate 2.</w:t>
      </w:r>
    </w:p>
    <w:p>
      <w:pPr>
        <w:spacing w:after="60" w:before="200"/>
        <w:ind w:left="863"/>
      </w:pPr>
      <w:r>
        <w:rPr>
          <w:rFonts w:ascii="Courier New" w:cs="Courier New" w:eastAsia="Courier New" w:hAnsi="Courier New"/>
          <w:b/>
          <w:bCs/>
          <w:color w:val="1B2A4A"/>
          <w:sz w:val="18"/>
          <w:szCs w:val="18"/>
        </w:rPr>
        <w:t xml:space="preserve">§6.1.a–b  </w:t>
      </w:r>
      <w:r>
        <w:rPr>
          <w:rFonts w:ascii="Garamond" w:cs="Garamond" w:eastAsia="Garamond" w:hAnsi="Garamond"/>
          <w:b/>
          <w:bCs/>
          <w:color w:val="1B2A4A"/>
          <w:sz w:val="22"/>
          <w:szCs w:val="22"/>
        </w:rPr>
        <w:t xml:space="preserve">The Dual Gate</w:t>
      </w:r>
    </w:p>
    <w:p>
      <w:pPr>
        <w:spacing w:after="120" w:before="0"/>
        <w:ind w:left="863"/>
        <w:jc w:val="both"/>
      </w:pPr>
      <w:r>
        <w:rPr>
          <w:rFonts w:ascii="Garamond" w:cs="Garamond" w:eastAsia="Garamond" w:hAnsi="Garamond"/>
          <w:color w:val="2a2520"/>
          <w:sz w:val="22"/>
          <w:szCs w:val="22"/>
        </w:rPr>
        <w:t xml:space="preserve">Legal residency requires passing both gates. Gate 1 is the federal substantive assessment — national standards that no State can circumvent. Gate 2 is State acceptance — no State can be forced to absorb unlimited immigration obligations without its participation. The dual-gate architecture prevents two failure modes simultaneously: race-to-the-bottom competition among States offering easy Gate 2 acceptance, and federal imposition of immigration outcomes that States must bear without agreement. The Presidential role (§6.1.c) is to set Gate 1 criteria by executive order within House-enacted parameters — giving the executive flexibility to respond to changing conditions without requiring constant legislative action.</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 a state's decision not to sponsor — are not subject to federal review on the merits of the sponsorship decision. However, where an applicant believes a Gate 1 denial was made on §1.9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Screens citizen referendum petitions for eligibility. Audits the Electoral Commission annually. Reviews accommodation compact compliance under §19.1, Associated Community compact compliance under Article XX, and Article XIV indigenous compact obligations.</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Each Inspectorate is headed by an Inspector General selected through a cross-nominating process that ensures no branch selects its own overseer. The selection mechanisms for each IG are specified in this section.</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Mandate</w:t>
      </w:r>
    </w:p>
    <w:p>
      <w:pPr>
        <w:spacing w:after="120" w:before="0"/>
        <w:ind w:left="431"/>
        <w:jc w:val="both"/>
      </w:pPr>
      <w:r>
        <w:rPr>
          <w:rFonts w:ascii="Garamond" w:cs="Garamond" w:eastAsia="Garamond" w:hAnsi="Garamond"/>
          <w:color w:val="2a2520"/>
          <w:sz w:val="22"/>
          <w:szCs w:val="22"/>
        </w:rPr>
        <w:t xml:space="preserve">The Judicial Inspectorate monitors the court system, administers the SC candidate registry, conducts compliance audits, and certifies lottery draws and panel selections throughout the constitution, including the State Designee Panel, the Regional Boundary Commission, and the RSA Technical Integrity Commission. Its mandate is informational only.</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JI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JI determines whether a targeted law is eligible for referendum. Laws that solely or primarily expand an Article I right are ineligible — the Individual Sovereignty Floor can expand but cannot contract through popular vote. The JI's eligibility determination is final subject only to SC review on an expedited basis within 14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Four status options are available: (a) Compact Status — continued Article XIV compact relationship (default; no election required to remain); (b) Associated Community Status — the Article XIV compact transitions to an Article XX compact relationship under §20.1; (c) Territorial Integration — election to pursue territorial incorporation through §13.6; (d) Full Sovereign Independence — the nation exists outside the Republic's constitutional framework as a fully independent sovereign nation, with the Republic obligated to negotiate a treaty within 24 months governing borders, trade, citizenship, and infrastructure.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nation that elects Full Sovereign Independence under §14.7(d) may not subsequently re-enter Article XIV compact status — subsequent association with the Republic follows §20 or §13.6 as a sovereign entity.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Adequate Allocation</w:t>
      </w:r>
    </w:p>
    <w:p>
      <w:pPr>
        <w:spacing w:after="120" w:before="0"/>
        <w:ind w:left="863"/>
        <w:jc w:val="both"/>
      </w:pPr>
      <w:r>
        <w:rPr>
          <w:rFonts w:ascii="Garamond" w:cs="Garamond" w:eastAsia="Garamond" w:hAnsi="Garamond"/>
          <w:color w:val="2a2520"/>
          <w:sz w:val="22"/>
          <w:szCs w:val="22"/>
        </w:rPr>
        <w:t xml:space="preserve">Media and Communication Standards — campaign communications must clearly identify their sponsor. Fabricated or deceptively edited communications about other candidates are prohibited. Violations are reportable to the EI and may result in contribution return orders.</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Optional Participation</w:t>
      </w:r>
    </w:p>
    <w:p>
      <w:pPr>
        <w:spacing w:after="120" w:before="0"/>
        <w:ind w:left="863"/>
        <w:jc w:val="both"/>
      </w:pPr>
      <w:r>
        <w:rPr>
          <w:rFonts w:ascii="Garamond" w:cs="Garamond" w:eastAsia="Garamond" w:hAnsi="Garamond"/>
          <w:color w:val="2a2520"/>
          <w:sz w:val="22"/>
          <w:szCs w:val="22"/>
        </w:rPr>
        <w:t xml:space="preserve">Foreign Interference — any attempt by a foreign government, foreign national, or foreign-controlled entity to influence a Republic election is a constitutional breach. Both the EI and the President's intelligence domain have concurrent obligations to monitor and report foreign electoral interference. The EC must publish any credible foreign interference finding to the NRS within 24 hours of identification.</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EC Administration</w:t>
      </w:r>
    </w:p>
    <w:p>
      <w:pPr>
        <w:spacing w:after="120" w:before="0"/>
        <w:ind w:left="863"/>
        <w:jc w:val="both"/>
      </w:pPr>
      <w:r>
        <w:rPr>
          <w:rFonts w:ascii="Garamond" w:cs="Garamond" w:eastAsia="Garamond" w:hAnsi="Garamond"/>
          <w:color w:val="2a2520"/>
          <w:sz w:val="22"/>
          <w:szCs w:val="22"/>
        </w:rPr>
        <w:t xml:space="preserve">Incumbent Advantage Rules — constitutional officeholders standing for election in a different race must observe strict separation between their official functions and their campaign activities. Official resources — staff, communications, facilities — may not be used for campaign purposes. The EI audits incumbent campaigns for compliance.</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Separation from the Voting System</w:t>
      </w:r>
    </w:p>
    <w:p>
      <w:pPr>
        <w:spacing w:after="120" w:before="0"/>
        <w:ind w:left="863"/>
        <w:jc w:val="both"/>
      </w:pPr>
      <w:r>
        <w:rPr>
          <w:rFonts w:ascii="Garamond" w:cs="Garamond" w:eastAsia="Garamond" w:hAnsi="Garamond"/>
          <w:color w:val="2a2520"/>
          <w:sz w:val="22"/>
          <w:szCs w:val="22"/>
        </w:rPr>
        <w:t xml:space="preserve">Public Campaign Financing Structure — consistent with §10.3.a, the public financing system provides all registered candidates with equal baseline funding. Candidates who opt into the public system accept the contribution cap in exchange for public funding. Candidates who opt out may raise private contributions but must comply with all disclosure and contribution limit requirements.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Registry Contents</w:t>
      </w:r>
    </w:p>
    <w:p>
      <w:pPr>
        <w:spacing w:after="120" w:before="0"/>
        <w:ind w:left="863"/>
        <w:jc w:val="both"/>
      </w:pPr>
      <w:r>
        <w:rPr>
          <w:rFonts w:ascii="Garamond" w:cs="Garamond" w:eastAsia="Garamond" w:hAnsi="Garamond"/>
          <w:color w:val="2a2520"/>
          <w:sz w:val="22"/>
          <w:szCs w:val="22"/>
        </w:rPr>
        <w:t xml:space="preserve">Matching Funds — the Legislature may by statute create a matching funds component providing additional public funds that match small contributions from citizens. Matching funds incentivize broad citizen participation in campaign financing rather than reliance on a small number of large donors.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Aggregate Attribution</w:t>
      </w:r>
    </w:p>
    <w:p>
      <w:pPr>
        <w:spacing w:after="120" w:before="0"/>
        <w:ind w:left="863"/>
        <w:jc w:val="both"/>
      </w:pPr>
      <w:r>
        <w:rPr>
          <w:rFonts w:ascii="Garamond" w:cs="Garamond" w:eastAsia="Garamond" w:hAnsi="Garamond"/>
          <w:color w:val="2a2520"/>
          <w:sz w:val="22"/>
          <w:szCs w:val="22"/>
        </w:rPr>
        <w:t xml:space="preserve">EC Allocation of Public Funds — the EC allocates public campaign funds based on objective criteria published before each election cycle. Allocation criteria may not be set in a way that systematically advantages incumbents or established parties.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2026-05-18T22:21:23.464Z</dcterms:created>
  <dcterms:modified xsi:type="dcterms:W3CDTF">2026-05-18T22:21:23.479Z</dcterms:modified>
</cp:coreProperties>
</file>

<file path=docProps/custom.xml><?xml version="1.0" encoding="utf-8"?>
<Properties xmlns="http://schemas.openxmlformats.org/officeDocument/2006/custom-properties" xmlns:vt="http://schemas.openxmlformats.org/officeDocument/2006/docPropsVTypes"/>
</file>