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 This section governs a person elected or installed to the office of Civic Consul; the Assembly Speaker serving as Acting Civic Consul under §2.5 or §2.6.a retains their own Assembly seat and does not vacate it. The Civic Consul serves until removed under this section, until the expiration of the consecutive-service limit under §2.5, by resignation, or through the pathways of §3.10. A person who leaves the office of Civic Consul holds no Assembly seat by virtue of having been Civic Consul; the seat vacated on taking office remains filled under §3.2. A former Civic Consul may seek an Assembly seat or, subject to §2.5, the office of Civic Consul again.</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acting role attaches automatically to the sitting Assembly Speaker, who serves as Acting Civic Consul by constitutional operation with authority limited to maintaining existing policy, until a Civic Consul is elected or designated under this section; the acting service is published to the NRS. Acting authority passes only to the standing Speaker and never by designation of the Civic Consul. No election is held to fill the acting role. The Senate may, by 2/3,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vacates their Assembly seat under §2.6,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lastRenderedPageBreak/>
        <w:t>published to the NRS; this appointee holds full Civic Consul authority, vacates their Assembly seat under §2.6,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14:paraId="743CADFF" w14:textId="77777777" w:rsidR="00AF3D56" w:rsidRDefault="00000000">
      <w:pPr>
        <w:spacing w:after="120"/>
        <w:ind w:left="431"/>
        <w:jc w:val="both"/>
      </w:pPr>
      <w:r>
        <w:rPr>
          <w:rFonts w:ascii="Garamond" w:eastAsia="Garamond" w:hAnsi="Garamond" w:cs="Garamond"/>
          <w:color w:val="2A2A2A"/>
          <w:sz w:val="22"/>
          <w:szCs w:val="22"/>
        </w:rPr>
        <w:t xml:space="preserve">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 A person who has made a current disclosure for one federal office satisfies this requirement for elevation to another so long as the disclosure remains accurate. A false or incomplete disclosure is itself a federal offense. No criminal conviction bars a person from federal office except as provided in this section; the weight of a disclosed history is for the voters, or for the selecting body, to judge.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 This bar requires a conviction, not an accusation or a pending charge.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