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Where the executives dispute whether a provision requires new domestic legislation for purposes of the concurrence default, either executive may refer the classification question to the SC for expedited determination within the concurrence period.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must originate with the Civic Consul and pass the Assembly;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and on trade agreement provisions creating direct domestic fiscal obligations; the Civic Consul’s response is advisory and does not constitute a concurrence requirement.</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Elections Panel administers a public dissolution referendum; a simple majority decides. If the Assembly elects a Civic Consul before the dissolution vote is certified, the referendum concludes without effect. Where the dissolution vote passes, a new Assembly general election follows; the Acting mechanism continues until the new Assembly elects a Civic Consul.</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The Assembly may override a solvency objection by simple majority.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 Judicial review of any lead designation must be initiated within 90 days of the lead designation taking effect regardless of whether the emergency is characterized as ongoing; the SC holds expedited jurisdiction over such review.</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i w:val="false"/>
          <w:iCs w:val="false"/>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520"/>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1B2A4A"/>
          <w:sz w:val="18"/>
          <w:szCs w:val="18"/>
        </w:rPr>
        <w:t xml:space="preserve">§2.14.b  </w:t>
      </w:r>
      <w:r>
        <w:rPr>
          <w:rFonts w:ascii="Garamond" w:cs="Garamond" w:eastAsia="Garamond" w:hAnsi="Garamond"/>
          <w:b/>
          <w:bCs/>
          <w:i w:val="false"/>
          <w:iCs w:val="false"/>
          <w:color w:val="1B2A4A"/>
          <w:sz w:val="22"/>
          <w:szCs w:val="22"/>
        </w:rPr>
        <w:t xml:space="preserve">Coordination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domains but their actions are materially incompatible, either may declare a coordination failure by NRS notice. The Legislature may resolve the deadlock by concurrent resolution. Where the Legislature does not act within 30 days, the Legat Consul retains full authority within the Legat domain and the Civic Consul’s executive authority governs the cross-domain interaction pending resolution; this applies to how the domains interact, not to the substance of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80" w:before="200"/>
        <w:ind w:left="431"/>
      </w:pPr>
      <w:r>
        <w:rPr>
          <w:rFonts w:ascii="Courier New" w:cs="Courier New" w:hAnsi="Courier New"/>
          <w:b/>
          <w:bCs/>
          <w:color w:val="1B2A4A"/>
          <w:sz w:val="18"/>
          <w:szCs w:val="18"/>
        </w:rPr>
        <w:t xml:space="preserve">§2.16  </w:t>
      </w:r>
      <w:r>
        <w:rPr>
          <w:rFonts w:ascii="Garamond" w:cs="Garamond" w:hAnsi="Garamond"/>
          <w:b/>
          <w:bCs/>
          <w:color w:val="1B2A4A"/>
          <w:sz w:val="22"/>
          <w:szCs w:val="22"/>
        </w:rPr>
        <w:t xml:space="preserve">Federal Prosecution</w:t>
      </w:r>
    </w:p>
    <w:p>
      <w:pPr>
        <w:spacing w:after="120" w:before="0"/>
        <w:ind w:left="431"/>
        <w:jc w:val="both"/>
      </w:pPr>
      <w:r>
        <w:rPr>
          <w:rFonts w:ascii="Garamond" w:cs="Garamond" w:hAnsi="Garamond"/>
          <w:color w:val="2a2520"/>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and compact agreement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80" w:before="200"/>
        <w:ind w:left="431"/>
      </w:pPr>
      <w:r>
        <w:rPr>
          <w:rFonts w:ascii="Courier New" w:cs="Courier New" w:eastAsia="Courier New" w:hAnsi="Courier New"/>
          <w:b/>
          <w:bCs/>
          <w:color w:val="1B2A4A"/>
          <w:sz w:val="18"/>
          <w:szCs w:val="18"/>
        </w:rPr>
        <w:t xml:space="preserve">§3.14  </w:t>
      </w:r>
      <w:r>
        <w:rPr>
          <w:rFonts w:ascii="Garamond" w:cs="Garamond" w:eastAsia="Garamond" w:hAnsi="Garamond"/>
          <w:b/>
          <w:bCs/>
          <w:i w:val="false"/>
          <w:iCs w:val="false"/>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w:t>
      </w:r>
    </w:p>
    <w:p>
      <w:pPr>
        <w:spacing w:after="80" w:before="200"/>
        <w:ind w:left="431"/>
      </w:pPr>
      <w:r>
        <w:rPr>
          <w:rFonts w:ascii="Courier New" w:cs="Courier New" w:eastAsia="Courier New" w:hAnsi="Courier New"/>
          <w:b/>
          <w:bCs/>
          <w:color w:val="1B2A4A"/>
          <w:sz w:val="18"/>
          <w:szCs w:val="18"/>
        </w:rPr>
        <w:t xml:space="preserve">§3.15  </w:t>
      </w:r>
      <w:r>
        <w:rPr>
          <w:rFonts w:ascii="Garamond" w:cs="Garamond" w:eastAsia="Garamond" w:hAnsi="Garamond"/>
          <w:b/>
          <w:bCs/>
          <w:i w:val="false"/>
          <w:iCs w:val="false"/>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delegate defined authorities within its legislative competence to the Legat Consul, the Civic Consul, or established agencies. Any delegation must specify the exact scope of authority delegated, the conditions on its exercise, and a maximum duration.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and publishes findings to the NRS annually.</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basic legal qualifications defined by statute may apply to the Elections Panel; the Elections Panel enters qualifying applicants into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520"/>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Judicial Pool — SC Eligibility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Judicial Pool.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Monitor Removal Obstruction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constitutional actor may obstruct or delay a Monitor’s access to records, personnel, or systems within that Monitor’s audit mandate. Obstruction of a Monitor in the performance of its mandate is a constitutional breach, published to the NRS by the remaining two Monitors.</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under §4.3.b and elected executives.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spacing w:after="60" w:before="200"/>
        <w:ind w:left="431"/>
        <w:jc w:val="left"/>
      </w:pPr>
      <w:r>
        <w:rPr>
          <w:rFonts w:ascii="Courier New" w:cs="Courier New" w:eastAsia="Courier New" w:hAnsi="Courier New"/>
          <w:b/>
          <w:bCs/>
          <w:color w:val="1B2A4A"/>
          <w:sz w:val="18"/>
          <w:szCs w:val="18"/>
        </w:rPr>
        <w:t xml:space="preserve">§9.14.a  </w:t>
      </w:r>
      <w:r>
        <w:rPr>
          <w:rFonts w:ascii="Garamond" w:cs="Garamond" w:eastAsia="Garamond" w:hAnsi="Garamond"/>
          <w:b/>
          <w:bCs/>
          <w:color w:val="1B2A4A"/>
          <w:sz w:val="22"/>
          <w:szCs w:val="22"/>
        </w:rPr>
        <w:t xml:space="preserve">Constitutional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Track is available where the Standard Track’s legislative threshold appears unreachable due to demonstrated political gridlock. Where two of the three Monitors jointly assess and report for-cause grounds and petition the SC, the SC determines within 30 days whether the grounds constitute sufficient cause for suspension; where the SC fails to rule within 30 days, cause is deemed found. If cause is found or deemed found, the officer is suspended and the most senior deputy acts in the interim. The Senate has 60 days to hold a removal vote; 3/5 of full seated membership is required for permanent removal. A vote failing 3/5 reinstates the officer and closes the process. Where the Senate fails to vote within 60 days, the matter is placed before the next federal electoral period ballot; removal requires 60% of votes cast. Officers of independent agencies established under §3.9 are not subject to this framework; their removal is governed by the establishing statute, which must preserve the for-cause removal principle.</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has exclusive authority to levy taxes, duties, and tariffs by statute; no other body may impose a tax, duty, or levy. All public money received by the Republic — including tax revenue, fees, and other receipts — is deposited into the National Revenue Fund. No money may be withdrawn from the National Revenue Fund except by legislative appropriation under §12.2; the EM audits the Fund’s receipts and disbursements as part of its annual fiscal mandate. No tax may discriminate on the basis of the characteristics listed in §1.6. The Legislature sets tax rates for all jurisdictions within the Republic, including States, Territories, and Associated Communities. Tariff rates established by a ratified treaty under §3.6 constitute legislatively authorized rates for the duration of that treaty;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 Departures from ordinary professional standards require a demonstrable operational need, documented and published to the NRS, and are limited to the minimum extent that need requires.</w:t>
      </w:r>
    </w:p>
    <w:p>
      <w:pPr>
        <w:spacing w:after="8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8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in at least one-third of all States and Territories, with no single State or Territory contributing more than the share defined by statute.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in at least one-third of all States and Territories, with no single State or Territory contributing more than the share defined by statute.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(§9.14.a). The Legislature may not set a higher or lower threshold for any direct electoral supermajority determination without a constitutional amendment. This provision does not govern the optional referendum under §13.1 or the citizen legislative initiative under §13.2, which state their own thresholds;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three paths: a two-year federal remediation commission; a State-managed remediation plan subject to LM quarterly assessment of progress against the published compliance requirements; or devolution to Territory status.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and acceptance by the Legislature by 2/3 of both chambers. Under §9.1, either chamber may request a JM assessment of the entity's compliance with §1.19.b before the incorporation vote; published JM findings must be given due consideration. Any person with standing may challenge the incorporation before the SC on the ground that the entity systematically violates §1.19.b.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1B2A4A"/>
          <w:sz w:val="18"/>
          <w:szCs w:val="18"/>
        </w:rPr>
        <w:t xml:space="preserve">§15.8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compact establishes a working mechanism for implementation and day-to-day administration in a form the parties agree. The Legat Consul designates a ministerial counterpart within the Legat Consul’s office for each compact relationship;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and exit terms are concluded; exit terms are negotiated by the Legat Consul and ratified by the Senate under §3.6; if no exit agreement is reached within 24 months, either party may petition the SC to resolve the outstanding terms.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Elections Panel,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Elections Panel petition verification. Citizen initiative amendments are subject to §17.3 consistency analysis by the LM, advisory only. Amendment of the following provisions requires Popular Ratification regardless of the amendment’s origin: the Monitor selection mechanisms and independence protections (§9.2–§9.5), the Monitor information-only mandate and non-dependency principle (§9.1), the Monitor funding guarantee (§9.10), the NRS architecture and permanence requirements (§10.1), and the Elections Panel and NRS Panel independence (§11.1). These provisions may not be amended by State Ratification alone.</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§5.1.a,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sovereign nations — those that have achieved full sovereignty through a status election under §16.7, through the constitutional amendment process, or recognized as pre-existing sovereigns under Article XVI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