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The State's legitimate role is safety and standards: licensing, scope of practice, and quality regulation. State governments may regulate which services licensed professionals offer within their jurisdiction. No State may impose civil or criminal liability on a person for receiving lawful medical care outside that State's jurisdiction, on a person who assists another in travelling to receive such care, on a provider within the State who refers a patient to out-of-state care or provides information about it, or on an out-of-state provider who performs care lawful where it is performed.</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§2.1.f.ii  </w:t>
      </w:r>
      <w:r>
        <w:rPr>
          <w:rFonts w:ascii="Garamond" w:cs="Garamond" w:eastAsia="Garamond" w:hAnsi="Garamond"/>
          <w:b/>
          <w:bCs/>
          <w:i w:val="false"/>
          <w:iCs w:val="false"/>
          <w:color w:val="1B2A4A"/>
          <w:sz w:val="22"/>
          <w:szCs w:val="22"/>
        </w:rPr>
        <w:t xml:space="preserve">Veto Suspension for Repeated Void Vetoes</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Supreme Court voids three Presidential vetoes on scope or justification grounds within any 180-day period, the President's veto authority is suspended for the remainder of that period. The Legislative Inspectorate publishes a finding to the NRS upon suspension. Suspension affects only the veto power — all other presidential authority, including Tier 1 through Tier 3 military authorization, remains fully operative.</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where the agreement materially affects the domestic economy. National treatment obligations within Republic territory require PM concurrence, as they directly govern how domestic industry is regulated. Where PM concurrence is withheld, domestic provisions may be transmitted to the House Speaker as ordinary legislation.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Civil servants must refuse and report any order that lacks required PM fund certification, violates any Article I right, or has not been recorded on the National Record System. A civil servant who refuses an unconstitutional order may not be dismissed, demoted, or penalized for that refusal. The EI reports any attempt to penalize a refusing civil servant to the NRS.</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 a permanent succession event — their Senate seat is immediately vacated and the Deputy Speaker assumes the Speaker role. A special presidential election must be held within 90 days of the vacancy. This seat vacation applies only to §2.6.a permanent succession; it does not apply to Temporary Acting Presidential Authority under §2.6.b.</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Temporary Acting Presidential Authority activates through one of two mechanisms. (a) Voluntary transfer: the President publishes a declaration of temporary transfer to the NRS specifying the reason and expected duration; Acting Presidential Authority activates at the moment of NRS publication. (b) Involuntary certification: where the President is suddenly incapacitated and cannot make a voluntary declaration, the Executive Inspectorate and Legislative Inspectorate jointly assess the President's capacity to perform presidential functions. If both Inspectorates reach the same conclusion, they publish a joint assessment to the NRS within 6 hours. The Prime Minister must affirm or formally decline the joint assessment within 3 hours of its NRS publication. If the PM affirms, the Senate Speaker activates Acting Presidential Authority immediately upon NRS publication of the PM's affirmation. If the PM formally declines or fails to respond within 3 hours, either Inspectorate may refer the matter to the most senior available Supreme Court justice. If the justice agrees with the joint Inspectorate assessment, the Senate Speaker acts as Acting President on a provisional basis until an emergency Supreme Court panel delivers a definitive ruling, or the President resumes presidential duties, whichever occurs first. If the justice does not agree, no provisional activation occurs; the matter proceeds to the court panel with the President remaining in office. If the EI and LI reach different conclusions in their assessments, no certification is possible and there is no further recourse under this provision; the President remains in office. A PM who formally declines a joint Inspectorate incapacity assessment without stating constitutional grounds is in constitutional compliance failure; the EI publishes a finding of that failure to the NRS. During any period of Temporary Acting Presidential Authority: (1) the Senate Speaker exercises all constitutional powers of the presidential office, including Tier 1 through Tier 3 military authority, treaty functions, and intelligence oversight; (2) the Senate Speaker retains their Senate seat, which is not vacated; (3) the Deputy Speaker assumes the Senate's presiding functions and the Speaker's position in the presidential succession line for the duration; (4) no special presidential election is triggered; (5) the acting period does not constitute a succession event under §2.6.a and does not expend or initiate any presidential term. Temporary Acting Presidential Authority ends upon: (i) the President publishing a restoration declaration to the NRS, at which point the President immediately resumes full authority; or (ii) the EI and LI jointly certifying and publishing to the NRS that the incapacity has ended, with PM affirmation within 3 hours, at which point the President immediately resumes full authority. Where Temporary Acting Presidential Authority extends beyond 90 consecutive days without restoration, the EI and LI must jointly assess whether the incapacity has become permanent and publish their assessment to the NRS within 7 days of the 90-day mark, with PM affirmation required within 3 hours. The PM refusal mechanism applies identically to this reassessment. If permanent incapacity is certified, §2.6.a succession activates immediately — Acting Presidential Authority converts to full succession, the Speaker's Senate seat is vacated, and the Deputy Speaker assumes the Speaker role permanently. If continued temporary incapacity is certified, Acting Presidential Authority continues and the assessment repeats every 30 days until restoration or permanent certification.</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does not thereby expend their single non-renewable term. They must stand for election at the next regular National Election Day presidential cycle, or at a special presidential election called by the Legislature within 90 days of succession, to continue serving beyond the succession period. If elected, that term constitutes their single non-renewable term. If not elected, the next person in the succession line assumes the office or a new election is called.</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Basic Needs funding continuity,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legislative review. The Senate reviews PM clemency grants. The House reviews Presidential clemency grants. Within 7 days of any grant, the granting executive files a written explanatory report with the Executive Inspectorate stating: the identity of the recipient, the nature of the offense pardoned, the grounds for the grant, and any relevant circumstances the executive considered. The EI reviews the report for factual accuracy and completeness within 14 days and publishes its findings to the NRS. The reviewing chamber then has 45 days from the date of EI publication to vote to disapprove the grant by simple majority of those present and voting. If no disapproval vote is held within the 45-day period, the grant is deemed approved and takes full effect. If the reviewing chamber votes to disapprove, the grant is void and the original sentence or legal status is reinstated. Where a grant is voided by disapproval, the executive may not resubmit clemency for the same recipient for one year from the date of the disapproval vote. The EI pre-grant factual background report required under §2.1.g and §2.2.f is distinct from the executive's post-grant explanatory report required by this provision — both are published to the NRS and together form the complete clemency record for any grant. The reviewing chamber's 45-day period begins from the date of EI publication. Neither executive may grant clemency for offenses committed within the other executive's domain; any such grant is void without requiring a disapproval vote.</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by the Legislative Inspectorate every ten years and whenever the Legislature requires reapportionment. Census methodology is published to the NRS before each census. Results are published to the NRS within 90 days of completion and used as the basis for House seat allocation.</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judicial appointments by a supermajority defined by statute (not less than 55%, not more than 67% of full Senate membership). Failure to vote within the confirmation period triggers Deemed Confirmation. The supermajority requirement ensures judicial appointments require cross-party support.</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Electoral Commission — as certified by the JI following a finding that the EC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Electoral Commission draws an interim compliant map under §3.4.b pending State compliance. A State may request drawing consulting from the EC at any point in the redistricting process; such consulting is advisory and does not transfer the State's map-drawing responsibility to the EC. Territorial district maps are drawn by the Electoral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Electoral Commission draws an interim compliant map using the §3.4.a criteria, which takes effect at the next election. The EC-drawn interim map is not permanent — it is retired automatically when the State submits and the LI certifies a compliant State-drawn map. Until then, elections proceed on the EC-drawn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EC administers the election directly through the NVS. For Territories holding two or more House seats, the Electoral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EC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Electoral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Elected by the House from among its members by absolute majority. Presides over House proceedings, manages the legislative calendar, and holds Acting Presidential Authority in the Presidential succession chain. The Speaker's dual role — legislative and succession — keeps the succession line within the elected legislative class.</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analysis of any bill that appears to conflict with a constitutional provision, before the bill reaches a final vote. Advisory, not blocking — but creates a permanent NRS record that any member voting for the bill voted with full knowledge of the constitutional concern.</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Statutory Independent Officers — the constitution authorizes the Legislature to create independent statutory offices outside both executive domains. They exercise regulatory, quasi-judicial, or administrative functions with constitutional independence — neither executive may direct their operations.</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EI must publish a factual finding before any removal vote.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of 55–67% of full seated membership, as the Legislature defines by statute. Before the confirmation vote, the PM submits the nominee's disclosure record to the EI; the EI publishes its review before the vote. Where the PM fails to nominate within 90 days, the Senate may nominate directly. The confirmation period is prorated where nomination occurs late. No vacancy may remain unfilled beyond 180 days; Deemed Confirmation applies at that ceiling if no vote has been held.</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once commissioned, serve during good behavior with no fixed term. The Legislature may establish a maximum service age or maximum total service period (not less than 15 years from first commissioning), but may not create fixed-term appointments shorter than 15 years. Ensures judicial independence from political branches — a judge who must seek reappointment is not fully independent.</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Open-Candidacy Judicial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elected by national ranked-choice vote from an open pool of registered candidates. No political branch nominates, appoints, or confirms SC justices. Three justices are elected every four years under a staggered class system; each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§4.2.a  </w:t>
      </w:r>
      <w:r>
        <w:rPr>
          <w:rFonts w:ascii="Garamond" w:cs="Garamond" w:eastAsia="Garamond" w:hAnsi="Garamond"/>
          <w:b/>
          <w:bCs/>
          <w:i w:val="false"/>
          <w:iCs w:val="false"/>
          <w:color w:val="1B2A4A"/>
          <w:sz w:val="22"/>
          <w:szCs w:val="22"/>
        </w:rPr>
        <w:t xml:space="preserve">Candidate 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on the SC Candidate Registry (maintained by the JI under §8.4.e) may stand by filing a full disclosure record with the EI. The EI reviews within 14 days for factual accuracy — not to assess the quality of credentials. A candidate with a material inaccuracy is removed from the ballot; the EI publishes the grounds.</w:t>
      </w:r>
    </w:p>
    <w:p>
      <w:pPr>
        <w:spacing w:after="60" w:before="200"/>
        <w:ind w:left="431"/>
        <w:jc w:val="left"/>
      </w:pPr>
      <w:r>
        <w:rPr>
          <w:rFonts w:ascii="Courier New" w:cs="Courier New" w:eastAsia="Courier New" w:hAnsi="Courier New"/>
          <w:b/>
          <w:bCs/>
          <w:color w:val="1B2A4A"/>
          <w:sz w:val="18"/>
          <w:szCs w:val="18"/>
        </w:rPr>
        <w:t xml:space="preserve">§4.2.b  </w:t>
      </w:r>
      <w:r>
        <w:rPr>
          <w:rFonts w:ascii="Garamond" w:cs="Garamond" w:eastAsia="Garamond" w:hAnsi="Garamond"/>
          <w:b/>
          <w:bCs/>
          <w:i w:val="false"/>
          <w:iCs w:val="false"/>
          <w:color w:val="1B2A4A"/>
          <w:sz w:val="22"/>
          <w:szCs w:val="22"/>
        </w:rPr>
        <w:t xml:space="preserve">Judicial Selection Board</w:t>
      </w:r>
    </w:p>
    <w:p>
      <w:pPr>
        <w:spacing w:after="120" w:before="0"/>
        <w:ind w:left="431"/>
        <w:jc w:val="both"/>
      </w:pPr>
      <w:r>
        <w:rPr>
          <w:rFonts w:ascii="Garamond" w:cs="Garamond" w:eastAsia="Garamond" w:hAnsi="Garamond"/>
          <w:b w:val="false"/>
          <w:bCs w:val="false"/>
          <w:i w:val="false"/>
          <w:iCs w:val="false"/>
          <w:color w:val="2a2520"/>
          <w:sz w:val="22"/>
          <w:szCs w:val="22"/>
        </w:rPr>
        <w:t xml:space="preserve">Five senior judges (at least 10 years continuous service) chosen by lot by the JI from all eligible judges who are not themselves candidates. Advisory assessment of every candidate's judicial record, legal reasoning, and professional independence. Advisory only — no ballot access authority, no endorsement. Published no later than 60 days before the election.</w:t>
      </w:r>
    </w:p>
    <w:p>
      <w:pPr>
        <w:spacing w:after="60" w:before="200"/>
        <w:ind w:left="431"/>
        <w:jc w:val="left"/>
      </w:pPr>
      <w:r>
        <w:rPr>
          <w:rFonts w:ascii="Courier New" w:cs="Courier New" w:eastAsia="Courier New" w:hAnsi="Courier New"/>
          <w:b/>
          <w:bCs/>
          <w:color w:val="1B2A4A"/>
          <w:sz w:val="18"/>
          <w:szCs w:val="18"/>
        </w:rPr>
        <w:t xml:space="preserve">§4.2.c  </w:t>
      </w:r>
      <w:r>
        <w:rPr>
          <w:rFonts w:ascii="Garamond" w:cs="Garamond" w:eastAsia="Garamond" w:hAnsi="Garamond"/>
          <w:b/>
          <w:bCs/>
          <w:i w:val="false"/>
          <w:iCs w:val="false"/>
          <w:color w:val="1B2A4A"/>
          <w:sz w:val="22"/>
          <w:szCs w:val="22"/>
        </w:rPr>
        <w:t xml:space="preserve">Judicial Inspectorate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confirms that each candidate remains on the SC Candidate Registry and that no disqualifying change has occurred since Registry admission. Candidates who fail JI certification may appeal under §8.4.i.</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Public 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RCV election administered by the Electoral Commission. All JI-certified candidates appear on the ballot. Winner achieves a national RCV majority. The EC certifies the result; the elected justice takes the Official Oath. Recorded on the NRS within 24 hours.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vacancy triggers a special election within 180 days. The full open-candidacy process applies with compressed timelines: registration Day 30, EI review Day 60, Board assessment Day 90, JI certification Day 120, election Day 180.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all nine seats are filled simultaneously, then assigned to three classes by public lot drawn by the JI. Class A: 4-year initial term. Class B: 8-year initial term. Class C: 12-year initial term. All subsequent terms: 12 years. The lot assignment is published to the NRS before any justice takes the oath. Three seats elected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findings published by the LI, EI, or JI are admissible as authoritative factual evidence in judicial proceedings. Courts must address any inconsistency between their factual findings and a prior Inspectorate finding in written decisions. Inspectorate findings are not judicial determinations — courts retain full authority to reach different factual conclusions — but must explain why.</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 Professional licenses issued by any State or Territory receive recognition across all States and Territories. §1.13 governs any State departure from the recognition default.</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§5.1.g  </w:t>
      </w:r>
      <w:r>
        <w:rPr>
          <w:rFonts w:ascii="Garamond" w:cs="Garamond" w:eastAsia="Garamond" w:hAnsi="Garamond"/>
          <w:b/>
          <w:bCs/>
          <w:i w:val="false"/>
          <w:iCs w:val="false"/>
          <w:color w:val="1B2A4A"/>
          <w:sz w:val="22"/>
          <w:szCs w:val="22"/>
        </w:rPr>
        <w:t xml:space="preserve">Accelerated Naturalization — Long-Term Pre-Ratification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resided continuously in the Republic's territory for five or more years immediately before Day Zero but did not hold predecessor voting rights — including persons disenfranchised by laws subsequently nullified under §19.2 — may apply for citizenship through an accelerated process the Legislature must establish within one year of Phase 4. The process must waive the CLT requirement and must be completed within 90 days of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nominated by the PM from a Candidate Register, confirmed by the Senate. Structural independence from partisan influence: the CLT process cannot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SC, and Electoral Commission seats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a two-component national system that combines a ranked-choice popular vote with regional representation. No candidate may win the presidency on the basis of either component alone.</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A candidate must achieve both a national majority and broad geographic distribution under the combined score mechanism in §7.2.b. The Electoral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The Combined Score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achieves a national RCV majority, the combined score determines the winner. The combined score weights national first-preference totals at 65% and regional performance across the presidential election regions at 35%. The regional component requires a winning candidate to demonstrate support distributed across the Republic's geographic breadth, not only its most densely populated areas. The formula is published by statute and administered by the Electoral Commission. Where two candidates finish within 0.5 percentage points of each other on the final combined score, a runoff is required under §7.2.f.</w:t>
      </w:r>
    </w:p>
    <w:p>
      <w:pPr>
        <w:spacing w:after="60" w:before="200"/>
        <w:ind w:left="431"/>
        <w:jc w:val="left"/>
      </w:pPr>
      <w:r>
        <w:rPr>
          <w:rFonts w:ascii="Courier New" w:cs="Courier New" w:eastAsia="Courier New" w:hAnsi="Courier New"/>
          <w:b/>
          <w:bCs/>
          <w:color w:val="1B2A4A"/>
          <w:sz w:val="18"/>
          <w:szCs w:val="18"/>
        </w:rPr>
        <w:t xml:space="preserve">§7.2.c  </w:t>
      </w:r>
      <w:r>
        <w:rPr>
          <w:rFonts w:ascii="Garamond" w:cs="Garamond" w:eastAsia="Garamond" w:hAnsi="Garamond"/>
          <w:b/>
          <w:bCs/>
          <w:i w:val="false"/>
          <w:iCs w:val="false"/>
          <w:color w:val="1B2A4A"/>
          <w:sz w:val="22"/>
          <w:szCs w:val="22"/>
        </w:rPr>
        <w:t xml:space="preserve">Presidential Election Regions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 regions provide the geographic breadth component of the combined score, ensuring that a winning candidate builds support across the Republic's geographic spread rather than only its population centres. The number of regions is defined by the Legislature by statute. Regions are drawn by the Regional Boundary Commission — a body constituted by lottery from State-maintained candidate pools — under the same criteria hierarchy that governs House redistricting. The Electoral Commission administers the election within the regions; it plays no role in drawing them.</w:t>
      </w:r>
    </w:p>
    <w:p>
      <w:pPr>
        <w:spacing w:after="60" w:before="200"/>
        <w:ind w:left="431"/>
        <w:jc w:val="left"/>
      </w:pPr>
      <w:r>
        <w:rPr>
          <w:rFonts w:ascii="Courier New" w:cs="Courier New" w:eastAsia="Courier New" w:hAnsi="Courier New"/>
          <w:b/>
          <w:bCs/>
          <w:color w:val="1B2A4A"/>
          <w:sz w:val="18"/>
          <w:szCs w:val="18"/>
        </w:rPr>
        <w:t xml:space="preserve">§7.2.c.i  </w:t>
      </w:r>
      <w:r>
        <w:rPr>
          <w:rFonts w:ascii="Garamond" w:cs="Garamond" w:eastAsia="Garamond" w:hAnsi="Garamond"/>
          <w:b/>
          <w:bCs/>
          <w:i w:val="false"/>
          <w:iCs w:val="false"/>
          <w:color w:val="1B2A4A"/>
          <w:sz w:val="22"/>
          <w:szCs w:val="22"/>
        </w:rPr>
        <w:t xml:space="preserve">State Candidate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Regional Boundary Pool for each redistricting cycle. Any person may be placed into a State's Pool through the State's own constitutional or statutory process, provided they meet three eligibility requirements at the time of entry: at least five continuous years of Republic citizenship; at least five continuous years of residency in the State whose Pool they are entering; and no current elected office. The LI certifies eligibility before entry — ministerially, not selectively. States determine through their own process how candidates are nominated from among those eligible. An entrant who takes elected office after entering the Pool is ineligible to be drawn for so long as they hold that office; if drawn while in elected office, the JI draws a replacement from the same State's eligible Pool. The LI maintains each State's Pool as a public record on the NRS. States need only submit names to the LI for certification and pay their drawn representative during commission service.</w:t>
      </w:r>
    </w:p>
    <w:p>
      <w:pPr>
        <w:spacing w:after="60" w:before="200"/>
        <w:ind w:left="431"/>
        <w:jc w:val="left"/>
      </w:pPr>
      <w:r>
        <w:rPr>
          <w:rFonts w:ascii="Courier New" w:cs="Courier New" w:eastAsia="Courier New" w:hAnsi="Courier New"/>
          <w:b/>
          <w:bCs/>
          <w:color w:val="1B2A4A"/>
          <w:sz w:val="18"/>
          <w:szCs w:val="18"/>
        </w:rPr>
        <w:t xml:space="preserve">§7.2.c.ii  </w:t>
      </w:r>
      <w:r>
        <w:rPr>
          <w:rFonts w:ascii="Garamond" w:cs="Garamond" w:eastAsia="Garamond" w:hAnsi="Garamond"/>
          <w:b/>
          <w:bCs/>
          <w:i w:val="false"/>
          <w:iCs w:val="false"/>
          <w:color w:val="1B2A4A"/>
          <w:sz w:val="22"/>
          <w:szCs w:val="22"/>
        </w:rPr>
        <w:t xml:space="preserve">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during the pool-building period. Unused addition slots do not carry forward; a year with fewer than five additions simply has fewer, and unused capacity is permanently lost. If a pool member dies, becomes permanently incapacitated, or declines to remain in the Pool, their position is extinguished and is not replaced. No additional entry may compensate for attrition. The Pool at any draw consists exactly of those entrants added in prior years who remain eligible.</w:t>
      </w:r>
    </w:p>
    <w:p>
      <w:pPr>
        <w:spacing w:after="60" w:before="200"/>
        <w:ind w:left="431"/>
        <w:jc w:val="left"/>
      </w:pPr>
      <w:r>
        <w:rPr>
          <w:rFonts w:ascii="Courier New" w:cs="Courier New" w:eastAsia="Courier New" w:hAnsi="Courier New"/>
          <w:b/>
          <w:bCs/>
          <w:color w:val="1B2A4A"/>
          <w:sz w:val="18"/>
          <w:szCs w:val="18"/>
        </w:rPr>
        <w:t xml:space="preserve">§7.2.c.iii  </w:t>
      </w:r>
      <w:r>
        <w:rPr>
          <w:rFonts w:ascii="Garamond" w:cs="Garamond" w:eastAsia="Garamond" w:hAnsi="Garamond"/>
          <w:b/>
          <w:bCs/>
          <w:i w:val="false"/>
          <w:iCs w:val="false"/>
          <w:color w:val="1B2A4A"/>
          <w:sz w:val="22"/>
          <w:szCs w:val="22"/>
        </w:rPr>
        <w:t xml:space="preserve">Pool Health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five eligible entrants, the LI publishes a Pool Health Notice — advisory, not compulsory. If a State's Pool is entirely empty at the time of the draw, that State's commission seat is vacant for that cycle. A State with a non-empty but small Pool proceeds to the draw from whatever eligible entrants it has.</w:t>
      </w:r>
    </w:p>
    <w:p>
      <w:pPr>
        <w:spacing w:after="60" w:before="200"/>
        <w:ind w:left="431"/>
        <w:jc w:val="left"/>
      </w:pPr>
      <w:r>
        <w:rPr>
          <w:rFonts w:ascii="Courier New" w:cs="Courier New" w:eastAsia="Courier New" w:hAnsi="Courier New"/>
          <w:b/>
          <w:bCs/>
          <w:color w:val="1B2A4A"/>
          <w:sz w:val="18"/>
          <w:szCs w:val="18"/>
        </w:rPr>
        <w:t xml:space="preserve">§7.2.c.iv  </w:t>
      </w:r>
      <w:r>
        <w:rPr>
          <w:rFonts w:ascii="Garamond" w:cs="Garamond" w:eastAsia="Garamond" w:hAnsi="Garamond"/>
          <w:b/>
          <w:bCs/>
          <w:i w:val="false"/>
          <w:iCs w:val="false"/>
          <w:color w:val="1B2A4A"/>
          <w:sz w:val="22"/>
          <w:szCs w:val="22"/>
        </w:rPr>
        <w:t xml:space="preserve">Commission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each decennial census, the JI constitutes the Regional Boundary Commission by public lottery, drawing one name by lot from each State's eligible Pool. The draw is held in a single public session, witnessed by a representative of each Inspectorate and three citizens selected by jury protocols, and certified jointly by all three Inspectorates in session. The session may be conducted remotely under parameters set by statute; remote participation does not affect the validity of the draw or the certification. The full draw is recorded to the NRS in real time. The commission is one member per State. No substitution or political appointment may replace a drawn member; replacements due to death, incapacitating illness, or disqualifying conflict of interest are drawn from the same State's eligible Pool by the same lottery procedure.</w:t>
      </w:r>
    </w:p>
    <w:p>
      <w:pPr>
        <w:spacing w:after="60" w:before="200"/>
        <w:ind w:left="431"/>
        <w:jc w:val="left"/>
      </w:pPr>
      <w:r>
        <w:rPr>
          <w:rFonts w:ascii="Courier New" w:cs="Courier New" w:eastAsia="Courier New" w:hAnsi="Courier New"/>
          <w:b/>
          <w:bCs/>
          <w:color w:val="1B2A4A"/>
          <w:sz w:val="18"/>
          <w:szCs w:val="18"/>
        </w:rPr>
        <w:t xml:space="preserve">§7.2.c.v  </w:t>
      </w:r>
      <w:r>
        <w:rPr>
          <w:rFonts w:ascii="Garamond" w:cs="Garamond" w:eastAsia="Garamond" w:hAnsi="Garamond"/>
          <w:b/>
          <w:bCs/>
          <w:i w:val="false"/>
          <w:iCs w:val="false"/>
          <w:color w:val="1B2A4A"/>
          <w:sz w:val="22"/>
          <w:szCs w:val="22"/>
        </w:rPr>
        <w:t xml:space="preserve">Commission 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Commission members are compensated by their State for days in active session only. Service on the commission is temporary and session-based; no retainer, salary, or ongoing compensation is provided outside of active session days. The federal government reimburses each State for session compensation paid to its commission member. Reimbursement rates and procedures are established by statute. The identity of each drawn commission member and their days in session are published to the NRS.</w:t>
      </w:r>
    </w:p>
    <w:p>
      <w:pPr>
        <w:spacing w:after="60" w:before="200"/>
        <w:ind w:left="431"/>
        <w:jc w:val="left"/>
      </w:pPr>
      <w:r>
        <w:rPr>
          <w:rFonts w:ascii="Courier New" w:cs="Courier New" w:eastAsia="Courier New" w:hAnsi="Courier New"/>
          <w:b/>
          <w:bCs/>
          <w:color w:val="1B2A4A"/>
          <w:sz w:val="18"/>
          <w:szCs w:val="18"/>
        </w:rPr>
        <w:t xml:space="preserve">§7.2.c.vi  </w:t>
      </w:r>
      <w:r>
        <w:rPr>
          <w:rFonts w:ascii="Garamond" w:cs="Garamond" w:eastAsia="Garamond" w:hAnsi="Garamond"/>
          <w:b/>
          <w:bCs/>
          <w:i w:val="false"/>
          <w:iCs w:val="false"/>
          <w:color w:val="1B2A4A"/>
          <w:sz w:val="22"/>
          <w:szCs w:val="22"/>
        </w:rPr>
        <w:t xml:space="preserve">Drawing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must meet the following criteria in order of precedence: (1) Population balance — broadly equal citizen population within a Legislature-defined tolerance. (2) Geographic contiguity — each region must be a single contiguous territory. (3) Non-discrimination — no region may dilute the voting power of any group protected under §1.9. (4) Reasonable compactness — no geometrically incoherent shapes. (5) State integrity — follow State lines where practicable; minimize inter-State subdivisions where subdivision is required. The commission may not consider partisan affiliation, voting history, or political geography. All deliberations, working maps, and proposals must be published to the NRS throughout the process.</w:t>
      </w:r>
    </w:p>
    <w:p>
      <w:pPr>
        <w:spacing w:after="60" w:before="200"/>
        <w:ind w:left="431"/>
        <w:jc w:val="left"/>
      </w:pPr>
      <w:r>
        <w:rPr>
          <w:rFonts w:ascii="Courier New" w:cs="Courier New" w:eastAsia="Courier New" w:hAnsi="Courier New"/>
          <w:b/>
          <w:bCs/>
          <w:color w:val="1B2A4A"/>
          <w:sz w:val="18"/>
          <w:szCs w:val="18"/>
        </w:rPr>
        <w:t xml:space="preserve">§7.2.c.vii  </w:t>
      </w:r>
      <w:r>
        <w:rPr>
          <w:rFonts w:ascii="Garamond" w:cs="Garamond" w:eastAsia="Garamond" w:hAnsi="Garamond"/>
          <w:b/>
          <w:bCs/>
          <w:i w:val="false"/>
          <w:iCs w:val="false"/>
          <w:color w:val="1B2A4A"/>
          <w:sz w:val="22"/>
          <w:szCs w:val="22"/>
        </w:rPr>
        <w:t xml:space="preserve">Drawing Process and Timeline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 must submit a proposed regional map to the LI within 180 days of constitution. The commission operates by simple majority vote. A 30-day public comment period opens when the draft map is published to the NRS; any citizen or State government may submit commentary, and the commission must publish a written response before submitting the final map. The Legislature sets by statute the parameters under which the commission conducts its working sessions, including: authorization of and requirements for remote participation; quorum and voting requirements; secure platform and data access specifications; and any other operational parameters. The Legislature may not set parameters that prevent effective deliberation or impose undue burden on members. The commission remains constituted until a final map is certified through the review and challenge processes in §7.2.c.viii and §7.2.c.ix, then dissolves.</w:t>
      </w:r>
    </w:p>
    <w:p>
      <w:pPr>
        <w:spacing w:after="60" w:before="200"/>
        <w:ind w:left="431"/>
        <w:jc w:val="left"/>
      </w:pPr>
      <w:r>
        <w:rPr>
          <w:rFonts w:ascii="Courier New" w:cs="Courier New" w:eastAsia="Courier New" w:hAnsi="Courier New"/>
          <w:b/>
          <w:bCs/>
          <w:color w:val="1B2A4A"/>
          <w:sz w:val="18"/>
          <w:szCs w:val="18"/>
        </w:rPr>
        <w:t xml:space="preserve">§7.2.c.viii  </w:t>
      </w:r>
      <w:r>
        <w:rPr>
          <w:rFonts w:ascii="Garamond" w:cs="Garamond" w:eastAsia="Garamond" w:hAnsi="Garamond"/>
          <w:b/>
          <w:bCs/>
          <w:i w:val="false"/>
          <w:iCs w:val="false"/>
          <w:color w:val="1B2A4A"/>
          <w:sz w:val="22"/>
          <w:szCs w:val="22"/>
        </w:rPr>
        <w:t xml:space="preserve">LI Compliance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the submitted map within 60 days for compliance with the §7.2.c.vi criteria. If compliant, the LI certifies it and publishes the certification to the NRS. If the map fails, the LI publishes specific findings and returns it to the commission, which has 30 days to submit a corrected map. If the corrected map still fails, the LI draws a compliant interim map; the interim map governs the next presidential election while the commission completes a further correction cycle. The LI may not draw a permanent map.</w:t>
      </w:r>
    </w:p>
    <w:p>
      <w:pPr>
        <w:spacing w:after="60" w:before="200"/>
        <w:ind w:left="431"/>
        <w:jc w:val="left"/>
      </w:pPr>
      <w:r>
        <w:rPr>
          <w:rFonts w:ascii="Courier New" w:cs="Courier New" w:eastAsia="Courier New" w:hAnsi="Courier New"/>
          <w:b/>
          <w:bCs/>
          <w:color w:val="1B2A4A"/>
          <w:sz w:val="18"/>
          <w:szCs w:val="18"/>
        </w:rPr>
        <w:t xml:space="preserve">§7.2.c.ix  </w:t>
      </w:r>
      <w:r>
        <w:rPr>
          <w:rFonts w:ascii="Garamond" w:cs="Garamond" w:eastAsia="Garamond" w:hAnsi="Garamond"/>
          <w:b/>
          <w:bCs/>
          <w:i w:val="false"/>
          <w:iCs w:val="false"/>
          <w:color w:val="1B2A4A"/>
          <w:sz w:val="22"/>
          <w:szCs w:val="22"/>
        </w:rPr>
        <w:t xml:space="preserve">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one-third may challenge a certified regional map by petitioning the Supreme Court within 60 days of LI certification. The Court reviews criteria application — not map preference. A successful challenge returns the map to the commission with the Court's findings attached.</w:t>
      </w:r>
    </w:p>
    <w:p>
      <w:pPr>
        <w:spacing w:after="60" w:before="200"/>
        <w:ind w:left="431"/>
        <w:jc w:val="left"/>
      </w:pPr>
      <w:r>
        <w:rPr>
          <w:rFonts w:ascii="Courier New" w:cs="Courier New" w:eastAsia="Courier New" w:hAnsi="Courier New"/>
          <w:b/>
          <w:bCs/>
          <w:color w:val="1B2A4A"/>
          <w:sz w:val="18"/>
          <w:szCs w:val="18"/>
        </w:rPr>
        <w:t xml:space="preserve">§7.2.c.x  </w:t>
      </w:r>
      <w:r>
        <w:rPr>
          <w:rFonts w:ascii="Garamond" w:cs="Garamond" w:eastAsia="Garamond" w:hAnsi="Garamond"/>
          <w:b/>
          <w:bCs/>
          <w:i w:val="false"/>
          <w:iCs w:val="false"/>
          <w:color w:val="1B2A4A"/>
          <w:sz w:val="22"/>
          <w:szCs w:val="22"/>
        </w:rPr>
        <w:t xml:space="preserve">Cycle and Timing</w:t>
      </w:r>
    </w:p>
    <w:p>
      <w:pPr>
        <w:spacing w:after="120" w:before="0"/>
        <w:ind w:left="431"/>
        <w:jc w:val="both"/>
      </w:pPr>
      <w:r>
        <w:rPr>
          <w:rFonts w:ascii="Garamond" w:cs="Garamond" w:eastAsia="Garamond" w:hAnsi="Garamond"/>
          <w:b w:val="false"/>
          <w:bCs w:val="false"/>
          <w:i w:val="false"/>
          <w:iCs w:val="false"/>
          <w:color w:val="2a2520"/>
          <w:sz w:val="22"/>
          <w:szCs w:val="22"/>
        </w:rPr>
        <w:t xml:space="preserve">Regional boundaries are redrawn following each decennial census, on the same cycle as House redistricting; the §8.1.a census triggers both simultaneously. Regions in effect at the time of any presidential election govern that election. No mid-cycle redraw may occur except pursuant to §7.2.c.ix or §7.2.c.viii. The Legislature establishes by statute the precise timing of the pool-building window — when each State's Pool opens following completion of the prior redistricting cycle, and when it closes before the draw. Once established, the statutory timing may not be altered for a minimum of two complete redistricting cycles, preventing legislative manipulation of the pool-building window to affect a forthcoming draw.</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 the 65% component of the combined score — but Territories are not assigned to presidential election regions and do not contribute to the 35% regional breadth component. The regional breadth measure reflects the geographic distribution of the Republic's State structure.</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If two candidates are within 0.5 percentage points of each other on the final combined score as calculated under §7.2.b, a head-to-head national RCV runoff is conducted between those two candidates.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Electoral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Conducts the population census (assigned to the LI because the census determines House seat allocation — giving this to a body nominated by the House would be a direct conflict of interest). Reviews House district maps.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Vets judicial nominees and Electoral Commission candidates. Audits the Digital Infrastructure Commission annually.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 This dual role is a deliberate constitutional design choice, not an accumulation of functions by default.</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the Regional Boundary Commission, and the RSA Technical Integrity Commission.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registry from which SC candidates are drawn. Any citizen meeting the eligibility criteria (15+ years legal practice or 10+ years judicial service, no current government position, no disqualifying financial interest) may apply. Applications reviewed within 21 days. Registry inclusion does not expire.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constitutional function is to assess, prior to any qualifying For-Cause removal vote by the Legislature, whether the stated grounds for removal are substantiated within the enumerated constitutional categories. The Panel publishes a binary finding — grounds substantiated or grounds unsubstantiated — and the Legislature may proceed to any removal vote regardless of the finding's direction. The Panel has no investigative authority and no institutional presence outside of active proceedings. It is a verification body, not a court.</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Any Republic citizen may be placed into a State's Pool through that State's own constitutional or statutory process, provided they meet the following eligibility requirements at the time of entry: (1) at least five continuous years of Republic citizenship; (2) no current federal elected or appointed office; (3) no federal elected or appointed office held within the three years prior to pool entry; (4) no pending federal criminal proceedings; (5) no current service in any Panel constituted under this Article. Pool membership is a public record maintained on the NRS by the LI. A member whose position is extinguished upon completing service in a proceeding may be re-added to the pool by their State in any subsequent calendar year within the annual addition cap.</w:t>
      </w:r>
    </w:p>
    <w:p>
      <w:pPr>
        <w:spacing w:after="60" w:before="200"/>
        <w:ind w:left="431"/>
        <w:jc w:val="left"/>
      </w:pPr>
      <w:r>
        <w:rPr>
          <w:rFonts w:ascii="Courier New" w:cs="Courier New" w:eastAsia="Courier New" w:hAnsi="Courier New"/>
          <w:b/>
          <w:bCs/>
          <w:color w:val="1B2A4A"/>
          <w:sz w:val="18"/>
          <w:szCs w:val="18"/>
        </w:rPr>
        <w:t xml:space="preserve">§8.9.b  </w:t>
      </w:r>
      <w:r>
        <w:rPr>
          <w:rFonts w:ascii="Garamond" w:cs="Garamond" w:eastAsia="Garamond" w:hAnsi="Garamond"/>
          <w:b/>
          <w:bCs/>
          <w:i w:val="false"/>
          <w:iCs w:val="false"/>
          <w:color w:val="1B2A4A"/>
          <w:sz w:val="22"/>
          <w:szCs w:val="22"/>
        </w:rPr>
        <w:t xml:space="preserve">Designee Pool Annual Addition Cap</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add no more than five entrants to its Pool per calendar year. Unused addition slots do not carry forward; a year with fewer than five additions simply has fewer, and unused capacity is permanently lost. If a pool member voluntarily withdraws, becomes ineligible, or is drawn to serve in a proceeding, their position is extinguished and not replaced outside of the normal annual addition process and the mandatory designation provision of §8.9.b.i.</w:t>
      </w:r>
    </w:p>
    <w:p>
      <w:pPr>
        <w:spacing w:after="60" w:before="200"/>
        <w:ind w:left="431"/>
        <w:jc w:val="left"/>
      </w:pPr>
      <w:r>
        <w:rPr>
          <w:rFonts w:ascii="Courier New" w:cs="Courier New" w:eastAsia="Courier New" w:hAnsi="Courier New"/>
          <w:b/>
          <w:bCs/>
          <w:color w:val="1B2A4A"/>
          <w:sz w:val="18"/>
          <w:szCs w:val="18"/>
        </w:rPr>
        <w:t xml:space="preserve">§8.9.b.i  </w:t>
      </w:r>
      <w:r>
        <w:rPr>
          <w:rFonts w:ascii="Garamond" w:cs="Garamond" w:eastAsia="Garamond" w:hAnsi="Garamond"/>
          <w:b/>
          <w:bCs/>
          <w:i w:val="false"/>
          <w:iCs w:val="false"/>
          <w:color w:val="1B2A4A"/>
          <w:sz w:val="22"/>
          <w:szCs w:val="22"/>
        </w:rPr>
        <w:t xml:space="preserve">Mandatory State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combined national pool contains fewer than thirty eligible members at the time any proceeding is activated, or if any State has made zero additions to its Pool for three or more consecutive calendar years and its Pool contains fewer than two eligible members, the JI issues a Mandatory Designation Notice to each State meeting either condition. Each notified State must designate one eligible person to its Pool within ten days of the notice. Designated persons must meet all eligibility requirements of §8.9.a; the mandatory designation process does not lower the eligibility standard. Mandatory designations are not subject to the annual addition cap of §8.9.b and do not consume a voluntary addition slot. Failure to make a mandatory designation within the required period is a constitutional compliance failure flagged by the LI in the annual State of the Republic Report and in a standalone NRS notice. The EI assumes mandatory designation oversight when an LI IG removal proceeding is the triggering event.</w:t>
      </w:r>
    </w:p>
    <w:p>
      <w:pPr>
        <w:spacing w:after="60" w:before="200"/>
        <w:ind w:left="431"/>
        <w:jc w:val="left"/>
      </w:pPr>
      <w:r>
        <w:rPr>
          <w:rFonts w:ascii="Courier New" w:cs="Courier New" w:eastAsia="Courier New" w:hAnsi="Courier New"/>
          <w:b/>
          <w:bCs/>
          <w:color w:val="1B2A4A"/>
          <w:sz w:val="18"/>
          <w:szCs w:val="18"/>
        </w:rPr>
        <w:t xml:space="preserve">§8.9.c  </w:t>
      </w:r>
      <w:r>
        <w:rPr>
          <w:rFonts w:ascii="Garamond" w:cs="Garamond" w:eastAsia="Garamond" w:hAnsi="Garamond"/>
          <w:b/>
          <w:bCs/>
          <w:i w:val="false"/>
          <w:iCs w:val="false"/>
          <w:color w:val="1B2A4A"/>
          <w:sz w:val="22"/>
          <w:szCs w:val="22"/>
        </w:rPr>
        <w:t xml:space="preserve">Pool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monitors each State's Pool and publishes an annual Pool Status Report to the NRS. If any State's Pool falls below two eligible entrants, the LI publishes a Pool Health Notice — advisory, not compulsory. If the combined national pool falls below twenty eligible members at the time any proceeding is activated, the LI must convene an emergency pool-health session with State governments and publish its findings to the NRS within 30 days. A State's failure to maintain a pool is not a constitutional violation but is flagged in the annual State of the Republic Report. Exception: when an LI IG removal proceeding is active, the EI assumes pool monitoring duties for the duration of that proceeding.</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under §8.9.f, the JI constitutes the State Designee Panel by public lottery within five days of activation. The JI draws five members by lot from the combined national eligible pool — all State pools aggregated — plus two alternates, in a single session certified jointly by all three Inspectorates. The session may be conducted remotely under parameters set by statute. The full draw is recorded to the NRS in real time. Drawn members must accept or decline service within 48 hours of notification; a member who declines is replaced by the first available alternate in the order drawn. If both alternates are exhausted before five members have accepted, the JI conducts a supplemental draw from the remaining eligible pool by the same procedure. The Panel is constituted for the duration of the proceeding and dissolves upon publication of the finding under §8.9.h.</w:t>
      </w:r>
    </w:p>
    <w:p>
      <w:pPr>
        <w:spacing w:after="60" w:before="200"/>
        <w:ind w:left="431"/>
        <w:jc w:val="left"/>
      </w:pPr>
      <w:r>
        <w:rPr>
          <w:rFonts w:ascii="Courier New" w:cs="Courier New" w:eastAsia="Courier New" w:hAnsi="Courier New"/>
          <w:b/>
          <w:bCs/>
          <w:color w:val="1B2A4A"/>
          <w:sz w:val="18"/>
          <w:szCs w:val="18"/>
        </w:rPr>
        <w:t xml:space="preserve">§8.9.d.i  </w:t>
      </w:r>
      <w:r>
        <w:rPr>
          <w:rFonts w:ascii="Garamond" w:cs="Garamond" w:eastAsia="Garamond" w:hAnsi="Garamond"/>
          <w:b/>
          <w:bCs/>
          <w:i w:val="false"/>
          <w:iCs w:val="false"/>
          <w:color w:val="1B2A4A"/>
          <w:sz w:val="22"/>
          <w:szCs w:val="22"/>
        </w:rPr>
        <w:t xml:space="preserve">Draw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named officer subject to the proceeding, or the initiating body, may challenge a drawn member within 48 hours of NRS publication of the draw on grounds of a documented relationship or conflict of interest impairing impartiality. The JI rules on any challenge within 48 hours of filing. If sustained, the challenged member's seat is filled by the first available alternate in the order drawn; if no alternate remains, a supplemental draw is conducted. The 21-day review clock under §8.9.f is suspended during any pending challenge and resumes from the point of suspension upon JI ruling. No challenge may be filed solely on grounds of the member's State of origin, professional background, or prior pool membership.</w:t>
      </w:r>
    </w:p>
    <w:p>
      <w:pPr>
        <w:spacing w:after="60" w:before="200"/>
        <w:ind w:left="431"/>
        <w:jc w:val="left"/>
      </w:pPr>
      <w:r>
        <w:rPr>
          <w:rFonts w:ascii="Courier New" w:cs="Courier New" w:eastAsia="Courier New" w:hAnsi="Courier New"/>
          <w:b/>
          <w:bCs/>
          <w:color w:val="1B2A4A"/>
          <w:sz w:val="18"/>
          <w:szCs w:val="18"/>
        </w:rPr>
        <w:t xml:space="preserve">§8.9.e  </w:t>
      </w:r>
      <w:r>
        <w:rPr>
          <w:rFonts w:ascii="Garamond" w:cs="Garamond" w:eastAsia="Garamond" w:hAnsi="Garamond"/>
          <w:b/>
          <w:bCs/>
          <w:i w:val="false"/>
          <w:iCs w:val="false"/>
          <w:color w:val="1B2A4A"/>
          <w:sz w:val="22"/>
          <w:szCs w:val="22"/>
        </w:rPr>
        <w:t xml:space="preserve">Ongoing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From the date a member accepts service through the date the Panel's finding is published, Panel members may not: assume any federal elected or appointed position; serve as retained legal counsel in any federal proceeding involving the Legislature, either executive, or any Inspectorate; or accept appointment to any State government executive position above the level of department director. Assumption of a disqualifying position extinguishes the seat; the first available alternate fills it in the order established at draw. A member may recuse themselves at any time; recusal extinguishes the seat without replacement beyond the available alternates.</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from the date the Panel is fully constituted — five members having accepted service and any draw challenges under §8.9.d.i having been resolved. The Legislature sets by statute the parameters under which the Panel conducts its review, including: authorization of and requirements for remote participation; quorum and voting requirements; secure platform specifications; and any other operational parameters. The Legislature may not set parameters that prevent effective deliberation or impose undue burden on members. The Panel may request additional documentary submissions from the initiating body within the first seven days of the review period; this does not extend the 21-day deadline. No submission received after day seven is required to be considered.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Panel's review is categorical and bounded. The Panel determines only whether the stated grounds, as documented in the submitted record, constitute at least one of the enumerated constitutional categories for For-Cause removal applicable to the subject office. The Panel does not: independently investigate or gather evidence beyond the submitted record; assess the credibility of any witness or document; weigh competing factual accounts; evaluate whether removal is warranted as a policy matter; or issue any order, direction, or recommendation beyond the binary finding. The published finding states the conclusion and identifies which constitutional category or categories it finds present or absent in the submitted record.</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constitutes the condition precedent that authorizes the Legislature to proceed to a For-Cause removal vote at the applicable threshold; triggers the duty-suspension provisions of §8.5.a or §16.2.a as applicable; and is published permanently to the NRS alongside any subsequent legislative vote. A finding of grounds unsubstantiated: does not bar the Legislature from proceeding to a removal vote; is published permanently to the NRS alongside any subsequent legislative vote; and constitutes no legal determination as to the truth or falsity of the stated grounds.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§8.9.j  </w:t>
      </w:r>
      <w:r>
        <w:rPr>
          <w:rFonts w:ascii="Garamond" w:cs="Garamond" w:eastAsia="Garamond" w:hAnsi="Garamond"/>
          <w:b/>
          <w:bCs/>
          <w:i w:val="false"/>
          <w:iCs w:val="false"/>
          <w:color w:val="1B2A4A"/>
          <w:sz w:val="22"/>
          <w:szCs w:val="22"/>
        </w:rPr>
        <w:t xml:space="preserve">Compensation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Panel members receive no compensation for pool membership. Members receive service-day compensation for each day of active service during a constituted proceeding, from the date of acceptance through the date of finding publication. Rates and any remote service equivalencies are set by statute. The member's State pays the service-day compensation; the federal government reimburses each State for compensation paid to its drawn member. Service-day records and compensation amounts are published to the NRS alongside each Panel finding.</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§7.2.c,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Its value is the independence of its assessment from the Commission it advises.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any number of qualified persons to the Digital Infrastructure Advisory Pool at any time. Nominations are submitted to the JI, which reviews each nominee and publishes a qualification report to the NRS within 30 days — assessing whether the nominee holds relevant expertise in cryptography, distributed systems, information security, election administration, or public records management, as appropriate to the scope of the decennial review. Pool membership is established by JI qualification certification; no Senate confirmation is required for pool entry. Pool nominations remain valid for ten years or until withdrawn by the nominating State. The pool is a public NRS record, enabling citizens to review the qualifications of potential Advisory Council members and hold their State governments accountable for their nominations. No more than three certified pool members may be nominees of the same State at the time of any given decennial draw.</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all three Inspectorates jointly constitute the Commission by public lottery, drawing five members at random from the eligible pool. The draw is conducted in a public session; all three Inspectorates certify the result and publish it to the NRS before the session closes. The remaining pool members constitute the standing replacement pool for the duration of the Commission's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an Advisory Council member must be replaced during the review period — through ineligibility, withdrawal, or disqualification — all three Inspectorates draw one replacement at random from the remaining eligible pool members using the same public lottery procedure under §9.3.d.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certify the draw under §9.3.d, oversee the Commission's working sessions to verify that the Commission has the access to records, systems, and personnel required by its statutory mandate, and review the Commission's findings before publication to confirm the findings reflect the Commission's genuine conclusions and have not been suppressed or modified.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Senate session provides public accountability for the Advisory Council's work — the Senate represents the States that nominated the Council members, completing the accountability chain from nomination through finding to public scrutiny.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Electoral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reportable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reportable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 the LI certifies the breach, the EI reports it,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Electoral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Executive Inspectorate. If the EI advises that a potential mandate hierarchy violation exists, the Director may petition the Supreme Court for a mandate determination. The veto period must be no fewer than 7 days; the board override period no fewer than 14 days; the EI advisory period no fewer than 30 days; the SC petition period no fewer than 60 days. The Legislature may extend but not shorten these floors by statute.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§10.5.f  </w:t>
      </w:r>
      <w:r>
        <w:rPr>
          <w:rFonts w:ascii="Garamond" w:cs="Garamond" w:eastAsia="Garamond" w:hAnsi="Garamond"/>
          <w:b/>
          <w:bCs/>
          <w:i w:val="false"/>
          <w:iCs w:val="false"/>
          <w:color w:val="1B2A4A"/>
          <w:sz w:val="22"/>
          <w:szCs w:val="22"/>
        </w:rPr>
        <w:t xml:space="preserve">Revolving Door — see §10.5.c</w:t>
      </w:r>
    </w:p>
    <w:p>
      <w:pPr>
        <w:spacing w:after="120" w:before="0"/>
        <w:ind w:left="431"/>
        <w:jc w:val="both"/>
      </w:pPr>
      <w:r>
        <w:rPr>
          <w:rFonts w:ascii="Garamond" w:cs="Garamond" w:eastAsia="Garamond" w:hAnsi="Garamond"/>
          <w:b w:val="false"/>
          <w:bCs w:val="false"/>
          <w:i w:val="false"/>
          <w:iCs w:val="false"/>
          <w:color w:val="2a2520"/>
          <w:sz w:val="22"/>
          <w:szCs w:val="22"/>
        </w:rPr>
        <w:t xml:space="preserve">Post-service restrictions including the revolving door prohibition are consolidated in §10.5.c.</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is the primary enforcement mechanism for the §10.5 ethics provisions. The EI publishes all disclosed conflicts, all flagged violations, and all referrals to the Legislature for removal proceedings. The EI publishes facts and refers serious violations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to the Trustee Pool. Each nominee must hold demonstrable expertise in investment management, public finance, or fiduciary governance as determined by a qualifications standard published by the Legislature by statute. Each nominee must be confirmed by the Senate within 60 days of nomination by affirmative vote — no deemed confirmation applies. Unconfirmed nominees are returned without prejudice; the nominating executive may submit a replacement within 30 days. No more than two confirmed Pool members may be nominees of the same executive at any time. The Pool must maintain a minimum of ten confirmed members; if it falls below ten, both executives must nominate within 30 days and the JI publishes a notice of pool deficiency to the NRS.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ind w:left="431"/>
        <w:jc w:val="left"/>
      </w:pPr>
      <w:r>
        <w:rPr>
          <w:rFonts w:ascii="Courier New" w:cs="Courier New" w:eastAsia="Courier New" w:hAnsi="Courier New"/>
          <w:b/>
          <w:bCs/>
          <w:color w:val="1B2A4A"/>
          <w:sz w:val="18"/>
          <w:szCs w:val="18"/>
        </w:rPr>
        <w:t xml:space="preserve">§10.7.a  </w:t>
      </w:r>
      <w:r>
        <w:rPr>
          <w:rFonts w:ascii="Garamond" w:cs="Garamond" w:eastAsia="Garamond" w:hAnsi="Garamond"/>
          <w:b/>
          <w:bCs/>
          <w:i w:val="false"/>
          <w:iCs w:val="false"/>
          <w:color w:val="1B2A4A"/>
          <w:sz w:val="22"/>
          <w:szCs w:val="22"/>
        </w:rPr>
        <w:t xml:space="preserve">Jury Service — see §4.5</w:t>
      </w:r>
    </w:p>
    <w:p>
      <w:pPr>
        <w:spacing w:after="120" w:before="0"/>
        <w:ind w:left="431"/>
        <w:jc w:val="both"/>
      </w:pPr>
      <w:r>
        <w:rPr>
          <w:rFonts w:ascii="Garamond" w:cs="Garamond" w:eastAsia="Garamond" w:hAnsi="Garamond"/>
          <w:b w:val="false"/>
          <w:bCs w:val="false"/>
          <w:i w:val="false"/>
          <w:iCs w:val="false"/>
          <w:color w:val="2a2520"/>
          <w:sz w:val="22"/>
          <w:szCs w:val="22"/>
        </w:rPr>
        <w:t xml:space="preserve">Jury service obligations, compensation, and enforcement are established in §4.5.</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in Congress is required once the audit is passed — statehood is a constitutional entitlement for any Territory that meets the criteria, not a political grant.</w:t>
      </w:r>
    </w:p>
    <w:p>
      <w:pPr>
        <w:spacing w:after="60" w:before="200"/>
        <w:ind w:left="431"/>
        <w:jc w:val="left"/>
      </w:pPr>
      <w:r>
        <w:rPr>
          <w:rFonts w:ascii="Courier New" w:cs="Courier New" w:eastAsia="Courier New" w:hAnsi="Courier New"/>
          <w:b/>
          <w:bCs/>
          <w:color w:val="1B2A4A"/>
          <w:sz w:val="18"/>
          <w:szCs w:val="18"/>
        </w:rPr>
        <w:t xml:space="preserve">§13.2.a  </w:t>
      </w:r>
      <w:r>
        <w:rPr>
          <w:rFonts w:ascii="Garamond" w:cs="Garamond" w:eastAsia="Garamond" w:hAnsi="Garamond"/>
          <w:b/>
          <w:bCs/>
          <w:i w:val="false"/>
          <w:iCs w:val="false"/>
          <w:color w:val="1B2A4A"/>
          <w:sz w:val="22"/>
          <w:szCs w:val="22"/>
        </w:rPr>
        <w:t xml:space="preserve">Fiscal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territory's government finances for basic fiscal sustainability, absence of structural insolvency that would require federal bailout, and basic public financial management standards. The audit checks whether the territory can function as a financially independent State — not whether its fiscal policy is optimal.</w:t>
      </w:r>
    </w:p>
    <w:p>
      <w:pPr>
        <w:spacing w:after="60" w:before="200"/>
        <w:ind w:left="431"/>
        <w:jc w:val="left"/>
      </w:pPr>
      <w:r>
        <w:rPr>
          <w:rFonts w:ascii="Courier New" w:cs="Courier New" w:eastAsia="Courier New" w:hAnsi="Courier New"/>
          <w:b/>
          <w:bCs/>
          <w:color w:val="1B2A4A"/>
          <w:sz w:val="18"/>
          <w:szCs w:val="18"/>
        </w:rPr>
        <w:t xml:space="preserve">§13.2.b  </w:t>
      </w:r>
      <w:r>
        <w:rPr>
          <w:rFonts w:ascii="Garamond" w:cs="Garamond" w:eastAsia="Garamond" w:hAnsi="Garamond"/>
          <w:b/>
          <w:bCs/>
          <w:i w:val="false"/>
          <w:iCs w:val="false"/>
          <w:color w:val="1B2A4A"/>
          <w:sz w:val="22"/>
          <w:szCs w:val="22"/>
        </w:rPr>
        <w:t xml:space="preserve">Legal Sync</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territory's legal system for compliance with every Article I right. Statehood is not granted to jurisdictions that are constitutionally non-compliant — a territory that applies Article I rights inconsistently cannot become a State while those violations persist.</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365 and 900 days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§13.3.b — it enters a remediation process, not automatic devolution. The annual Statehood Audit for existing States includes assessment of all three conditions in this provision in addition to the criteria in §13.2.a and §13.2.b.</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basic governance infrastructure: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(&gt;25% population) of a State's territory, the LI may grant provisional status for that audit cycle. Preserves State constitutional standing and social state protections under §10.1. Cannot be used where the conflict is attributable to the State government's own governance failures (§13.2.g.i).</w:t>
      </w:r>
    </w:p>
    <w:p>
      <w:pPr>
        <w:spacing w:after="60" w:before="200"/>
        <w:ind w:left="431"/>
        <w:jc w:val="left"/>
      </w:pPr>
      <w:r>
        <w:rPr>
          <w:rFonts w:ascii="Courier New" w:cs="Courier New" w:eastAsia="Courier New" w:hAnsi="Courier New"/>
          <w:b/>
          <w:bCs/>
          <w:color w:val="1B2A4A"/>
          <w:sz w:val="18"/>
          <w:szCs w:val="18"/>
        </w:rPr>
        <w:t xml:space="preserve">§13.2.g.i  </w:t>
      </w:r>
      <w:r>
        <w:rPr>
          <w:rFonts w:ascii="Garamond" w:cs="Garamond" w:eastAsia="Garamond" w:hAnsi="Garamond"/>
          <w:b/>
          <w:bCs/>
          <w:i w:val="false"/>
          <w:iCs w:val="false"/>
          <w:color w:val="1B2A4A"/>
          <w:sz w:val="22"/>
          <w:szCs w:val="22"/>
        </w:rPr>
        <w:t xml:space="preserve">Governance Contribution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is unavailable where the joint assessment of all three Inspectorates finds that the State government materially contributed to the conditions producing conflict, or failed to take reasonable steps to prevent them when it knew or should have known of those conditions — even where direct State contribution cannot be established. Where this standard is met, the Statehood Audit proceeds on available evidence from accessible areas. Provisional status certification under §13.2.g requires the joint assessment of all three Inspectorates; no single Inspectorate's finding is sufficient to grant or deny provisional status.</w:t>
      </w:r>
    </w:p>
    <w:p>
      <w:pPr>
        <w:spacing w:after="60" w:before="200"/>
        <w:ind w:left="431"/>
        <w:jc w:val="left"/>
      </w:pPr>
      <w:r>
        <w:rPr>
          <w:rFonts w:ascii="Courier New" w:cs="Courier New" w:eastAsia="Courier New" w:hAnsi="Courier New"/>
          <w:b/>
          <w:bCs/>
          <w:color w:val="1B2A4A"/>
          <w:sz w:val="18"/>
          <w:szCs w:val="18"/>
        </w:rPr>
        <w:t xml:space="preserve">§13.2.g.ii  </w:t>
      </w:r>
      <w:r>
        <w:rPr>
          <w:rFonts w:ascii="Garamond" w:cs="Garamond" w:eastAsia="Garamond" w:hAnsi="Garamond"/>
          <w:b/>
          <w:bCs/>
          <w:i w:val="false"/>
          <w:iCs w:val="false"/>
          <w:color w:val="1B2A4A"/>
          <w:sz w:val="22"/>
          <w:szCs w:val="22"/>
        </w:rPr>
        <w:t xml:space="preserve">Provisional Status Monitoring</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any provisional status period, the LI conducts a modified annual Statehood Audit assessing only the criteria that can be meaningfully evaluated given the conflict's geographic scope. The three Inspectorates jointly publish a quarterly status report to the NRS documenting: the percentage of territory where normal audit conditions have been restored, the governance functions operating normally, and the estimated timeline to full audit resumption. The State government retains all constitutional functions in territory not affected by the conflict.</w:t>
      </w:r>
    </w:p>
    <w:p>
      <w:pPr>
        <w:spacing w:after="60" w:before="200"/>
        <w:ind w:left="431"/>
        <w:jc w:val="left"/>
      </w:pPr>
      <w:r>
        <w:rPr>
          <w:rFonts w:ascii="Courier New" w:cs="Courier New" w:eastAsia="Courier New" w:hAnsi="Courier New"/>
          <w:b/>
          <w:bCs/>
          <w:color w:val="1B2A4A"/>
          <w:sz w:val="18"/>
          <w:szCs w:val="18"/>
        </w:rPr>
        <w:t xml:space="preserve">§13.2.g.iii  </w:t>
      </w:r>
      <w:r>
        <w:rPr>
          <w:rFonts w:ascii="Garamond" w:cs="Garamond" w:eastAsia="Garamond" w:hAnsi="Garamond"/>
          <w:b/>
          <w:bCs/>
          <w:i w:val="false"/>
          <w:iCs w:val="false"/>
          <w:color w:val="1B2A4A"/>
          <w:sz w:val="22"/>
          <w:szCs w:val="22"/>
        </w:rPr>
        <w:t xml:space="preserve">Prior Provisional Status — Renewal Conditions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has previously held provisional status under §13.2.g, a new petition requires the joint Inspectorate assessment to certify both that the new conflict is genuinely distinct from the prior episode and that the State has completed at least one full Statehood Audit cycle since the prior provisional status ended.</w:t>
      </w:r>
    </w:p>
    <w:p>
      <w:pPr>
        <w:spacing w:after="60" w:before="200"/>
        <w:ind w:left="431"/>
        <w:jc w:val="left"/>
      </w:pPr>
      <w:r>
        <w:rPr>
          <w:rFonts w:ascii="Courier New" w:cs="Courier New" w:eastAsia="Courier New" w:hAnsi="Courier New"/>
          <w:b/>
          <w:bCs/>
          <w:color w:val="1B2A4A"/>
          <w:sz w:val="18"/>
          <w:szCs w:val="18"/>
        </w:rPr>
        <w:t xml:space="preserve">§13.2.g.iv  </w:t>
      </w:r>
      <w:r>
        <w:rPr>
          <w:rFonts w:ascii="Garamond" w:cs="Garamond" w:eastAsia="Garamond" w:hAnsi="Garamond"/>
          <w:b/>
          <w:bCs/>
          <w:i w:val="false"/>
          <w:iCs w:val="false"/>
          <w:color w:val="1B2A4A"/>
          <w:sz w:val="22"/>
          <w:szCs w:val="22"/>
        </w:rPr>
        <w:t xml:space="preserve">Maximum Provisional Period and Default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Provisional status may not continue indefinitely. The Legislature must by statute define the maximum provisional period, not to exceed five years. Where the Legislature has not enacted an alternative resolution statute within the maximum provisional period, a default mechanism activates automatically: the State is placed under joint federal-State administration within the PM's domestic domain, with full State constitutional rights preserved and State executive functions supervised by a joint commission until security conditions allow audit completion or the Legislature enacts a specific alternative mechanism. Joint administration is not devolution — it preserves the State's constitutional status while ensuring its functions are performed.</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remedial process for States that have failed to meet minimum governance standards over a sustained period. Devolution restructures the State's relationship with the federal government while preserving its constitutional status.</w:t>
      </w:r>
    </w:p>
    <w:p>
      <w:pPr>
        <w:spacing w:after="60" w:before="200"/>
        <w:ind w:left="431"/>
        <w:jc w:val="left"/>
      </w:pPr>
      <w:r>
        <w:rPr>
          <w:rFonts w:ascii="Courier New" w:cs="Courier New" w:eastAsia="Courier New" w:hAnsi="Courier New"/>
          <w:b/>
          <w:bCs/>
          <w:color w:val="1B2A4A"/>
          <w:sz w:val="18"/>
          <w:szCs w:val="18"/>
        </w:rPr>
        <w:t xml:space="preserve">§13.3.a  </w:t>
      </w:r>
      <w:r>
        <w:rPr>
          <w:rFonts w:ascii="Garamond" w:cs="Garamond" w:eastAsia="Garamond" w:hAnsi="Garamond"/>
          <w:b/>
          <w:bCs/>
          <w:i w:val="false"/>
          <w:iCs w:val="false"/>
          <w:color w:val="1B2A4A"/>
          <w:sz w:val="22"/>
          <w:szCs w:val="22"/>
        </w:rPr>
        <w:t xml:space="preserve">Devolution Triggers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after passing through the Early Warning (Year 1-2) and Devolution Vote (Year 3) stages without correction. The LI certifies the trigger; the EI and JI jointly confirm; the SC reviews the factual basis.</w:t>
      </w:r>
    </w:p>
    <w:p>
      <w:pPr>
        <w:spacing w:after="60" w:before="200"/>
        <w:ind w:left="431"/>
        <w:jc w:val="left"/>
      </w:pPr>
      <w:r>
        <w:rPr>
          <w:rFonts w:ascii="Courier New" w:cs="Courier New" w:eastAsia="Courier New" w:hAnsi="Courier New"/>
          <w:b/>
          <w:bCs/>
          <w:color w:val="1B2A4A"/>
          <w:sz w:val="18"/>
          <w:szCs w:val="18"/>
        </w:rPr>
        <w:t xml:space="preserve">§13.3.b  </w:t>
      </w:r>
      <w:r>
        <w:rPr>
          <w:rFonts w:ascii="Garamond" w:cs="Garamond" w:eastAsia="Garamond" w:hAnsi="Garamond"/>
          <w:b/>
          <w:bCs/>
          <w:i w:val="false"/>
          <w:iCs w:val="false"/>
          <w:color w:val="1B2A4A"/>
          <w:sz w:val="22"/>
          <w:szCs w:val="22"/>
        </w:rPr>
        <w:t xml:space="preserve">Early Warning — Years 1 and 2</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1 and 2 audit failures trigger Early Warning: the LI publishes specific compliance requirements, the State submits a Remediation Plan within 60 days, and the LI monitors implementation quarterly. A cooperative remediation process — the federal government assists the State in correcting identified failures rather than immediately proceeding to devolution.</w:t>
      </w:r>
    </w:p>
    <w:p>
      <w:pPr>
        <w:spacing w:after="60" w:before="200"/>
        <w:ind w:left="431"/>
        <w:jc w:val="left"/>
      </w:pPr>
      <w:r>
        <w:rPr>
          <w:rFonts w:ascii="Courier New" w:cs="Courier New" w:eastAsia="Courier New" w:hAnsi="Courier New"/>
          <w:b/>
          <w:bCs/>
          <w:color w:val="1B2A4A"/>
          <w:sz w:val="18"/>
          <w:szCs w:val="18"/>
        </w:rPr>
        <w:t xml:space="preserve">§13.3.c  </w:t>
      </w:r>
      <w:r>
        <w:rPr>
          <w:rFonts w:ascii="Garamond" w:cs="Garamond" w:eastAsia="Garamond" w:hAnsi="Garamond"/>
          <w:b/>
          <w:bCs/>
          <w:i w:val="false"/>
          <w:iCs w:val="false"/>
          <w:color w:val="1B2A4A"/>
          <w:sz w:val="22"/>
          <w:szCs w:val="22"/>
        </w:rPr>
        <w:t xml:space="preserve">Devolution Vote — Year 3</w:t>
      </w:r>
    </w:p>
    <w:p>
      <w:pPr>
        <w:spacing w:after="120" w:before="0"/>
        <w:ind w:left="431"/>
        <w:jc w:val="both"/>
      </w:pPr>
      <w:r>
        <w:rPr>
          <w:rFonts w:ascii="Garamond" w:cs="Garamond" w:eastAsia="Garamond" w:hAnsi="Garamond"/>
          <w:b w:val="false"/>
          <w:bCs w:val="false"/>
          <w:i w:val="false"/>
          <w:iCs w:val="false"/>
          <w:color w:val="2a2520"/>
          <w:sz w:val="22"/>
          <w:szCs w:val="22"/>
        </w:rPr>
        <w:t xml:space="preserve">Year 3 failure triggers a State-level referendum: citizens vote on whether to proceed to devolution or accept a federal remediation commission. If the State chooses the remediation commission, devolution is suspended for 2 years. If devolution is chosen or the commission fails, §13.3.d applies.</w:t>
      </w:r>
    </w:p>
    <w:p>
      <w:pPr>
        <w:spacing w:after="60" w:before="200"/>
        <w:ind w:left="431"/>
        <w:jc w:val="left"/>
      </w:pPr>
      <w:r>
        <w:rPr>
          <w:rFonts w:ascii="Courier New" w:cs="Courier New" w:eastAsia="Courier New" w:hAnsi="Courier New"/>
          <w:b/>
          <w:bCs/>
          <w:color w:val="1B2A4A"/>
          <w:sz w:val="18"/>
          <w:szCs w:val="18"/>
        </w:rPr>
        <w:t xml:space="preserve">§13.3.d  </w:t>
      </w:r>
      <w:r>
        <w:rPr>
          <w:rFonts w:ascii="Garamond" w:cs="Garamond" w:eastAsia="Garamond" w:hAnsi="Garamond"/>
          <w:b/>
          <w:bCs/>
          <w:i w:val="false"/>
          <w:iCs w:val="false"/>
          <w:color w:val="1B2A4A"/>
          <w:sz w:val="22"/>
          <w:szCs w:val="22"/>
        </w:rPr>
        <w:t xml:space="preserve">Effect of 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devolved State loses its Senate seats on the date the Senate Motion of Devolution takes effect and returns to administrative oversight of the Domestic Affairs Council. The following consequences apply immediately and remain in effect throughout the Territory period: (1) Legislative representation — the two Senate seats are vacated with no special election; existing House members continue their terms to completion; (2) House reapportionment — House seats are recalculated based on population under §3.1.b at the next census cycle; the Territory retains current House representation until then; (3) Taxation — the Territory is exempt from federal income tax throughout the mandatory Territory period, effective at the start of the next fiscal year; this exemption is remedial and expires automatically when the Territory passes the Statehood Audit and enters the Provisional Membership Period, at which point federal income tax obligations resume at the standard rate; (4) Social state systems — healthcare insurance, social assistance, and compulsory education under §10.1 continue without interruption to Territory residents; (5) Article I rights — all protections remain fully in force and are enforced by federal courts with no reduction in scope; (6) State-level governance — elected officials continue their terms and govern under State law; the Domestic Affairs Council exercises oversight without replacing State government; Article I-compliant State laws remain operative; (7) Statehood Audit — the LI assesses the Territory annually; criteria are measured from the current baseline, not the failed-State baseline; the Territory may pass the audit at any annual assessment; (8) Path to restoration — full Statehood is restored automatically upon passing the Statehood Audit and completing the Provisional Membership Period under §13.2; no additional parliamentary vote is required. No additional consequences beyond those listed above may be imposed on the Territory by statute or executive action.</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a Senate Devolution vote, the affected State may petition the Supreme Court for expedited review on a single, narrow ground: whether the Legislative Inspectorate's published audit findings, as a factual matter, meet the constitutional trigger standards of §13.3.a. The Court reviews the factual basis of the audit findings — not the Senate's political judgment, not the policy merits of Devolution, and not the State's economic circumstances. The Court may overturn a Devolution vote only if it finds, by clear and convincing evidence, that the LI's findings are factually insufficient to establish one or more of the three triggers. A finding that the triggers were correctly established but that the State disagrees with the outcome is not grounds for reversal. The petition does not stay the Senate vote or delay Devolution unless the Court orders a temporary stay pending its ruling. The Court must rule within 14 days of the petition being filed.</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seek to restructure its relationship with the Republic. Requires a State referendum (60% of voters), a negotiated restructuring agreement approved by the Senate, and a Transition Plan published to the NRS. The voluntary path preserves far more State agency than mandatory devolution.</w:t>
      </w:r>
    </w:p>
    <w:p>
      <w:pPr>
        <w:spacing w:after="60" w:before="200"/>
        <w:ind w:left="431"/>
        <w:jc w:val="left"/>
      </w:pPr>
      <w:r>
        <w:rPr>
          <w:rFonts w:ascii="Courier New" w:cs="Courier New" w:eastAsia="Courier New" w:hAnsi="Courier New"/>
          <w:b/>
          <w:bCs/>
          <w:color w:val="1B2A4A"/>
          <w:sz w:val="18"/>
          <w:szCs w:val="18"/>
        </w:rPr>
        <w:t xml:space="preserve">§13.4.a  </w:t>
      </w:r>
      <w:r>
        <w:rPr>
          <w:rFonts w:ascii="Garamond" w:cs="Garamond" w:eastAsia="Garamond" w:hAnsi="Garamond"/>
          <w:b/>
          <w:bCs/>
          <w:i w:val="false"/>
          <w:iCs w:val="false"/>
          <w:color w:val="1B2A4A"/>
          <w:sz w:val="22"/>
          <w:szCs w:val="22"/>
        </w:rPr>
        <w:t xml:space="preserve">Voluntary Devolution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State voters must approve the voluntary devolution petition. The referendum must specify the proposed restructuring: subdivision, merger, conversion to Territory status, or other arrangement. Citizens vote on the specific proposal, not on abstract devolution.</w:t>
      </w:r>
    </w:p>
    <w:p>
      <w:pPr>
        <w:spacing w:after="60" w:before="200"/>
        <w:ind w:left="431"/>
        <w:jc w:val="left"/>
      </w:pPr>
      <w:r>
        <w:rPr>
          <w:rFonts w:ascii="Courier New" w:cs="Courier New" w:eastAsia="Courier New" w:hAnsi="Courier New"/>
          <w:b/>
          <w:bCs/>
          <w:color w:val="1B2A4A"/>
          <w:sz w:val="18"/>
          <w:szCs w:val="18"/>
        </w:rPr>
        <w:t xml:space="preserve">§13.4.b  </w:t>
      </w:r>
      <w:r>
        <w:rPr>
          <w:rFonts w:ascii="Garamond" w:cs="Garamond" w:eastAsia="Garamond" w:hAnsi="Garamond"/>
          <w:b/>
          <w:bCs/>
          <w:i w:val="false"/>
          <w:iCs w:val="false"/>
          <w:color w:val="1B2A4A"/>
          <w:sz w:val="22"/>
          <w:szCs w:val="22"/>
        </w:rPr>
        <w:t xml:space="preserve">Negotiated Restructuring Agreement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a successful referendum, the State and the federal government negotiate restructuring terms: asset and liability allocation, transition timeline, continuing federal obligations, and constitutional status of successor jurisdictions. Senate approval by 2/3 majority required. The agreement is published to the NRS and is legally binding on both parties.</w:t>
      </w:r>
    </w:p>
    <w:p>
      <w:pPr>
        <w:spacing w:after="60" w:before="200"/>
        <w:ind w:left="431"/>
        <w:jc w:val="left"/>
      </w:pPr>
      <w:r>
        <w:rPr>
          <w:rFonts w:ascii="Courier New" w:cs="Courier New" w:eastAsia="Courier New" w:hAnsi="Courier New"/>
          <w:b/>
          <w:bCs/>
          <w:color w:val="1B2A4A"/>
          <w:sz w:val="18"/>
          <w:szCs w:val="18"/>
        </w:rPr>
        <w:t xml:space="preserve">§13.4.c  </w:t>
      </w:r>
      <w:r>
        <w:rPr>
          <w:rFonts w:ascii="Garamond" w:cs="Garamond" w:eastAsia="Garamond" w:hAnsi="Garamond"/>
          <w:b/>
          <w:bCs/>
          <w:i w:val="false"/>
          <w:iCs w:val="false"/>
          <w:color w:val="1B2A4A"/>
          <w:sz w:val="22"/>
          <w:szCs w:val="22"/>
        </w:rPr>
        <w:t xml:space="preserve">Transition Plan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Plan specifies which functions transfer and when, how citizen rights are maintained during transition, and what remedies apply if transition encounters implementation problems. The LI monitors Transition Plan implementation and publishes quarterly compliance reports to the NRS.</w:t>
      </w:r>
    </w:p>
    <w:p>
      <w:pPr>
        <w:spacing w:after="60" w:before="200"/>
        <w:ind w:left="431"/>
        <w:jc w:val="left"/>
      </w:pPr>
      <w:r>
        <w:rPr>
          <w:rFonts w:ascii="Courier New" w:cs="Courier New" w:eastAsia="Courier New" w:hAnsi="Courier New"/>
          <w:b/>
          <w:bCs/>
          <w:color w:val="1B2A4A"/>
          <w:sz w:val="18"/>
          <w:szCs w:val="18"/>
        </w:rPr>
        <w:t xml:space="preserve">§13.4.d  </w:t>
      </w:r>
      <w:r>
        <w:rPr>
          <w:rFonts w:ascii="Garamond" w:cs="Garamond" w:eastAsia="Garamond" w:hAnsi="Garamond"/>
          <w:b/>
          <w:bCs/>
          <w:i w:val="false"/>
          <w:iCs w:val="false"/>
          <w:color w:val="1B2A4A"/>
          <w:sz w:val="22"/>
          <w:szCs w:val="22"/>
        </w:rPr>
        <w:t xml:space="preserve">Effect of 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voluntary devolution, successor jurisdiction(s) begin their constitutional status from the starting point specified in the restructuring agreement. A subdivision that becomes a Territory enters the Statehood pathway immediately.</w:t>
      </w:r>
    </w:p>
    <w:p>
      <w:pPr>
        <w:spacing w:after="60" w:before="200"/>
        <w:ind w:left="431"/>
        <w:jc w:val="left"/>
      </w:pPr>
      <w:r>
        <w:rPr>
          <w:rFonts w:ascii="Courier New" w:cs="Courier New" w:eastAsia="Courier New" w:hAnsi="Courier New"/>
          <w:b/>
          <w:bCs/>
          <w:color w:val="1B2A4A"/>
          <w:sz w:val="18"/>
          <w:szCs w:val="18"/>
        </w:rPr>
        <w:t xml:space="preserve">§13.4.e  </w:t>
      </w:r>
      <w:r>
        <w:rPr>
          <w:rFonts w:ascii="Garamond" w:cs="Garamond" w:eastAsia="Garamond" w:hAnsi="Garamond"/>
          <w:b/>
          <w:bCs/>
          <w:i w:val="false"/>
          <w:iCs w:val="false"/>
          <w:color w:val="1B2A4A"/>
          <w:sz w:val="22"/>
          <w:szCs w:val="22"/>
        </w:rPr>
        <w:t xml:space="preserve">Negotiated Devolution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contemplating voluntary devolution may request a formal negotiated devolution agreement with the Republic before the vote. The agreement defines: any statutory commitments the Republic makes regarding Provisional Membership Period duration; the PM's technical assistance obligations during the Territory period; infrastructure and shared-service continuity arrangements; and any transition period for federal program unwinding. The negotiated agreement is published to the NRS and voted upon simultaneously with the devolution vote — residents approve or reject both the devolution and its negotiated terms together. A negotiated agreement may not reduce the two-thirds vote threshold or waive the Fiscal Incidence Study requirement of §13.4.b.</w:t>
      </w:r>
    </w:p>
    <w:p>
      <w:pPr>
        <w:spacing w:after="60" w:before="200"/>
        <w:ind w:left="431"/>
        <w:jc w:val="left"/>
      </w:pPr>
      <w:r>
        <w:rPr>
          <w:rFonts w:ascii="Courier New" w:cs="Courier New" w:eastAsia="Courier New" w:hAnsi="Courier New"/>
          <w:b/>
          <w:bCs/>
          <w:color w:val="1B2A4A"/>
          <w:sz w:val="18"/>
          <w:szCs w:val="18"/>
        </w:rPr>
        <w:t xml:space="preserve">§13.4.f  </w:t>
      </w:r>
      <w:r>
        <w:rPr>
          <w:rFonts w:ascii="Garamond" w:cs="Garamond" w:eastAsia="Garamond" w:hAnsi="Garamond"/>
          <w:b/>
          <w:bCs/>
          <w:i w:val="false"/>
          <w:iCs w:val="false"/>
          <w:color w:val="1B2A4A"/>
          <w:sz w:val="22"/>
          <w:szCs w:val="22"/>
        </w:rPr>
        <w:t xml:space="preserve">Independence Transition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Despite §10.1 applying to Republic Inhabitants, the Republic's obligations to the departing territory during the transition period must be specified in the framework agreement. Independence does not end Republic obligations to former Territory residents immediately. The transition period is a period of defined ongoing obligation.</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petitioning entity's own legislature or assembly by a 2/3 majority, confirmed by a citizen referendum achieving simple majority approval on a minimum 50% participation threshold — both are required; the Judicial Inspectorate's assessment of whether the entity systematically violates any unamendable Article I provision, published to the NRS within 90 days of petition receipt; and acceptance by the Legislature by a 2/3 majority of both chambers. If the Legislature declines it must publish its reasons to the NRS within 30 days. An accepted petition produces an incorporation agreement specifying a transition period not exceeding 48 months, the institutional adjustments required to meet §13.2.f, and the federal support framework. The incorporated entity immediately holds all Territory protections under §13.1. The Republic may not compel, incentivise, or pressure any sovereign entity to initiate this process. An indigenous nation recognised under Article XIV that wishes to pursue territorial incorporation must first make a status election through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an adjacent, geographically contiguous existing State rather than pursuing standalone Statehood. Merger requires approval from both the Territory population and the existing State, a joint Statehood Audit of the combined entity, and Senate ratification. The merged territory becomes fully part of the existing State — it does not create a new State or alter the existing State's constitutional standing.</w:t>
      </w:r>
    </w:p>
    <w:p>
      <w:pPr>
        <w:spacing w:after="60" w:before="200"/>
        <w:ind w:left="431"/>
        <w:jc w:val="left"/>
      </w:pPr>
      <w:r>
        <w:rPr>
          <w:rFonts w:ascii="Courier New" w:cs="Courier New" w:eastAsia="Courier New" w:hAnsi="Courier New"/>
          <w:b/>
          <w:bCs/>
          <w:color w:val="1B2A4A"/>
          <w:sz w:val="18"/>
          <w:szCs w:val="18"/>
        </w:rPr>
        <w:t xml:space="preserve">§13.7.a  </w:t>
      </w:r>
      <w:r>
        <w:rPr>
          <w:rFonts w:ascii="Garamond" w:cs="Garamond" w:eastAsia="Garamond" w:hAnsi="Garamond"/>
          <w:b/>
          <w:bCs/>
          <w:i w:val="false"/>
          <w:iCs w:val="false"/>
          <w:color w:val="1B2A4A"/>
          <w:sz w:val="22"/>
          <w:szCs w:val="22"/>
        </w:rPr>
        <w:t xml:space="preserve">Petition and Eligibility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defined geographic subdivision may petition the Senate to merge with a specific existing State. Eligibility requires: (1) geographic contiguity — the merging territory must share a land or navigable water border with the existing State; (2) a petition resolution adopted by the Territory's governance council or equivalent body; and (3) certification by the LI that the proposed merger boundaries are clearly defined and published to the NRS. A non-contiguous territory may not merge with a distant State regardless of other qualifications.</w:t>
      </w:r>
    </w:p>
    <w:p>
      <w:pPr>
        <w:spacing w:after="60" w:before="200"/>
        <w:ind w:left="431"/>
        <w:jc w:val="left"/>
      </w:pPr>
      <w:r>
        <w:rPr>
          <w:rFonts w:ascii="Courier New" w:cs="Courier New" w:eastAsia="Courier New" w:hAnsi="Courier New"/>
          <w:b/>
          <w:bCs/>
          <w:color w:val="1B2A4A"/>
          <w:sz w:val="18"/>
          <w:szCs w:val="18"/>
        </w:rPr>
        <w:t xml:space="preserve">§13.7.b  </w:t>
      </w:r>
      <w:r>
        <w:rPr>
          <w:rFonts w:ascii="Garamond" w:cs="Garamond" w:eastAsia="Garamond" w:hAnsi="Garamond"/>
          <w:b/>
          <w:bCs/>
          <w:i w:val="false"/>
          <w:iCs w:val="false"/>
          <w:color w:val="1B2A4A"/>
          <w:sz w:val="22"/>
          <w:szCs w:val="22"/>
        </w:rPr>
        <w:t xml:space="preserve">Dual Approval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Merger requires affirmative approval from both parties: (1) Territory approval — a referendum of eligible voters in the merging territory achieving 60% affirmative support with at least 50% participation. Where a partial territory merges, only the population of the merging portion votes; the remainder of the Territory does not participate in this referendum. (2) State approval — the existing State approves through its own constitutional or statutory process as the State defines; the approval method and result must be published to the NRS. Both approvals must be achieved within 18 months of each other. If either approval fails or expires without the other being obtained, the petition lapses and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§13.7.c  </w:t>
      </w:r>
      <w:r>
        <w:rPr>
          <w:rFonts w:ascii="Garamond" w:cs="Garamond" w:eastAsia="Garamond" w:hAnsi="Garamond"/>
          <w:b/>
          <w:bCs/>
          <w:i w:val="false"/>
          <w:iCs w:val="false"/>
          <w:color w:val="1B2A4A"/>
          <w:sz w:val="22"/>
          <w:szCs w:val="22"/>
        </w:rPr>
        <w:t xml:space="preserve">Joint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Following both approvals, the LI and JI conduct a joint Statehood Audit of the combined entity under the criteria of §13.2.a and §13.2.b. The audit assesses whether the existing State's fiscal integrity and legal compliance are maintained when the merging territory is included. The existing State retains its constitutional status throughout the audit process — audit failure blocks the merger but does not affect the State's existing Statehood. If the combined entity fails the audit, the merger may not proceed. The petition may be resubmitted once the audit criteria are met without requiring new dual approval under §13.7.b, provided resubmission occurs within 5 years of the original approvals.</w:t>
      </w:r>
    </w:p>
    <w:p>
      <w:pPr>
        <w:spacing w:after="60" w:before="200"/>
        <w:ind w:left="431"/>
        <w:jc w:val="left"/>
      </w:pPr>
      <w:r>
        <w:rPr>
          <w:rFonts w:ascii="Courier New" w:cs="Courier New" w:eastAsia="Courier New" w:hAnsi="Courier New"/>
          <w:b/>
          <w:bCs/>
          <w:color w:val="1B2A4A"/>
          <w:sz w:val="18"/>
          <w:szCs w:val="18"/>
        </w:rPr>
        <w:t xml:space="preserve">§13.7.d  </w:t>
      </w:r>
      <w:r>
        <w:rPr>
          <w:rFonts w:ascii="Garamond" w:cs="Garamond" w:eastAsia="Garamond" w:hAnsi="Garamond"/>
          <w:b/>
          <w:bCs/>
          <w:i w:val="false"/>
          <w:iCs w:val="false"/>
          <w:color w:val="1B2A4A"/>
          <w:sz w:val="22"/>
          <w:szCs w:val="22"/>
        </w:rPr>
        <w:t xml:space="preserve">Remaining Territory Viability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partial Territory merges with an existing State, the LI assesses the remaining Territory's viability for eventual standalone Statehood and publishes its assessment to the NRS within 90 days of the merger petition. Viability does not require the remaining Territory to currently meet Statehood Audit criteria — only that a credible path to meeting them exists given its population, fiscal capacity, and geographic coherence. If the LI finds the remaining Territory is not viable for standalone Statehood, the partial merger may not proceed unless the Republic commits by statute to a specific development and support program for the remaining Territory, published to the NRS before the Senate ratification vote. A Territory that is reduced to non-viability by a partial merger that proceeded in error is entitled to full social state protection under §10.1 and federal support as a constitutional matter.</w:t>
      </w:r>
    </w:p>
    <w:p>
      <w:pPr>
        <w:spacing w:after="60" w:before="200"/>
        <w:ind w:left="431"/>
        <w:jc w:val="left"/>
      </w:pPr>
      <w:r>
        <w:rPr>
          <w:rFonts w:ascii="Courier New" w:cs="Courier New" w:eastAsia="Courier New" w:hAnsi="Courier New"/>
          <w:b/>
          <w:bCs/>
          <w:color w:val="1B2A4A"/>
          <w:sz w:val="18"/>
          <w:szCs w:val="18"/>
        </w:rPr>
        <w:t xml:space="preserve">§13.7.e  </w:t>
      </w:r>
      <w:r>
        <w:rPr>
          <w:rFonts w:ascii="Garamond" w:cs="Garamond" w:eastAsia="Garamond" w:hAnsi="Garamond"/>
          <w:b/>
          <w:bCs/>
          <w:i w:val="false"/>
          <w:iCs w:val="false"/>
          <w:color w:val="1B2A4A"/>
          <w:sz w:val="22"/>
          <w:szCs w:val="22"/>
        </w:rPr>
        <w:t xml:space="preserve">Senate Ratification and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ratification requires a simple majority of full seated membership. Upon ratification: the merging territory is incorporated into the existing State by operation of law from the date of ratification; the existing State's House seat allocation is recalculated at the next census; the existing State's two Senate seats remain unchanged; all residents of the merging territory become citizens and residents of the State for all constitutional purposes; and the LI publishes the updated State boundaries to the NRS within 30 days. Where a partial Territory merges, the remaining Territory continues under §13.1 and begins or continues the §13.2 Statehood Audit process from its current baseline.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§15.4.a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§15.4.b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"Electoral Commission" and to "the EC" refer to the Elections Panel of the Digital Infrastructure Commission unless the context requires otherwise.</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Either executive may nominate any number of qualified persons to their pool at any time. The JI reviews each nominee and publishes a qualification report to the NRS within 30 days of nomination, assessing whether the nominee meets the qualification requirements established by statute for the relevant panel track — NRS track or Elections track. Pool membership is established by JI qualification certification; no Senate confirmation is required for pool entry. A nominee whose qualifications have not been JI-certified may not be selected for panel appointment.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the Director's selection within 60 days; failure to vote within 60 days is a constitutional compliance breach certified by the LI. If the Director finds neither nominee acceptable, the Director publishes the reasons to the NRS and requests new nominations; each executive must respond with a new nominee within 30 days.</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content, timing, and availability of records published to the National Record System. The Director and Elections Panel may not issue instructions to the NRS Panel regarding any specific record.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subject to active removal proceedings is suspended from duties pending the legislative vote.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the deciding-vote power under §16.1.d.</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Electoral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Electoral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Electoral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Electoral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Electoral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Electoral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§15.4.a and a voluntary devolution agreement under §13.4, automatic reversion under §17.3.b does not immediately apply to Operational Use Rights within the departing territory. Use rights continue under the terms of the framework agreement and independence treaty negotiated under §13.4.b.</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Electoral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Electoral Commission administers all electoral finance rules, reviews all disclosed contributions, publishes all disclosures to the NRS, and investigates suspected violations. The EI audits EC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Electoral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Electoral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elected through the open-candidacy judicial selection process. Electoral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§15.4.a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2026-05-22T00:15:05.979Z</dcterms:created>
  <dcterms:modified xsi:type="dcterms:W3CDTF">2026-05-22T00:15:05.990Z</dcterms:modified>
</cp:coreProperties>
</file>

<file path=docProps/custom.xml><?xml version="1.0" encoding="utf-8"?>
<Properties xmlns="http://schemas.openxmlformats.org/officeDocument/2006/custom-properties" xmlns:vt="http://schemas.openxmlformats.org/officeDocument/2006/docPropsVTypes"/>
</file>