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0" w:before="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00125"/>
                    </a:xfrm>
                    <a:prstGeom prst="rect">
                      <a:avLst/>
                    </a:prstGeom>
                  </pic:spPr>
                </pic:pic>
              </a:graphicData>
            </a:graphic>
          </wp:inline>
        </w:drawing>
      </w:r>
    </w:p>
    <w:p>
      <w:pPr>
        <w:spacing w:after="200" w:before="0"/>
        <w:jc w:val="center"/>
      </w:pPr>
      <w:r>
        <w:rPr>
          <w:rFonts w:ascii="Garamond" w:cs="Garamond" w:eastAsia="Garamond" w:hAnsi="Garamond"/>
          <w:b/>
          <w:bCs/>
          <w:i w:val="false"/>
          <w:iCs w:val="false"/>
          <w:color w:val="1B2A4A"/>
          <w:sz w:val="44"/>
          <w:szCs w:val="44"/>
        </w:rPr>
        <w:t xml:space="preserve">THE FEDERATED REPUBLIC</w:t>
      </w:r>
    </w:p>
    <w:p>
      <w:pPr>
        <w:spacing w:after="200" w:before="0"/>
        <w:jc w:val="center"/>
      </w:pPr>
      <w:r>
        <w:rPr>
          <w:rFonts w:ascii="Garamond" w:cs="Garamond" w:eastAsia="Garamond" w:hAnsi="Garamond"/>
          <w:b w:val="false"/>
          <w:bCs w:val="false"/>
          <w:i w:val="false"/>
          <w:iCs w:val="false"/>
          <w:color w:val="C9A84C"/>
          <w:sz w:val="32"/>
          <w:szCs w:val="32"/>
        </w:rPr>
        <w:t xml:space="preserve">Constitution</w:t>
      </w:r>
    </w:p>
    <w:p>
      <w:pPr>
        <w:pBdr>
          <w:bottom w:val="single" w:color="C9A84C" w:sz="6" w:space="1"/>
        </w:pBdr>
        <w:spacing w:after="400" w:before="0"/>
        <w:jc w:val="center"/>
      </w:pPr>
      <w:r>
        <w:t xml:space="preserve"/>
      </w:r>
    </w:p>
    <w:p>
      <w:pPr>
        <w:spacing w:after="800" w:before="0"/>
        <w:jc w:val="center"/>
      </w:pPr>
      <w:r>
        <w:rPr>
          <w:rFonts w:ascii="Garamond" w:cs="Garamond" w:eastAsia="Garamond" w:hAnsi="Garamond"/>
          <w:b w:val="false"/>
          <w:bCs w:val="false"/>
          <w:i w:val="false"/>
          <w:iCs w:val="false"/>
          <w:color w:val="7a7060"/>
          <w:sz w:val="22"/>
          <w:szCs w:val="22"/>
        </w:rPr>
        <w:t xml:space="preserve">May 2026</w:t>
      </w:r>
    </w:p>
    <w:p>
      <w:pPr>
        <w:spacing w:after="200" w:before="0"/>
        <w:jc w:val="center"/>
      </w:pPr>
      <w:r>
        <w:rPr>
          <w:rFonts w:ascii="Courier New" w:cs="Courier New" w:eastAsia="Courier New" w:hAnsi="Courier New"/>
          <w:b w:val="false"/>
          <w:bCs w:val="false"/>
          <w:color w:val="7a7060"/>
          <w:sz w:val="18"/>
          <w:szCs w:val="18"/>
        </w:rPr>
        <w:t xml:space="preserve">thefederatedrepublic.org</w:t>
      </w:r>
    </w:p>
    <w:p>
      <w:pPr>
        <w:spacing w:after="0" w:before="0"/>
      </w:pPr>
      <w:r>
        <w:br/>
        <w:t xml:space="preserve"/>
      </w:r>
    </w:p>
    <w:p>
      <w:pPr>
        <w:spacing w:after="240" w:before="480"/>
      </w:pPr>
      <w:r>
        <w:rPr>
          <w:rFonts w:ascii="Garamond" w:cs="Garamond" w:eastAsia="Garamond" w:hAnsi="Garamond"/>
          <w:b/>
          <w:bCs/>
          <w:i w:val="false"/>
          <w:iCs w:val="false"/>
          <w:color w:val="1B2A4A"/>
          <w:sz w:val="32"/>
          <w:szCs w:val="32"/>
        </w:rPr>
        <w:t xml:space="preserve">Preamble</w:t>
      </w:r>
    </w:p>
    <w:p>
      <w:pPr>
        <w:spacing w:after="480" w:before="0"/>
        <w:jc w:val="both"/>
      </w:pPr>
      <w:r>
        <w:rPr>
          <w:rFonts w:ascii="Garamond" w:cs="Garamond" w:eastAsia="Garamond" w:hAnsi="Garamond"/>
          <w:b w:val="false"/>
          <w:bCs w:val="false"/>
          <w:i/>
          <w:iCs/>
          <w:color w:val="2a2520"/>
          <w:sz w:val="24"/>
          <w:szCs w:val="24"/>
        </w:rPr>
        <w:t xml:space="preserve">We, the people of the Federated Republic, recognizing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pPr>
        <w:spacing w:after="60" w:before="200"/>
        <w:jc w:val="left"/>
      </w:pPr>
      <w:r>
        <w:rPr>
          <w:rFonts w:ascii="Garamond" w:cs="Garamond" w:eastAsia="Garamond" w:hAnsi="Garamond"/>
          <w:b/>
          <w:bCs/>
          <w:i w:val="false"/>
          <w:iCs w:val="false"/>
          <w:color w:val="1B2A4A"/>
          <w:sz w:val="34"/>
          <w:szCs w:val="34"/>
        </w:rPr>
        <w:t xml:space="preserve">Article I — Individual Sovereignty and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  </w:t>
      </w:r>
      <w:r>
        <w:rPr>
          <w:rFonts w:ascii="Garamond" w:cs="Garamond" w:eastAsia="Garamond" w:hAnsi="Garamond"/>
          <w:b/>
          <w:bCs/>
          <w:i w:val="false"/>
          <w:iCs w:val="false"/>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color w:val="1B2A4A"/>
          <w:sz w:val="18"/>
          <w:szCs w:val="18"/>
        </w:rPr>
        <w:t xml:space="preserve">§1.2  </w:t>
      </w:r>
      <w:r>
        <w:rPr>
          <w:rFonts w:ascii="Garamond" w:cs="Garamond" w:eastAsia="Garamond" w:hAnsi="Garamond"/>
          <w:b/>
          <w:bCs/>
          <w:i w:val="false"/>
          <w:iCs w:val="false"/>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color w:val="1B2A4A"/>
          <w:sz w:val="18"/>
          <w:szCs w:val="18"/>
        </w:rPr>
        <w:t xml:space="preserve">§1.3  </w:t>
      </w:r>
      <w:r>
        <w:rPr>
          <w:rFonts w:ascii="Garamond" w:cs="Garamond" w:eastAsia="Garamond" w:hAnsi="Garamond"/>
          <w:b/>
          <w:bCs/>
          <w:i w:val="false"/>
          <w:iCs w:val="false"/>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Torture and cruel, inhuman, or degrading treatment are absolutely prohibited. No person within the Republic's jurisdiction may be subjected to any such treatment. This right is non-derogable under §1.19.b.</w:t>
      </w:r>
    </w:p>
    <w:p>
      <w:pPr>
        <w:spacing w:after="60" w:before="200"/>
        <w:ind w:left="431"/>
        <w:jc w:val="left"/>
      </w:pPr>
      <w:r>
        <w:rPr>
          <w:rFonts w:ascii="Courier New" w:cs="Courier New" w:eastAsia="Courier New" w:hAnsi="Courier New"/>
          <w:b/>
          <w:bCs/>
          <w:color w:val="1B2A4A"/>
          <w:sz w:val="18"/>
          <w:szCs w:val="18"/>
        </w:rPr>
        <w:t xml:space="preserve">§1.4  </w:t>
      </w:r>
      <w:r>
        <w:rPr>
          <w:rFonts w:ascii="Garamond" w:cs="Garamond" w:eastAsia="Garamond" w:hAnsi="Garamond"/>
          <w:b/>
          <w:bCs/>
          <w:i w:val="false"/>
          <w:iCs w:val="false"/>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i w:val="false"/>
          <w:iCs w:val="false"/>
          <w:color w:val="2a2520"/>
          <w:sz w:val="22"/>
          <w:szCs w:val="22"/>
        </w:rPr>
        <w:t xml:space="preserve">Slavery, involuntary servitude, and forced labor are absolutely prohibited. Lawfully imposed prison labor and compulsory military service under the terms established by statute do not constitute forced labor under this provision.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§1.5  </w:t>
      </w:r>
      <w:r>
        <w:rPr>
          <w:rFonts w:ascii="Garamond" w:cs="Garamond" w:eastAsia="Garamond" w:hAnsi="Garamond"/>
          <w:b/>
          <w:bCs/>
          <w:i w:val="false"/>
          <w:iCs w:val="false"/>
          <w:color w:val="1B2A4A"/>
          <w:sz w:val="22"/>
          <w:szCs w:val="22"/>
        </w:rPr>
        <w:t xml:space="preserve">Civil and Political Liberties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color w:val="1B2A4A"/>
          <w:sz w:val="18"/>
          <w:szCs w:val="18"/>
        </w:rPr>
        <w:t xml:space="preserve">§1.6  </w:t>
      </w:r>
      <w:r>
        <w:rPr>
          <w:rFonts w:ascii="Garamond" w:cs="Garamond" w:eastAsia="Garamond" w:hAnsi="Garamond"/>
          <w:b/>
          <w:bCs/>
          <w:i w:val="false"/>
          <w:iCs w:val="false"/>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pPr>
        <w:spacing w:after="60" w:before="200"/>
        <w:ind w:left="431"/>
        <w:jc w:val="left"/>
      </w:pPr>
      <w:r>
        <w:rPr>
          <w:rFonts w:ascii="Courier New" w:cs="Courier New" w:eastAsia="Courier New" w:hAnsi="Courier New"/>
          <w:b/>
          <w:bCs/>
          <w:color w:val="1B2A4A"/>
          <w:sz w:val="18"/>
          <w:szCs w:val="18"/>
        </w:rPr>
        <w:t xml:space="preserve">§1.7  </w:t>
      </w:r>
      <w:r>
        <w:rPr>
          <w:rFonts w:ascii="Garamond" w:cs="Garamond" w:eastAsia="Garamond" w:hAnsi="Garamond"/>
          <w:b/>
          <w:bCs/>
          <w:i w:val="false"/>
          <w:iCs w:val="false"/>
          <w:color w:val="1B2A4A"/>
          <w:sz w:val="22"/>
          <w:szCs w:val="22"/>
        </w:rPr>
        <w:t xml:space="preserve">Bodily Sovereignty and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pPr>
        <w:spacing w:after="60" w:before="200"/>
        <w:ind w:left="431"/>
        <w:jc w:val="left"/>
      </w:pPr>
      <w:r>
        <w:rPr>
          <w:rFonts w:ascii="Courier New" w:cs="Courier New" w:eastAsia="Courier New" w:hAnsi="Courier New"/>
          <w:b/>
          <w:bCs/>
          <w:color w:val="1B2A4A"/>
          <w:sz w:val="18"/>
          <w:szCs w:val="18"/>
        </w:rPr>
        <w:t xml:space="preserve">§1.8  </w:t>
      </w:r>
      <w:r>
        <w:rPr>
          <w:rFonts w:ascii="Garamond" w:cs="Garamond" w:eastAsia="Garamond" w:hAnsi="Garamond"/>
          <w:b/>
          <w:bCs/>
          <w:i w:val="false"/>
          <w:iCs w:val="false"/>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color w:val="1B2A4A"/>
          <w:sz w:val="18"/>
          <w:szCs w:val="18"/>
        </w:rPr>
        <w:t xml:space="preserve">§1.9  </w:t>
      </w:r>
      <w:r>
        <w:rPr>
          <w:rFonts w:ascii="Garamond" w:cs="Garamond" w:eastAsia="Garamond" w:hAnsi="Garamond"/>
          <w:b/>
          <w:bCs/>
          <w:i w:val="false"/>
          <w:iCs w:val="false"/>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color w:val="1B2A4A"/>
          <w:sz w:val="18"/>
          <w:szCs w:val="18"/>
        </w:rPr>
        <w:t xml:space="preserve">§1.10  </w:t>
      </w:r>
      <w:r>
        <w:rPr>
          <w:rFonts w:ascii="Garamond" w:cs="Garamond" w:eastAsia="Garamond" w:hAnsi="Garamond"/>
          <w:b/>
          <w:bCs/>
          <w:i w:val="false"/>
          <w:iCs w:val="false"/>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§1.14  </w:t>
      </w:r>
      <w:r>
        <w:rPr>
          <w:rFonts w:ascii="Garamond" w:cs="Garamond" w:eastAsia="Garamond" w:hAnsi="Garamond"/>
          <w:b/>
          <w:bCs/>
          <w:i w:val="false"/>
          <w:iCs w:val="false"/>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§1.15  </w:t>
      </w:r>
      <w:r>
        <w:rPr>
          <w:rFonts w:ascii="Garamond" w:cs="Garamond" w:eastAsia="Garamond" w:hAnsi="Garamond"/>
          <w:b/>
          <w:bCs/>
          <w:i w:val="false"/>
          <w:iCs w:val="false"/>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tried or punished twice for the same offense following a final acquittal or conviction. The same offense means any charge that does not require proof of an element distinct from those required for the original charge. The Legislature defines by statute the scope of this protection above this constitutional floor, including its application across jurisdictions.</w:t>
      </w:r>
    </w:p>
    <w:p>
      <w:pPr>
        <w:spacing w:after="60" w:before="200"/>
        <w:ind w:left="431"/>
        <w:jc w:val="left"/>
      </w:pPr>
      <w:r>
        <w:rPr>
          <w:rFonts w:ascii="Courier New" w:cs="Courier New" w:eastAsia="Courier New" w:hAnsi="Courier New"/>
          <w:b/>
          <w:bCs/>
          <w:color w:val="1B2A4A"/>
          <w:sz w:val="18"/>
          <w:szCs w:val="18"/>
        </w:rPr>
        <w:t xml:space="preserve">§1.16  </w:t>
      </w:r>
      <w:r>
        <w:rPr>
          <w:rFonts w:ascii="Garamond" w:cs="Garamond" w:eastAsia="Garamond" w:hAnsi="Garamond"/>
          <w:b/>
          <w:bCs/>
          <w:i w:val="false"/>
          <w:iCs w:val="false"/>
          <w:color w:val="1B2A4A"/>
          <w:sz w:val="22"/>
          <w:szCs w:val="22"/>
        </w:rPr>
        <w:t xml:space="preserve">Social Assistance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§1.17  </w:t>
      </w:r>
      <w:r>
        <w:rPr>
          <w:rFonts w:ascii="Garamond" w:cs="Garamond" w:eastAsia="Garamond" w:hAnsi="Garamond"/>
          <w:b/>
          <w:bCs/>
          <w:i w:val="false"/>
          <w:iCs w:val="false"/>
          <w:color w:val="1B2A4A"/>
          <w:sz w:val="22"/>
          <w:szCs w:val="22"/>
        </w:rPr>
        <w:t xml:space="preserve">Education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§1.18  </w:t>
      </w:r>
      <w:r>
        <w:rPr>
          <w:rFonts w:ascii="Garamond" w:cs="Garamond" w:eastAsia="Garamond" w:hAnsi="Garamond"/>
          <w:b/>
          <w:bCs/>
          <w:i w:val="false"/>
          <w:iCs w:val="false"/>
          <w:color w:val="1B2A4A"/>
          <w:sz w:val="22"/>
          <w:szCs w:val="22"/>
        </w:rPr>
        <w:t xml:space="preserve">Environmental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color w:val="1B2A4A"/>
          <w:sz w:val="18"/>
          <w:szCs w:val="18"/>
        </w:rPr>
        <w:t xml:space="preserve">§1.19  </w:t>
      </w:r>
      <w:r>
        <w:rPr>
          <w:rFonts w:ascii="Garamond" w:cs="Garamond" w:eastAsia="Garamond" w:hAnsi="Garamond"/>
          <w:b/>
          <w:bCs/>
          <w:i w:val="false"/>
          <w:iCs w:val="false"/>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w:t>
      </w:r>
    </w:p>
    <w:p>
      <w:pPr>
        <w:spacing w:after="60" w:before="200"/>
        <w:ind w:left="431"/>
        <w:jc w:val="left"/>
      </w:pPr>
      <w:r>
        <w:rPr>
          <w:rFonts w:ascii="Courier New" w:cs="Courier New" w:eastAsia="Courier New" w:hAnsi="Courier New"/>
          <w:b/>
          <w:bCs/>
          <w:color w:val="1B2A4A"/>
          <w:sz w:val="18"/>
          <w:szCs w:val="18"/>
        </w:rPr>
        <w:t xml:space="preserve">§1.19.a  </w:t>
      </w:r>
      <w:r>
        <w:rPr>
          <w:rFonts w:ascii="Garamond" w:cs="Garamond" w:eastAsia="Garamond" w:hAnsi="Garamond"/>
          <w:b/>
          <w:bCs/>
          <w:i w:val="false"/>
          <w:iCs w:val="false"/>
          <w:color w:val="1B2A4A"/>
          <w:sz w:val="22"/>
          <w:szCs w:val="22"/>
        </w:rPr>
        <w:t xml:space="preserve">Emergency Derogation — Declaration Requirements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pPr>
        <w:spacing w:after="60" w:before="200"/>
        <w:ind w:left="431"/>
        <w:jc w:val="left"/>
      </w:pPr>
      <w:r>
        <w:rPr>
          <w:rFonts w:ascii="Courier New" w:cs="Courier New" w:eastAsia="Courier New" w:hAnsi="Courier New"/>
          <w:b/>
          <w:bCs/>
          <w:color w:val="1B2A4A"/>
          <w:sz w:val="18"/>
          <w:szCs w:val="18"/>
        </w:rPr>
        <w:t xml:space="preserve">§1.19.b  </w:t>
      </w:r>
      <w:r>
        <w:rPr>
          <w:rFonts w:ascii="Garamond" w:cs="Garamond" w:eastAsia="Garamond" w:hAnsi="Garamond"/>
          <w:b/>
          <w:bCs/>
          <w:i w:val="false"/>
          <w:iCs w:val="false"/>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pPr>
        <w:spacing w:after="60" w:before="200"/>
        <w:ind w:left="431"/>
        <w:jc w:val="left"/>
      </w:pPr>
      <w:r>
        <w:rPr>
          <w:rFonts w:ascii="Courier New" w:cs="Courier New" w:eastAsia="Courier New" w:hAnsi="Courier New"/>
          <w:b/>
          <w:bCs/>
          <w:color w:val="1B2A4A"/>
          <w:sz w:val="18"/>
          <w:szCs w:val="18"/>
        </w:rPr>
        <w:t xml:space="preserve">§1.19.c  </w:t>
      </w:r>
      <w:r>
        <w:rPr>
          <w:rFonts w:ascii="Garamond" w:cs="Garamond" w:eastAsia="Garamond" w:hAnsi="Garamond"/>
          <w:b/>
          <w:bCs/>
          <w:i w:val="false"/>
          <w:iCs w:val="false"/>
          <w:color w:val="1B2A4A"/>
          <w:sz w:val="22"/>
          <w:szCs w:val="22"/>
        </w:rPr>
        <w:t xml:space="preserve">Monitor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Monitors continue to operate with full constitutional authority throughout any emergency — they cannot be suspended or have their mandate reduced by emergency declaration.</w:t>
      </w:r>
    </w:p>
    <w:p>
      <w:pPr>
        <w:spacing w:after="60" w:before="200"/>
        <w:ind w:left="431"/>
        <w:jc w:val="left"/>
      </w:pPr>
      <w:r>
        <w:rPr>
          <w:rFonts w:ascii="Courier New" w:cs="Courier New" w:eastAsia="Courier New" w:hAnsi="Courier New"/>
          <w:b/>
          <w:bCs/>
          <w:color w:val="1B2A4A"/>
          <w:sz w:val="18"/>
          <w:szCs w:val="18"/>
        </w:rPr>
        <w:t xml:space="preserve">§1.19.d  </w:t>
      </w:r>
      <w:r>
        <w:rPr>
          <w:rFonts w:ascii="Garamond" w:cs="Garamond" w:eastAsia="Garamond" w:hAnsi="Garamond"/>
          <w:b/>
          <w:bCs/>
          <w:i w:val="false"/>
          <w:iCs w:val="false"/>
          <w:color w:val="1B2A4A"/>
          <w:sz w:val="22"/>
          <w:szCs w:val="22"/>
        </w:rPr>
        <w:t xml:space="preserve">Automatic Expiry and Judicial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courts may rule during the emergency that a specific measure is unconstitutional.</w:t>
      </w:r>
    </w:p>
    <w:p>
      <w:pPr>
        <w:spacing w:after="60" w:before="200"/>
        <w:ind w:left="431"/>
        <w:jc w:val="left"/>
      </w:pPr>
      <w:r>
        <w:rPr>
          <w:rFonts w:ascii="Courier New" w:cs="Courier New" w:eastAsia="Courier New" w:hAnsi="Courier New"/>
          <w:b/>
          <w:bCs/>
          <w:color w:val="1B2A4A"/>
          <w:sz w:val="18"/>
          <w:szCs w:val="18"/>
        </w:rPr>
        <w:t xml:space="preserve">§1.19.e  </w:t>
      </w:r>
      <w:r>
        <w:rPr>
          <w:rFonts w:ascii="Garamond" w:cs="Garamond" w:eastAsia="Garamond" w:hAnsi="Garamond"/>
          <w:b/>
          <w:bCs/>
          <w:i w:val="false"/>
          <w:iCs w:val="false"/>
          <w:color w:val="1B2A4A"/>
          <w:sz w:val="22"/>
          <w:szCs w:val="22"/>
        </w:rPr>
        <w:t xml:space="preserve">No Permanent Emergency</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pPr>
        <w:spacing w:after="60" w:before="200"/>
        <w:ind w:left="431"/>
        <w:jc w:val="left"/>
      </w:pPr>
      <w:r>
        <w:rPr>
          <w:rFonts w:ascii="Courier New" w:cs="Courier New" w:eastAsia="Courier New" w:hAnsi="Courier New"/>
          <w:b/>
          <w:bCs/>
          <w:color w:val="1B2A4A"/>
          <w:sz w:val="18"/>
          <w:szCs w:val="18"/>
        </w:rPr>
        <w:t xml:space="preserve">§1.20  </w:t>
      </w:r>
      <w:r>
        <w:rPr>
          <w:rFonts w:ascii="Garamond" w:cs="Garamond" w:eastAsia="Garamond" w:hAnsi="Garamond"/>
          <w:b/>
          <w:bCs/>
          <w:i w:val="false"/>
          <w:iCs w:val="false"/>
          <w:color w:val="1B2A4A"/>
          <w:sz w:val="22"/>
          <w:szCs w:val="22"/>
        </w:rPr>
        <w:t xml:space="preserve">Right to Seek Asylum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pPr>
        <w:spacing w:after="60" w:before="200"/>
        <w:jc w:val="left"/>
      </w:pPr>
      <w:r>
        <w:rPr>
          <w:rFonts w:ascii="Garamond" w:cs="Garamond" w:eastAsia="Garamond" w:hAnsi="Garamond"/>
          <w:b/>
          <w:bCs/>
          <w:i w:val="false"/>
          <w:iCs w:val="false"/>
          <w:color w:val="1B2A4A"/>
          <w:sz w:val="34"/>
          <w:szCs w:val="34"/>
        </w:rPr>
        <w:t xml:space="preserve">Article II — The Dual Executive</w:t>
      </w:r>
    </w:p>
    <w:p>
      <w:pPr>
        <w:spacing w:after="60" w:before="200"/>
        <w:ind w:left="431"/>
        <w:jc w:val="left"/>
      </w:pPr>
      <w:r>
        <w:rPr>
          <w:rFonts w:ascii="Courier New" w:cs="Courier New" w:eastAsia="Courier New" w:hAnsi="Courier New"/>
          <w:b/>
          <w:bCs/>
          <w:color w:val="1B2A4A"/>
          <w:sz w:val="18"/>
          <w:szCs w:val="18"/>
        </w:rPr>
        <w:t xml:space="preserve">§2.1  </w:t>
      </w:r>
      <w:r>
        <w:rPr>
          <w:rFonts w:ascii="Garamond" w:cs="Garamond" w:eastAsia="Garamond" w:hAnsi="Garamond"/>
          <w:b/>
          <w:bCs/>
          <w:i w:val="false"/>
          <w:iCs w:val="false"/>
          <w:color w:val="1B2A4A"/>
          <w:sz w:val="22"/>
          <w:szCs w:val="22"/>
        </w:rPr>
        <w:t xml:space="preserve">The Legat Consul — Domain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pending SC determination. During active military operations, the Legat Consul's domain governs operational decisions; either executive may petition the SC for an expedited domain determination.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pPr>
        <w:spacing w:after="60" w:before="200"/>
        <w:ind w:left="431"/>
        <w:jc w:val="left"/>
      </w:pPr>
      <w:r>
        <w:rPr>
          <w:rFonts w:ascii="Courier New" w:cs="Courier New" w:eastAsia="Courier New" w:hAnsi="Courier New"/>
          <w:b/>
          <w:bCs/>
          <w:color w:val="1B2A4A"/>
          <w:sz w:val="18"/>
          <w:szCs w:val="18"/>
        </w:rPr>
        <w:t xml:space="preserve">§2.2  </w:t>
      </w:r>
      <w:r>
        <w:rPr>
          <w:rFonts w:ascii="Garamond" w:cs="Garamond" w:eastAsia="Garamond" w:hAnsi="Garamond"/>
          <w:b/>
          <w:bCs/>
          <w:i w:val="false"/>
          <w:iCs w:val="false"/>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pPr>
        <w:spacing w:after="60" w:before="200"/>
        <w:ind w:left="431"/>
        <w:jc w:val="left"/>
      </w:pPr>
      <w:r>
        <w:rPr>
          <w:rFonts w:ascii="Courier New" w:cs="Courier New" w:eastAsia="Courier New" w:hAnsi="Courier New"/>
          <w:b/>
          <w:bCs/>
          <w:color w:val="1B2A4A"/>
          <w:sz w:val="18"/>
          <w:szCs w:val="18"/>
        </w:rPr>
        <w:t xml:space="preserve">§2.3  </w:t>
      </w:r>
      <w:r>
        <w:rPr>
          <w:rFonts w:ascii="Garamond" w:cs="Garamond" w:eastAsia="Garamond" w:hAnsi="Garamond"/>
          <w:b/>
          <w:bCs/>
          <w:i w:val="false"/>
          <w:iCs w:val="false"/>
          <w:color w:val="1B2A4A"/>
          <w:sz w:val="22"/>
          <w:szCs w:val="22"/>
        </w:rPr>
        <w:t xml:space="preserve">Consular Intelligence and Veto</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directs foreign intelligence. No intelligence operation may be conducted against Republic citizens within Republic territory on the Legat Consul's authority; such operations require independent judicial authorization. The Legat Consul may veto legislation that raises a genuine constitutional concern within the Legat Consul's domain — military operations, intelligence, treaty obligations, or border security. A general or speculative security connection is insufficient. Either Speaker may petition the SC for an expedited domain determination of any disputed veto; the SC must rule within 7 days of such petition. Under §9.1, either Speaker may request an EM assessment of the domain question, which the SC may consider as expert evidence. Where the SC confirms the veto falls outside the Legat Consul's defined domain, the veto is void and the bill proceeds to ordinary enactment without Legat Consul assent. Where the SC confirms the veto is within domain, the ordinary 2/3 override threshold applies.</w:t>
      </w:r>
    </w:p>
    <w:p>
      <w:pPr>
        <w:spacing w:after="60" w:before="200"/>
        <w:ind w:left="431"/>
        <w:jc w:val="left"/>
      </w:pPr>
      <w:r>
        <w:rPr>
          <w:rFonts w:ascii="Courier New" w:cs="Courier New" w:eastAsia="Courier New" w:hAnsi="Courier New"/>
          <w:b/>
          <w:bCs/>
          <w:color w:val="1B2A4A"/>
          <w:sz w:val="18"/>
          <w:szCs w:val="18"/>
        </w:rPr>
        <w:t xml:space="preserve">§2.4  </w:t>
      </w:r>
      <w:r>
        <w:rPr>
          <w:rFonts w:ascii="Garamond" w:cs="Garamond" w:eastAsia="Garamond" w:hAnsi="Garamond"/>
          <w:b/>
          <w:bCs/>
          <w:i w:val="false"/>
          <w:iCs w:val="false"/>
          <w:color w:val="1B2A4A"/>
          <w:sz w:val="22"/>
          <w:szCs w:val="22"/>
        </w:rPr>
        <w:t xml:space="preserve">Consular Domain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negotiates and concludes trade agreements. Civic Consul written concurrence is required only for provisions imposing national treatment obligations within Republic territory, provisions requiring new domestic legislation, or provisions creating direct obligations on domestic persons. All other trade terms are within the Legat Consul's sole authority. The Civic Consul must respond to any request for concurrence within the period defined by statute; where no statutory period has been established, the constitutional default is 30 days. Where the Civic Consul does not respond within the applicable period, concurrence is deemed given for provisions that do not require new domestic legislation; silence on provisions that require new domestic legislation is deemed withheld. Where Civic Consul concurrence is withheld on a specific provision, that provision may be transmitted to the Assembly as ordinary legislation while the remaining agreement proceeds to Senate ratification independently. The Legat Consul nominates senior domain officers — Director of Intelligence, Director of Foreign Affairs, Director of Defense — from a pool of qualified candidates maintained by the Elections Panel under §9.12. The Legislature defines qualifications and confirmation procedures for each office by statute; Acting appointments may be made pending confirmation for the period and under the conditions the Legislature defines. Indefinite circumvention of Senate confirmation through Acting appointments is constitutionally prohibited. Where the executives dispute whether a provision requires new domestic legislation for purposes of the concurrence default, either executive may refer the classification question to the SC for expedited determination within the concurrence period.</w:t>
      </w:r>
    </w:p>
    <w:p>
      <w:pPr>
        <w:spacing w:after="60" w:before="200"/>
        <w:ind w:left="431"/>
        <w:jc w:val="left"/>
      </w:pPr>
      <w:r>
        <w:rPr>
          <w:rFonts w:ascii="Courier New" w:cs="Courier New" w:eastAsia="Courier New" w:hAnsi="Courier New"/>
          <w:b/>
          <w:bCs/>
          <w:color w:val="1B2A4A"/>
          <w:sz w:val="18"/>
          <w:szCs w:val="18"/>
        </w:rPr>
        <w:t xml:space="preserve">§2.5  </w:t>
      </w:r>
      <w:r>
        <w:rPr>
          <w:rFonts w:ascii="Garamond" w:cs="Garamond" w:eastAsia="Garamond" w:hAnsi="Garamond"/>
          <w:b/>
          <w:bCs/>
          <w:i w:val="false"/>
          <w:iCs w:val="false"/>
          <w:color w:val="1B2A4A"/>
          <w:sz w:val="22"/>
          <w:szCs w:val="22"/>
        </w:rPr>
        <w:t xml:space="preserve">The Civic Consul — Domain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the annual budget, which must originate with the Civic Consul and pass the Assembly;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and on trade agreement provisions creating direct domestic fiscal obligations; the Civic Consul’s response is advisory and does not constitute a concurrence requirement.</w:t>
      </w:r>
    </w:p>
    <w:p>
      <w:pPr>
        <w:spacing w:after="60" w:before="200"/>
        <w:ind w:left="431"/>
        <w:jc w:val="left"/>
      </w:pPr>
      <w:r>
        <w:rPr>
          <w:rFonts w:ascii="Courier New" w:cs="Courier New" w:eastAsia="Courier New" w:hAnsi="Courier New"/>
          <w:b/>
          <w:bCs/>
          <w:color w:val="1B2A4A"/>
          <w:sz w:val="18"/>
          <w:szCs w:val="18"/>
        </w:rPr>
        <w:t xml:space="preserve">§2.6  </w:t>
      </w:r>
      <w:r>
        <w:rPr>
          <w:rFonts w:ascii="Garamond" w:cs="Garamond" w:eastAsia="Garamond" w:hAnsi="Garamond"/>
          <w:b/>
          <w:bCs/>
          <w:i w:val="false"/>
          <w:iCs w:val="false"/>
          <w:color w:val="1B2A4A"/>
          <w:sz w:val="22"/>
          <w:szCs w:val="22"/>
        </w:rPr>
        <w:t xml:space="preserve">Constructive Vote of No Confidence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pPr>
        <w:spacing w:after="60" w:before="200"/>
        <w:ind w:left="431"/>
        <w:jc w:val="left"/>
      </w:pPr>
      <w:r>
        <w:rPr>
          <w:rFonts w:ascii="Courier New" w:cs="Courier New" w:eastAsia="Courier New" w:hAnsi="Courier New"/>
          <w:b/>
          <w:bCs/>
          <w:color w:val="1B2A4A"/>
          <w:sz w:val="18"/>
          <w:szCs w:val="18"/>
        </w:rPr>
        <w:t xml:space="preserve">§2.6.a  </w:t>
      </w:r>
      <w:r>
        <w:rPr>
          <w:rFonts w:ascii="Garamond" w:cs="Garamond" w:eastAsia="Garamond" w:hAnsi="Garamond"/>
          <w:b/>
          <w:bCs/>
          <w:i w:val="false"/>
          <w:iCs w:val="false"/>
          <w:color w:val="1B2A4A"/>
          <w:sz w:val="22"/>
          <w:szCs w:val="22"/>
        </w:rPr>
        <w:t xml:space="preserve">Government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Elections Panel administers a public dissolution referendum; a simple majority decides. If the Assembly elects a Civic Consul before the dissolution vote is certified, the referendum concludes without effect. Where the dissolution vote passes, a new Assembly general election follows; the Acting mechanism continues until the new Assembly elects a Civic Consul.</w:t>
      </w:r>
    </w:p>
    <w:p>
      <w:pPr>
        <w:spacing w:after="60" w:before="200"/>
        <w:ind w:left="431"/>
        <w:jc w:val="left"/>
      </w:pPr>
      <w:r>
        <w:rPr>
          <w:rFonts w:ascii="Courier New" w:cs="Courier New" w:eastAsia="Courier New" w:hAnsi="Courier New"/>
          <w:b/>
          <w:bCs/>
          <w:color w:val="1B2A4A"/>
          <w:sz w:val="18"/>
          <w:szCs w:val="18"/>
        </w:rPr>
        <w:t xml:space="preserve">§2.6.b  </w:t>
      </w:r>
      <w:r>
        <w:rPr>
          <w:rFonts w:ascii="Garamond" w:cs="Garamond" w:eastAsia="Garamond" w:hAnsi="Garamond"/>
          <w:b/>
          <w:bCs/>
          <w:i w:val="false"/>
          <w:iCs w:val="false"/>
          <w:color w:val="1B2A4A"/>
          <w:sz w:val="22"/>
          <w:szCs w:val="22"/>
        </w:rPr>
        <w:t xml:space="preserve">Temporary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Civic Consul is temporarily unable to exercise authority, the Civic Consul’s designated Acting Civic Consul serves with authority limited to maintaining existing policy and emergency functions. Acting status ends when the Civic Consul resumes their duties or a new Civic Consul is confirmed by the Assembly.</w:t>
      </w:r>
    </w:p>
    <w:p>
      <w:pPr>
        <w:spacing w:after="60" w:before="200"/>
        <w:ind w:left="431"/>
        <w:jc w:val="left"/>
      </w:pPr>
      <w:r>
        <w:rPr>
          <w:rFonts w:ascii="Courier New" w:cs="Courier New" w:eastAsia="Courier New" w:hAnsi="Courier New"/>
          <w:b/>
          <w:bCs/>
          <w:color w:val="1B2A4A"/>
          <w:sz w:val="18"/>
          <w:szCs w:val="18"/>
        </w:rPr>
        <w:t xml:space="preserve">§2.7  </w:t>
      </w:r>
      <w:r>
        <w:rPr>
          <w:rFonts w:ascii="Garamond" w:cs="Garamond" w:eastAsia="Garamond" w:hAnsi="Garamond"/>
          <w:b/>
          <w:bCs/>
          <w:i w:val="false"/>
          <w:iCs w:val="false"/>
          <w:color w:val="1B2A4A"/>
          <w:sz w:val="22"/>
          <w:szCs w:val="22"/>
        </w:rPr>
        <w:t xml:space="preserve">Civic Consul Legislative Instruments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Civic Consul withholds assent from a bill passed by both chambers, the Civic Consul exercises a suspensive veto by returning the bill to the Legislature within the period defined by statute with a written statement of objection specifying constitutional, fiscal, or operational grounds, published to the NRS. The bill is suspended from taking effect during the return and reconsideration period. The Legislature may override the suspensive veto by 2/3 of both chambers in a concurrent vote; a successfully overridden bill takes effect without Civic Consul assent. Where the Legislature does not hold an override vote within the period defined by statute, the bill lapses for that session and may be reintroduced in the next. The suspensive veto may not be used on the annual budget, bills implementing a constitutional obligation, or emergency legislation. The Civic Consul may also object on specific solvency grounds — the bill would cause or materially worsen a structural deficit. The Assembly may override a solvency objection by simple majority. If the Civic Consul neither signs nor objects within the legislative review period, the bill is enacted. Silence is not a veto. Both executives review legislation concurrently from the date of final passage; periods and procedures are defined by statute.</w:t>
      </w:r>
    </w:p>
    <w:p>
      <w:pPr>
        <w:spacing w:after="60" w:before="200"/>
        <w:ind w:left="431"/>
        <w:jc w:val="left"/>
      </w:pPr>
      <w:r>
        <w:rPr>
          <w:rFonts w:ascii="Courier New" w:cs="Courier New" w:eastAsia="Courier New" w:hAnsi="Courier New"/>
          <w:b/>
          <w:bCs/>
          <w:color w:val="1B2A4A"/>
          <w:sz w:val="18"/>
          <w:szCs w:val="18"/>
        </w:rPr>
        <w:t xml:space="preserve">§2.8  </w:t>
      </w:r>
      <w:r>
        <w:rPr>
          <w:rFonts w:ascii="Garamond" w:cs="Garamond" w:eastAsia="Garamond" w:hAnsi="Garamond"/>
          <w:b/>
          <w:bCs/>
          <w:i w:val="false"/>
          <w:iCs w:val="false"/>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520"/>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color w:val="1B2A4A"/>
          <w:sz w:val="18"/>
          <w:szCs w:val="18"/>
        </w:rPr>
        <w:t xml:space="preserve">§2.9  </w:t>
      </w:r>
      <w:r>
        <w:rPr>
          <w:rFonts w:ascii="Garamond" w:cs="Garamond" w:eastAsia="Garamond" w:hAnsi="Garamond"/>
          <w:b/>
          <w:bCs/>
          <w:i w:val="false"/>
          <w:iCs w:val="false"/>
          <w:color w:val="1B2A4A"/>
          <w:sz w:val="22"/>
          <w:szCs w:val="22"/>
        </w:rPr>
        <w:t xml:space="preserve">Legat Consul Succession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pPr>
        <w:spacing w:after="60" w:before="200"/>
        <w:ind w:left="431"/>
        <w:jc w:val="left"/>
      </w:pPr>
      <w:r>
        <w:rPr>
          <w:rFonts w:ascii="Courier New" w:cs="Courier New" w:eastAsia="Courier New" w:hAnsi="Courier New"/>
          <w:b/>
          <w:bCs/>
          <w:color w:val="1B2A4A"/>
          <w:sz w:val="18"/>
          <w:szCs w:val="18"/>
        </w:rPr>
        <w:t xml:space="preserve">§2.10  </w:t>
      </w:r>
      <w:r>
        <w:rPr>
          <w:rFonts w:ascii="Garamond" w:cs="Garamond" w:eastAsia="Garamond" w:hAnsi="Garamond"/>
          <w:b/>
          <w:bCs/>
          <w:i w:val="false"/>
          <w:iCs w:val="false"/>
          <w:color w:val="1B2A4A"/>
          <w:sz w:val="22"/>
          <w:szCs w:val="22"/>
        </w:rPr>
        <w:t xml:space="preserve">Executive 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pPr>
        <w:spacing w:after="60" w:before="200"/>
        <w:ind w:left="431"/>
        <w:jc w:val="left"/>
      </w:pPr>
      <w:r>
        <w:rPr>
          <w:rFonts w:ascii="Courier New" w:cs="Courier New" w:eastAsia="Courier New" w:hAnsi="Courier New"/>
          <w:b/>
          <w:bCs/>
          <w:color w:val="1B2A4A"/>
          <w:sz w:val="18"/>
          <w:szCs w:val="18"/>
        </w:rPr>
        <w:t xml:space="preserve">§2.11  </w:t>
      </w:r>
      <w:r>
        <w:rPr>
          <w:rFonts w:ascii="Garamond" w:cs="Garamond" w:eastAsia="Garamond" w:hAnsi="Garamond"/>
          <w:b/>
          <w:bCs/>
          <w:i w:val="false"/>
          <w:iCs w:val="false"/>
          <w:color w:val="1B2A4A"/>
          <w:sz w:val="22"/>
          <w:szCs w:val="22"/>
        </w:rPr>
        <w:t xml:space="preserve">Emergency Governance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color w:val="1B2A4A"/>
          <w:sz w:val="18"/>
          <w:szCs w:val="18"/>
        </w:rPr>
        <w:t xml:space="preserve">§2.12  </w:t>
      </w:r>
      <w:r>
        <w:rPr>
          <w:rFonts w:ascii="Garamond" w:cs="Garamond" w:eastAsia="Garamond" w:hAnsi="Garamond"/>
          <w:b/>
          <w:bCs/>
          <w:i w:val="false"/>
          <w:iCs w:val="false"/>
          <w:color w:val="1B2A4A"/>
          <w:sz w:val="22"/>
          <w:szCs w:val="22"/>
        </w:rPr>
        <w:t xml:space="preserve">Clemency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pPr>
        <w:spacing w:after="60" w:before="200"/>
        <w:ind w:left="431"/>
        <w:jc w:val="left"/>
      </w:pPr>
      <w:r>
        <w:rPr>
          <w:rFonts w:ascii="Courier New" w:cs="Courier New" w:eastAsia="Courier New" w:hAnsi="Courier New"/>
          <w:b/>
          <w:bCs/>
          <w:color w:val="1B2A4A"/>
          <w:sz w:val="18"/>
          <w:szCs w:val="18"/>
        </w:rPr>
        <w:t xml:space="preserve">§2.13  </w:t>
      </w:r>
      <w:r>
        <w:rPr>
          <w:rFonts w:ascii="Garamond" w:cs="Garamond" w:eastAsia="Garamond" w:hAnsi="Garamond"/>
          <w:b/>
          <w:bCs/>
          <w:i w:val="false"/>
          <w:iCs w:val="false"/>
          <w:color w:val="1B2A4A"/>
          <w:sz w:val="22"/>
          <w:szCs w:val="22"/>
        </w:rPr>
        <w:t xml:space="preserve">Consular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§13.3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pPr>
        <w:spacing w:after="60" w:before="200"/>
        <w:ind w:left="431"/>
        <w:jc w:val="left"/>
      </w:pPr>
      <w:r>
        <w:rPr>
          <w:rFonts w:ascii="Courier New" w:cs="Courier New" w:eastAsia="Courier New" w:hAnsi="Courier New"/>
          <w:b/>
          <w:bCs/>
          <w:color w:val="1B2A4A"/>
          <w:sz w:val="18"/>
          <w:szCs w:val="18"/>
        </w:rPr>
        <w:t xml:space="preserve">§2.14  </w:t>
      </w:r>
      <w:r>
        <w:rPr>
          <w:rFonts w:ascii="Garamond" w:cs="Garamond" w:eastAsia="Garamond" w:hAnsi="Garamond"/>
          <w:b/>
          <w:bCs/>
          <w:i w:val="false"/>
          <w:iCs w:val="false"/>
          <w:color w:val="1B2A4A"/>
          <w:sz w:val="22"/>
          <w:szCs w:val="22"/>
        </w:rPr>
        <w:t xml:space="preserve">Council of Ministers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pPr>
        <w:spacing w:after="60" w:before="200"/>
        <w:ind w:left="431"/>
        <w:jc w:val="left"/>
      </w:pPr>
      <w:r>
        <w:rPr>
          <w:rFonts w:ascii="Courier New" w:cs="Courier New" w:eastAsia="Courier New" w:hAnsi="Courier New"/>
          <w:b/>
          <w:bCs/>
          <w:color w:val="1B2A4A"/>
          <w:sz w:val="18"/>
          <w:szCs w:val="18"/>
        </w:rPr>
        <w:t xml:space="preserve">§2.14.a  </w:t>
      </w:r>
      <w:r>
        <w:rPr>
          <w:rFonts w:ascii="Garamond" w:cs="Garamond" w:eastAsia="Garamond" w:hAnsi="Garamond"/>
          <w:b/>
          <w:bCs/>
          <w:i w:val="false"/>
          <w:iCs w:val="false"/>
          <w:color w:val="1B2A4A"/>
          <w:sz w:val="22"/>
          <w:szCs w:val="22"/>
        </w:rPr>
        <w:t xml:space="preserve">Cross-Domain Emergency Lead</w:t>
      </w:r>
    </w:p>
    <w:p>
      <w:pPr>
        <w:spacing w:after="120" w:before="0"/>
        <w:ind w:left="431"/>
        <w:jc w:val="both"/>
      </w:pPr>
      <w:r>
        <w:rPr>
          <w:rFonts w:ascii="Garamond" w:cs="Garamond" w:eastAsia="Garamond" w:hAnsi="Garamond"/>
          <w:b w:val="false"/>
          <w:bCs w:val="false"/>
          <w:i w:val="false"/>
          <w:iCs w:val="false"/>
          <w:color w:val="2a2520"/>
          <w:sz w:val="22"/>
          <w:szCs w:val="22"/>
        </w:rPr>
        <w:t xml:space="preserve">In a cross-domain emergency — a crisis whose effective management requires unified operational authority across executive domains — either executive may propose a temporary operational lead designation to the Council of Ministers; the other executive must respond in writing within twelve hours; failure to respond within twelve hours is treated as an objection; concurrence makes the designation effective and it is published to the NRS immediately with both executives’ attributed positions; where executives cannot agree, either may petition the SC for expedited resolution under §4.5. A lead designation assigns operational coordination only and does not affect either executive’s constitutional domain authority or certification functions. Judicial review of any lead designation is conducted after the emergency is stabilized, not during it; courts do not govern active crisis management. Judicial review of any lead designation must be initiated within 90 days of the lead designation taking effect regardless of whether the emergency is characterized as ongoing; the SC holds expedited jurisdiction over such review.</w:t>
      </w:r>
    </w:p>
    <w:p>
      <w:pPr>
        <w:spacing w:after="60" w:before="200"/>
        <w:ind w:left="431"/>
        <w:jc w:val="left"/>
      </w:pPr>
      <w:r>
        <w:rPr>
          <w:rFonts w:ascii="Courier New" w:cs="Courier New" w:eastAsia="Courier New" w:hAnsi="Courier New"/>
          <w:b/>
          <w:bCs/>
          <w:color w:val="1B2A4A"/>
          <w:sz w:val="18"/>
          <w:szCs w:val="18"/>
        </w:rPr>
        <w:t xml:space="preserve">§2.14.b  </w:t>
      </w:r>
      <w:r>
        <w:rPr>
          <w:rFonts w:ascii="Garamond" w:cs="Garamond" w:eastAsia="Garamond" w:hAnsi="Garamond"/>
          <w:b/>
          <w:bCs/>
          <w:i w:val="false"/>
          <w:iCs w:val="false"/>
          <w:color w:val="1B2A4A"/>
          <w:sz w:val="22"/>
          <w:szCs w:val="22"/>
        </w:rPr>
        <w:t xml:space="preserve">Coordination Failure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both executives are acting within their domains but their actions are materially incompatible, either may declare a coordination failure by NRS notice. The Legislature may resolve the deadlock by concurrent resolution. Where the Legislature does not act within 30 days, the Legat Consul retains full authority within the Legat domain and the Civic Consul’s executive authority governs the cross-domain interaction pending resolution; this applies to how the domains interact, not to the substance of either domain.</w:t>
      </w:r>
    </w:p>
    <w:p>
      <w:pPr>
        <w:spacing w:after="60" w:before="200"/>
        <w:ind w:left="431"/>
        <w:jc w:val="left"/>
      </w:pPr>
      <w:r>
        <w:rPr>
          <w:rFonts w:ascii="Courier New" w:cs="Courier New" w:eastAsia="Courier New" w:hAnsi="Courier New"/>
          <w:b/>
          <w:bCs/>
          <w:color w:val="1B2A4A"/>
          <w:sz w:val="18"/>
          <w:szCs w:val="18"/>
        </w:rPr>
        <w:t xml:space="preserve">§2.15  </w:t>
      </w:r>
      <w:r>
        <w:rPr>
          <w:rFonts w:ascii="Garamond" w:cs="Garamond" w:eastAsia="Garamond" w:hAnsi="Garamond"/>
          <w:b/>
          <w:bCs/>
          <w:i w:val="false"/>
          <w:iCs w:val="false"/>
          <w:color w:val="1B2A4A"/>
          <w:sz w:val="22"/>
          <w:szCs w:val="22"/>
        </w:rPr>
        <w:t xml:space="preserve">Constitutional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w:t>
      </w:r>
    </w:p>
    <w:p>
      <w:pPr>
        <w:spacing w:after="80" w:before="200"/>
        <w:ind w:left="431"/>
      </w:pPr>
      <w:r>
        <w:rPr>
          <w:rFonts w:ascii="Courier New" w:cs="Courier New" w:hAnsi="Courier New"/>
          <w:b/>
          <w:bCs/>
          <w:color w:val="1B2A4A"/>
          <w:sz w:val="18"/>
          <w:szCs w:val="18"/>
        </w:rPr>
        <w:t xml:space="preserve">§2.16  </w:t>
      </w:r>
      <w:r>
        <w:rPr>
          <w:rFonts w:ascii="Garamond" w:cs="Garamond" w:hAnsi="Garamond"/>
          <w:b/>
          <w:bCs/>
          <w:color w:val="1B2A4A"/>
          <w:sz w:val="22"/>
          <w:szCs w:val="22"/>
        </w:rPr>
        <w:t xml:space="preserve">Federal Prosecution</w:t>
      </w:r>
    </w:p>
    <w:p>
      <w:pPr>
        <w:spacing w:after="120" w:before="0"/>
        <w:ind w:left="431"/>
        <w:jc w:val="both"/>
      </w:pPr>
      <w:r>
        <w:rPr>
          <w:rFonts w:ascii="Garamond" w:cs="Garamond" w:hAnsi="Garamond"/>
          <w:color w:val="2a2520"/>
          <w:sz w:val="22"/>
          <w:szCs w:val="22"/>
        </w:rPr>
        <w:t xml:space="preserve">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pPr>
        <w:spacing w:after="60" w:before="200"/>
        <w:jc w:val="left"/>
      </w:pPr>
      <w:r>
        <w:rPr>
          <w:rFonts w:ascii="Garamond" w:cs="Garamond" w:eastAsia="Garamond" w:hAnsi="Garamond"/>
          <w:b/>
          <w:bCs/>
          <w:i w:val="false"/>
          <w:iCs w:val="false"/>
          <w:color w:val="1B2A4A"/>
          <w:sz w:val="34"/>
          <w:szCs w:val="34"/>
        </w:rPr>
        <w:t xml:space="preserve">Article III — The Legislature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§3.1  </w:t>
      </w:r>
      <w:r>
        <w:rPr>
          <w:rFonts w:ascii="Garamond" w:cs="Garamond" w:eastAsia="Garamond" w:hAnsi="Garamond"/>
          <w:b/>
          <w:bCs/>
          <w:i w:val="false"/>
          <w:iCs w:val="false"/>
          <w:color w:val="1B2A4A"/>
          <w:sz w:val="22"/>
          <w:szCs w:val="22"/>
        </w:rPr>
        <w:t xml:space="preserve">The Legislature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comprises two chambers: the Assembly and the Senate. All legislation originates in the Assembly. The Senate reviews, may amend within the subject matter of the bill, and must act on every Assembly-passed bill within the period defined by statute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color w:val="1B2A4A"/>
          <w:sz w:val="18"/>
          <w:szCs w:val="18"/>
        </w:rPr>
        <w:t xml:space="preserve">§3.2  </w:t>
      </w:r>
      <w:r>
        <w:rPr>
          <w:rFonts w:ascii="Garamond" w:cs="Garamond" w:eastAsia="Garamond" w:hAnsi="Garamond"/>
          <w:b/>
          <w:bCs/>
          <w:i w:val="false"/>
          <w:iCs w:val="false"/>
          <w:color w:val="1B2A4A"/>
          <w:sz w:val="22"/>
          <w:szCs w:val="22"/>
        </w:rPr>
        <w:t xml:space="preserve">The Assembly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All member financial interests are disclosed to the EM and published to the NRS.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pPr>
        <w:spacing w:after="60" w:before="200"/>
        <w:ind w:left="431"/>
        <w:jc w:val="left"/>
      </w:pPr>
      <w:r>
        <w:rPr>
          <w:rFonts w:ascii="Courier New" w:cs="Courier New" w:eastAsia="Courier New" w:hAnsi="Courier New"/>
          <w:b/>
          <w:bCs/>
          <w:color w:val="1B2A4A"/>
          <w:sz w:val="18"/>
          <w:szCs w:val="18"/>
        </w:rPr>
        <w:t xml:space="preserve">§3.3  </w:t>
      </w:r>
      <w:r>
        <w:rPr>
          <w:rFonts w:ascii="Garamond" w:cs="Garamond" w:eastAsia="Garamond" w:hAnsi="Garamond"/>
          <w:b/>
          <w:bCs/>
          <w:i w:val="false"/>
          <w:iCs w:val="false"/>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a primary criterion.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color w:val="1B2A4A"/>
          <w:sz w:val="18"/>
          <w:szCs w:val="18"/>
        </w:rPr>
        <w:t xml:space="preserve">§3.4  </w:t>
      </w:r>
      <w:r>
        <w:rPr>
          <w:rFonts w:ascii="Garamond" w:cs="Garamond" w:eastAsia="Garamond" w:hAnsi="Garamond"/>
          <w:b/>
          <w:bCs/>
          <w:i w:val="false"/>
          <w:iCs w:val="false"/>
          <w:color w:val="1B2A4A"/>
          <w:sz w:val="22"/>
          <w:szCs w:val="22"/>
        </w:rPr>
        <w:t xml:space="preserve">Legislative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Members must disclose all financial interests to the EM. The Legislature must establish a joint ethics committee with authority to sanction and refer members; removal requires 2/3 of the relevant chamber; under §9.1, the chamber may request an EM assessment to inform the proceeding. The Republic ensures that service in either chamber does not impose material financial disadvantage based on members’ personal means; the Legislature establishes the equalization mechanism by statute, ensuring equal application regardless of tenure, seniority, or political affiliation. </w:t>
      </w:r>
    </w:p>
    <w:p>
      <w:pPr>
        <w:spacing w:after="60" w:before="200"/>
        <w:ind w:left="431"/>
        <w:jc w:val="left"/>
      </w:pPr>
      <w:r>
        <w:rPr>
          <w:rFonts w:ascii="Courier New" w:cs="Courier New" w:eastAsia="Courier New" w:hAnsi="Courier New"/>
          <w:b/>
          <w:bCs/>
          <w:color w:val="1B2A4A"/>
          <w:sz w:val="18"/>
          <w:szCs w:val="18"/>
        </w:rPr>
        <w:t xml:space="preserve">§3.5  </w:t>
      </w:r>
      <w:r>
        <w:rPr>
          <w:rFonts w:ascii="Garamond" w:cs="Garamond" w:eastAsia="Garamond" w:hAnsi="Garamond"/>
          <w:b/>
          <w:bCs/>
          <w:i w:val="false"/>
          <w:iCs w:val="false"/>
          <w:color w:val="1B2A4A"/>
          <w:sz w:val="22"/>
          <w:szCs w:val="22"/>
        </w:rPr>
        <w:t xml:space="preserve">The Senate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its own law a recall mechanism for its senators; where a senator is recalled under State law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pPr>
        <w:spacing w:after="60" w:before="200"/>
        <w:ind w:left="431"/>
        <w:jc w:val="left"/>
      </w:pPr>
      <w:r>
        <w:rPr>
          <w:rFonts w:ascii="Courier New" w:cs="Courier New" w:eastAsia="Courier New" w:hAnsi="Courier New"/>
          <w:b/>
          <w:bCs/>
          <w:color w:val="1B2A4A"/>
          <w:sz w:val="18"/>
          <w:szCs w:val="18"/>
        </w:rPr>
        <w:t xml:space="preserve">§3.6  </w:t>
      </w:r>
      <w:r>
        <w:rPr>
          <w:rFonts w:ascii="Garamond" w:cs="Garamond" w:eastAsia="Garamond" w:hAnsi="Garamond"/>
          <w:b/>
          <w:bCs/>
          <w:i w:val="false"/>
          <w:iCs w:val="false"/>
          <w:color w:val="1B2A4A"/>
          <w:sz w:val="22"/>
          <w:szCs w:val="22"/>
        </w:rPr>
        <w:t xml:space="preserve">Treaty Ratification and Withdrawal</w:t>
      </w:r>
    </w:p>
    <w:p>
      <w:pPr>
        <w:spacing w:after="120" w:before="0"/>
        <w:ind w:left="431"/>
        <w:jc w:val="both"/>
      </w:pPr>
      <w:r>
        <w:rPr>
          <w:rFonts w:ascii="Garamond" w:cs="Garamond" w:eastAsia="Garamond" w:hAnsi="Garamond"/>
          <w:b w:val="false"/>
          <w:bCs w:val="false"/>
          <w:i w:val="false"/>
          <w:iCs w:val="false"/>
          <w:color w:val="2a2520"/>
          <w:sz w:val="22"/>
          <w:szCs w:val="22"/>
        </w:rPr>
        <w:t xml:space="preserve">Treaty and compact agreement ratification requires 2/3 of the full seated Senate.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For general treaties, the Senate may block withdrawal by simple majority within the notice period; if the Senate does not act, withdrawal takes effect. For mutual defense treaties, the Senate must affirmatively confirm withdrawal; if the Senate does not confirm, the treaty remains in force.</w:t>
      </w:r>
    </w:p>
    <w:p>
      <w:pPr>
        <w:spacing w:after="60" w:before="200"/>
        <w:ind w:left="431"/>
        <w:jc w:val="left"/>
      </w:pPr>
      <w:r>
        <w:rPr>
          <w:rFonts w:ascii="Courier New" w:cs="Courier New" w:eastAsia="Courier New" w:hAnsi="Courier New"/>
          <w:b/>
          <w:bCs/>
          <w:color w:val="1B2A4A"/>
          <w:sz w:val="18"/>
          <w:szCs w:val="18"/>
        </w:rPr>
        <w:t xml:space="preserve">§3.7  </w:t>
      </w:r>
      <w:r>
        <w:rPr>
          <w:rFonts w:ascii="Garamond" w:cs="Garamond" w:eastAsia="Garamond" w:hAnsi="Garamond"/>
          <w:b/>
          <w:bCs/>
          <w:i w:val="false"/>
          <w:iCs w:val="false"/>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520"/>
          <w:sz w:val="22"/>
          <w:szCs w:val="22"/>
        </w:rPr>
        <w:t xml:space="preserve">Bills pass by absolute majority of the full seated membership of both chambers. Higher thresholds apply to constitutional amendments, veto overrides, removal proceedings, and other matters specified in this constitution.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pPr>
        <w:spacing w:after="60" w:before="200"/>
        <w:ind w:left="431"/>
        <w:jc w:val="left"/>
      </w:pPr>
      <w:r>
        <w:rPr>
          <w:rFonts w:ascii="Courier New" w:cs="Courier New" w:eastAsia="Courier New" w:hAnsi="Courier New"/>
          <w:b/>
          <w:bCs/>
          <w:color w:val="1B2A4A"/>
          <w:sz w:val="18"/>
          <w:szCs w:val="18"/>
        </w:rPr>
        <w:t xml:space="preserve">§3.8  </w:t>
      </w:r>
      <w:r>
        <w:rPr>
          <w:rFonts w:ascii="Garamond" w:cs="Garamond" w:eastAsia="Garamond" w:hAnsi="Garamond"/>
          <w:b/>
          <w:bCs/>
          <w:i w:val="false"/>
          <w:iCs w:val="false"/>
          <w:color w:val="1B2A4A"/>
          <w:sz w:val="22"/>
          <w:szCs w:val="22"/>
        </w:rPr>
        <w:t xml:space="preserve">Legislative Oversight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EM has assessed as constitutional breaches.</w:t>
      </w:r>
    </w:p>
    <w:p>
      <w:pPr>
        <w:spacing w:after="60" w:before="200"/>
        <w:ind w:left="431"/>
        <w:jc w:val="left"/>
      </w:pPr>
      <w:r>
        <w:rPr>
          <w:rFonts w:ascii="Courier New" w:cs="Courier New" w:eastAsia="Courier New" w:hAnsi="Courier New"/>
          <w:b/>
          <w:bCs/>
          <w:color w:val="1B2A4A"/>
          <w:sz w:val="18"/>
          <w:szCs w:val="18"/>
        </w:rPr>
        <w:t xml:space="preserve">§3.9  </w:t>
      </w:r>
      <w:r>
        <w:rPr>
          <w:rFonts w:ascii="Garamond" w:cs="Garamond" w:eastAsia="Garamond" w:hAnsi="Garamond"/>
          <w:b/>
          <w:bCs/>
          <w:i w:val="false"/>
          <w:iCs w:val="false"/>
          <w:color w:val="1B2A4A"/>
          <w:sz w:val="22"/>
          <w:szCs w:val="22"/>
        </w:rPr>
        <w:t xml:space="preserve">Independent Statutory Agencies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w:t>
      </w:r>
    </w:p>
    <w:p>
      <w:pPr>
        <w:spacing w:after="60" w:before="200"/>
        <w:ind w:left="431"/>
        <w:jc w:val="left"/>
      </w:pPr>
      <w:r>
        <w:rPr>
          <w:rFonts w:ascii="Courier New" w:cs="Courier New" w:eastAsia="Courier New" w:hAnsi="Courier New"/>
          <w:b/>
          <w:bCs/>
          <w:color w:val="1B2A4A"/>
          <w:sz w:val="18"/>
          <w:szCs w:val="18"/>
        </w:rPr>
        <w:t xml:space="preserve">§3.10  </w:t>
      </w:r>
      <w:r>
        <w:rPr>
          <w:rFonts w:ascii="Garamond" w:cs="Garamond" w:eastAsia="Garamond" w:hAnsi="Garamond"/>
          <w:b/>
          <w:bCs/>
          <w:i w:val="false"/>
          <w:iCs w:val="false"/>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ind w:left="431"/>
        <w:jc w:val="left"/>
      </w:pPr>
      <w:r>
        <w:rPr>
          <w:rFonts w:ascii="Courier New" w:cs="Courier New" w:eastAsia="Courier New" w:hAnsi="Courier New"/>
          <w:b/>
          <w:bCs/>
          <w:color w:val="1B2A4A"/>
          <w:sz w:val="18"/>
          <w:szCs w:val="18"/>
        </w:rPr>
        <w:t xml:space="preserve">§3.11  </w:t>
      </w:r>
      <w:r>
        <w:rPr>
          <w:rFonts w:ascii="Garamond" w:cs="Garamond" w:eastAsia="Garamond" w:hAnsi="Garamond"/>
          <w:b/>
          <w:bCs/>
          <w:color w:val="1B2A4A"/>
          <w:sz w:val="22"/>
          <w:szCs w:val="22"/>
        </w:rPr>
        <w:t>Inviolability of Electoral Mandates</w:t>
      </w:r>
    </w:p>
    <w:p>
      <w:pPr>
        <w:spacing w:after="120" w:before="0"/>
        <w:ind w:left="431"/>
        <w:jc w:val="both"/>
      </w:pPr>
      <w:r>
        <w:rPr>
          <w:rFonts w:ascii="Garamond" w:cs="Garamond" w:eastAsia="Garamond" w:hAnsi="Garamond"/>
          <w:b w:val="false"/>
          <w:bCs w:val="false"/>
          <w:i w:val="false"/>
          <w:iCs w:val="false"/>
          <w:color w:val="auto"/>
          <w:sz w:val="22"/>
          <w:szCs w:val="22"/>
        </w:rPr>
        <w:t xml:space="preserve">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§3.5; and impeachment and removal under §3.10. Any mechanism enabling the people themselves to shorten an elected mandate not already provided in this Constitution requires a constitutional amendment under Article XVII and may not be established by ordinary statute.</w:t>
      </w:r>
    </w:p>
    <w:p>
      <w:pPr>
        <w:spacing w:after="60" w:before="200"/>
        <w:ind w:left="431"/>
        <w:jc w:val="left"/>
      </w:pPr>
      <w:r>
        <w:rPr>
          <w:rFonts w:ascii="Courier New" w:cs="Courier New" w:eastAsia="Courier New" w:hAnsi="Courier New"/>
          <w:b/>
          <w:bCs/>
          <w:color w:val="1B2A4A"/>
          <w:sz w:val="18"/>
          <w:szCs w:val="18"/>
        </w:rPr>
        <w:t xml:space="preserve">§3.12  </w:t>
      </w:r>
      <w:r>
        <w:rPr>
          <w:rFonts w:ascii="Garamond" w:cs="Garamond" w:eastAsia="Garamond" w:hAnsi="Garamond"/>
          <w:b/>
          <w:bCs/>
          <w:color w:val="1B2A4A"/>
          <w:sz w:val="22"/>
          <w:szCs w:val="22"/>
        </w:rPr>
        <w:t xml:space="preserve">Disqualifying Offense</w:t>
      </w:r>
    </w:p>
    <w:p>
      <w:pPr>
        <w:spacing w:after="120" w:before="0"/>
        <w:ind w:left="431"/>
        <w:jc w:val="both"/>
      </w:pPr>
      <w:r>
        <w:rPr>
          <w:rFonts w:ascii="Garamond" w:cs="Garamond" w:eastAsia="Garamond" w:hAnsi="Garamond"/>
          <w:b w:val="false"/>
          <w:bCs w:val="false"/>
          <w:i w:val="false"/>
          <w:iCs w:val="false"/>
          <w:color w:val="2a2520"/>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under appeal at the time a relevant constitutional determination is made, the conviction stands for constitutional purposes unless and until it is reversed by a court of competent jurisdiction.</w:t>
      </w:r>
    </w:p>
    <w:p>
      <w:pPr>
        <w:spacing w:after="60" w:before="200"/>
        <w:ind w:left="431"/>
        <w:jc w:val="left"/>
      </w:pPr>
      <w:r>
        <w:rPr>
          <w:rFonts w:ascii="Courier New" w:cs="Courier New" w:eastAsia="Courier New" w:hAnsi="Courier New"/>
          <w:b/>
          <w:bCs/>
          <w:color w:val="1B2A4A"/>
          <w:sz w:val="18"/>
          <w:szCs w:val="18"/>
        </w:rPr>
        <w:t xml:space="preserve">§3.13  </w:t>
      </w:r>
      <w:r>
        <w:rPr>
          <w:rFonts w:ascii="Garamond" w:cs="Garamond" w:eastAsia="Garamond" w:hAnsi="Garamond"/>
          <w:b/>
          <w:b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i w:val="false"/>
          <w:iCs w:val="false"/>
          <w:color w:val="2a2520"/>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pPr>
        <w:spacing w:after="80" w:before="200"/>
        <w:ind w:left="431"/>
      </w:pPr>
      <w:r>
        <w:rPr>
          <w:rFonts w:ascii="Courier New" w:cs="Courier New" w:eastAsia="Courier New" w:hAnsi="Courier New"/>
          <w:b/>
          <w:bCs/>
          <w:color w:val="1B2A4A"/>
          <w:sz w:val="18"/>
          <w:szCs w:val="18"/>
        </w:rPr>
        <w:t xml:space="preserve">§3.14  </w:t>
      </w:r>
      <w:r>
        <w:rPr>
          <w:rFonts w:ascii="Garamond" w:cs="Garamond" w:eastAsia="Garamond" w:hAnsi="Garamond"/>
          <w:b/>
          <w:bCs/>
          <w:i w:val="false"/>
          <w:iCs w:val="false"/>
          <w:color w:val="1B2A4A"/>
          <w:sz w:val="22"/>
          <w:szCs w:val="22"/>
        </w:rPr>
        <w:t xml:space="preserve">Federal Legislative Competence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w:t>
      </w:r>
    </w:p>
    <w:p>
      <w:pPr>
        <w:spacing w:after="80" w:before="200"/>
        <w:ind w:left="431"/>
      </w:pPr>
      <w:r>
        <w:rPr>
          <w:rFonts w:ascii="Courier New" w:cs="Courier New" w:eastAsia="Courier New" w:hAnsi="Courier New"/>
          <w:b/>
          <w:bCs/>
          <w:color w:val="1B2A4A"/>
          <w:sz w:val="18"/>
          <w:szCs w:val="18"/>
        </w:rPr>
        <w:t xml:space="preserve">§3.15  </w:t>
      </w:r>
      <w:r>
        <w:rPr>
          <w:rFonts w:ascii="Garamond" w:cs="Garamond" w:eastAsia="Garamond" w:hAnsi="Garamond"/>
          <w:b/>
          <w:bCs/>
          <w:i w:val="false"/>
          <w:iCs w:val="false"/>
          <w:color w:val="1B2A4A"/>
          <w:sz w:val="22"/>
          <w:szCs w:val="22"/>
        </w:rPr>
        <w:t xml:space="preserve">Delegation of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by statute delegate defined authorities within its legislative competence to the Legat Consul, the Civic Consul, or established agencies. Any delegation must specify the exact scope of authority delegated, the conditions on its exercise, and a maximum duration.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and publishes findings to the NRS annually.</w:t>
      </w:r>
    </w:p>
    <w:p>
      <w:pPr>
        <w:spacing w:after="60" w:before="200"/>
        <w:jc w:val="left"/>
      </w:pPr>
      <w:r>
        <w:rPr>
          <w:rFonts w:ascii="Garamond" w:cs="Garamond" w:eastAsia="Garamond" w:hAnsi="Garamond"/>
          <w:b/>
          <w:bCs/>
          <w:i w:val="false"/>
          <w:iCs w:val="false"/>
          <w:color w:val="1B2A4A"/>
          <w:sz w:val="34"/>
          <w:szCs w:val="34"/>
        </w:rPr>
        <w:t xml:space="preserve">Article IV — The Judicial Architecture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§4.1  </w:t>
      </w:r>
      <w:r>
        <w:rPr>
          <w:rFonts w:ascii="Garamond" w:cs="Garamond" w:eastAsia="Garamond" w:hAnsi="Garamond"/>
          <w:b/>
          <w:bCs/>
          <w:i w:val="false"/>
          <w:iCs w:val="false"/>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color w:val="1B2A4A"/>
          <w:sz w:val="18"/>
          <w:szCs w:val="18"/>
        </w:rPr>
        <w:t xml:space="preserve">§4.2  </w:t>
      </w:r>
      <w:r>
        <w:rPr>
          <w:rFonts w:ascii="Garamond" w:cs="Garamond" w:eastAsia="Garamond" w:hAnsi="Garamond"/>
          <w:b/>
          <w:bCs/>
          <w:i w:val="false"/>
          <w:iCs w:val="false"/>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meeting the basic legal qualifications defined by statute may apply to the Elections Panel; the Elections Panel enters qualifying applicants into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color w:val="1B2A4A"/>
          <w:sz w:val="18"/>
          <w:szCs w:val="18"/>
        </w:rPr>
        <w:t xml:space="preserve">§4.3  </w:t>
      </w:r>
      <w:r>
        <w:rPr>
          <w:rFonts w:ascii="Garamond" w:cs="Garamond" w:eastAsia="Garamond" w:hAnsi="Garamond"/>
          <w:b/>
          <w:bCs/>
          <w:i w:val="false"/>
          <w:iCs w:val="false"/>
          <w:color w:val="1B2A4A"/>
          <w:sz w:val="22"/>
          <w:szCs w:val="22"/>
        </w:rPr>
        <w:t xml:space="preserve">The Supreme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w:t>
      </w:r>
    </w:p>
    <w:p>
      <w:pPr>
        <w:spacing w:after="60" w:before="200"/>
        <w:ind w:left="431"/>
        <w:jc w:val="left"/>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Supreme Court Quorum</w:t>
      </w:r>
    </w:p>
    <w:p>
      <w:pPr>
        <w:spacing w:after="120" w:before="0"/>
        <w:ind w:left="431"/>
        <w:jc w:val="both"/>
      </w:pPr>
      <w:r>
        <w:rPr>
          <w:rFonts w:ascii="Garamond" w:cs="Garamond" w:eastAsia="Garamond" w:hAnsi="Garamond"/>
          <w:b w:val="false"/>
          <w:bCs w:val="false"/>
          <w:i w:val="false"/>
          <w:iCs w:val="false"/>
          <w:color w:val="2a2520"/>
          <w:sz w:val="22"/>
          <w:szCs w:val="22"/>
        </w:rPr>
        <w:t xml:space="preserve">A majority of the SC’s seated justices — including any Temporary Associate Justices — constitutes quorum for ordinary decisions. Constitutional questions require a minimum of five justices regardless of total seated membership. The Legislature establishes by statute the procedure for filling any remaining Temporary Associate Justice positions.</w:t>
      </w:r>
    </w:p>
    <w:p>
      <w:pPr>
        <w:spacing w:after="60" w:before="200"/>
        <w:ind w:left="431"/>
        <w:jc w:val="left"/>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within 48 hours.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color w:val="1B2A4A"/>
          <w:sz w:val="18"/>
          <w:szCs w:val="18"/>
        </w:rPr>
        <w:t xml:space="preserve">§4.4  </w:t>
      </w:r>
      <w:r>
        <w:rPr>
          <w:rFonts w:ascii="Garamond" w:cs="Garamond" w:eastAsia="Garamond" w:hAnsi="Garamond"/>
          <w:b/>
          <w:bCs/>
          <w:i w:val="false"/>
          <w:iCs w:val="false"/>
          <w:color w:val="1B2A4A"/>
          <w:sz w:val="22"/>
          <w:szCs w:val="22"/>
        </w:rPr>
        <w:t xml:space="preserve">Supreme Court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The Legislature must by statute establish a recusal framework; in the absence of statute, a justice must recuse where impartiality could reasonably be questioned. Upon any SC vacancy, the most senior Appellate Court judge by continuous service is automatically designated Temporary Associate Justice within 5 days — without nomination or confirmation — holding full voting rights until the vacancy is filled. A Temporary Associate Justice may not stand as a candidate for the seat they are temporarily filling.</w:t>
      </w:r>
    </w:p>
    <w:p>
      <w:pPr>
        <w:spacing w:after="60" w:before="200"/>
        <w:ind w:left="431"/>
        <w:jc w:val="left"/>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LM has assessed and reported a Senate breach under §4.4, the Civic Consul may — with 2/3 Assembly consent — place the serving Temporary Associate Justice on the next federal electoral period ballot for public confirmation. Confirmation requires 60% of votes cast;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registry nominee before the public vote is certified ends the bypass immediately.</w:t>
      </w:r>
    </w:p>
    <w:p>
      <w:pPr>
        <w:spacing w:after="60" w:before="200"/>
        <w:ind w:left="431"/>
        <w:jc w:val="left"/>
      </w:pPr>
      <w:r>
        <w:rPr>
          <w:rFonts w:ascii="Courier New" w:cs="Courier New" w:eastAsia="Courier New" w:hAnsi="Courier New"/>
          <w:b/>
          <w:bCs/>
          <w:color w:val="1B2A4A"/>
          <w:sz w:val="18"/>
          <w:szCs w:val="18"/>
        </w:rPr>
        <w:t xml:space="preserve">§4.5  </w:t>
      </w:r>
      <w:r>
        <w:rPr>
          <w:rFonts w:ascii="Garamond" w:cs="Garamond" w:eastAsia="Garamond" w:hAnsi="Garamond"/>
          <w:b/>
          <w:bCs/>
          <w:i w:val="false"/>
          <w:iCs w:val="false"/>
          <w:color w:val="1B2A4A"/>
          <w:sz w:val="22"/>
          <w:szCs w:val="22"/>
        </w:rPr>
        <w:t xml:space="preserve">Judicial Review and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disputes between States, between a State and the federal government, and over constitutional challenges to federal statutes.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w:t>
      </w:r>
    </w:p>
    <w:p>
      <w:pPr>
        <w:spacing w:after="60" w:before="200"/>
        <w:ind w:left="431"/>
        <w:jc w:val="left"/>
      </w:pPr>
      <w:r>
        <w:rPr>
          <w:rFonts w:ascii="Courier New" w:cs="Courier New" w:eastAsia="Courier New" w:hAnsi="Courier New"/>
          <w:b/>
          <w:bCs/>
          <w:color w:val="1B2A4A"/>
          <w:sz w:val="18"/>
          <w:szCs w:val="18"/>
        </w:rPr>
        <w:t xml:space="preserve">§4.6  </w:t>
      </w:r>
      <w:r>
        <w:rPr>
          <w:rFonts w:ascii="Garamond" w:cs="Garamond" w:eastAsia="Garamond" w:hAnsi="Garamond"/>
          <w:b/>
          <w:bCs/>
          <w:i w:val="false"/>
          <w:iCs w:val="false"/>
          <w:color w:val="1B2A4A"/>
          <w:sz w:val="22"/>
          <w:szCs w:val="22"/>
        </w:rPr>
        <w:t xml:space="preserve">Judgment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spacing w:after="60" w:before="200"/>
        <w:ind w:left="431"/>
        <w:jc w:val="left"/>
      </w:pPr>
      <w:r>
        <w:rPr>
          <w:rFonts w:ascii="Courier New" w:cs="Courier New" w:eastAsia="Courier New" w:hAnsi="Courier New"/>
          <w:b/>
          <w:bCs/>
          <w:color w:val="1B2A4A"/>
          <w:sz w:val="18"/>
          <w:szCs w:val="18"/>
        </w:rPr>
        <w:t xml:space="preserve">§4.7  </w:t>
      </w:r>
      <w:r>
        <w:rPr>
          <w:rFonts w:ascii="Garamond" w:cs="Garamond" w:eastAsia="Garamond" w:hAnsi="Garamond"/>
          <w:b/>
          <w:bCs/>
          <w:i w:val="false"/>
          <w:iCs w:val="false"/>
          <w:color w:val="1B2A4A"/>
          <w:sz w:val="22"/>
          <w:szCs w:val="22"/>
        </w:rPr>
        <w:t xml:space="preserve">Jury Service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are required to serve on juries when called. Jury service is compensated at a rate the Legislature defines by statute. Unexcused refusal is subject to civil consequences the Legislature defines. Jury service does not constitute forced labor under §1.4.</w:t>
      </w:r>
    </w:p>
    <w:p>
      <w:pPr>
        <w:spacing w:after="60" w:before="200"/>
        <w:jc w:val="left"/>
      </w:pPr>
      <w:r>
        <w:rPr>
          <w:rFonts w:ascii="Garamond" w:cs="Garamond" w:eastAsia="Garamond" w:hAnsi="Garamond"/>
          <w:b/>
          <w:bCs/>
          <w:i w:val="false"/>
          <w:iCs w:val="false"/>
          <w:color w:val="1B2A4A"/>
          <w:sz w:val="34"/>
          <w:szCs w:val="34"/>
        </w:rPr>
        <w:t xml:space="preserve">Article V — Citizenship and National Identity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§5.1  </w:t>
      </w:r>
      <w:r>
        <w:rPr>
          <w:rFonts w:ascii="Garamond" w:cs="Garamond" w:eastAsia="Garamond" w:hAnsi="Garamond"/>
          <w:b/>
          <w:bCs/>
          <w:i w:val="false"/>
          <w:iCs w:val="false"/>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w:t>
      </w:r>
    </w:p>
    <w:p>
      <w:pPr>
        <w:spacing w:after="60" w:before="200"/>
        <w:ind w:left="431"/>
        <w:jc w:val="left"/>
      </w:pPr>
      <w:r>
        <w:rPr>
          <w:rFonts w:ascii="Courier New" w:cs="Courier New" w:eastAsia="Courier New" w:hAnsi="Courier New"/>
          <w:b/>
          <w:bCs/>
          <w:color w:val="1B2A4A"/>
          <w:sz w:val="18"/>
          <w:szCs w:val="18"/>
        </w:rPr>
        <w:t xml:space="preserve">§5.1.a  </w:t>
      </w:r>
      <w:r>
        <w:rPr>
          <w:rFonts w:ascii="Garamond" w:cs="Garamond" w:eastAsia="Garamond" w:hAnsi="Garamond"/>
          <w:b/>
          <w:bCs/>
          <w:i w:val="false"/>
          <w:iCs w:val="false"/>
          <w:color w:val="1B2A4A"/>
          <w:sz w:val="22"/>
          <w:szCs w:val="22"/>
        </w:rPr>
        <w:t xml:space="preserve">Naturalization and Service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w:t>
      </w:r>
    </w:p>
    <w:p>
      <w:pPr>
        <w:spacing w:after="60" w:before="200"/>
        <w:ind w:left="431"/>
        <w:jc w:val="left"/>
      </w:pPr>
      <w:r>
        <w:rPr>
          <w:rFonts w:ascii="Courier New" w:cs="Courier New" w:eastAsia="Courier New" w:hAnsi="Courier New"/>
          <w:b/>
          <w:bCs/>
          <w:color w:val="1B2A4A"/>
          <w:sz w:val="18"/>
          <w:szCs w:val="18"/>
        </w:rPr>
        <w:t xml:space="preserve">§5.1.b  </w:t>
      </w:r>
      <w:r>
        <w:rPr>
          <w:rFonts w:ascii="Garamond" w:cs="Garamond" w:eastAsia="Garamond" w:hAnsi="Garamond"/>
          <w:b/>
          <w:bCs/>
          <w:i w:val="false"/>
          <w:iCs w:val="false"/>
          <w:color w:val="1B2A4A"/>
          <w:sz w:val="22"/>
          <w:szCs w:val="22"/>
        </w:rPr>
        <w:t xml:space="preserve">Derivative and Founding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born before a parent acquired legal residency or citizenship, who accompanies that parent to the Republic within a Legislature-defined window, receives derivative status. All individuals holding voting rights on Day Zero of ratification are automatically granted full citizenship as founding members of the Republic without testing or application.</w:t>
      </w:r>
    </w:p>
    <w:p>
      <w:pPr>
        <w:spacing w:after="60" w:before="200"/>
        <w:ind w:left="431"/>
        <w:jc w:val="left"/>
      </w:pPr>
      <w:r>
        <w:rPr>
          <w:rFonts w:ascii="Courier New" w:cs="Courier New" w:eastAsia="Courier New" w:hAnsi="Courier New"/>
          <w:b/>
          <w:bCs/>
          <w:color w:val="1B2A4A"/>
          <w:sz w:val="18"/>
          <w:szCs w:val="18"/>
        </w:rPr>
        <w:t xml:space="preserve">§5.2  </w:t>
      </w:r>
      <w:r>
        <w:rPr>
          <w:rFonts w:ascii="Garamond" w:cs="Garamond" w:eastAsia="Garamond" w:hAnsi="Garamond"/>
          <w:b/>
          <w:bCs/>
          <w:i w:val="false"/>
          <w:iCs w:val="false"/>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Legal residents hold a Residency Credential allowing them to work, enter contracts, own property, and access social state systems under Article XII. They hold all Article I rights as Inhabitants. They do not hold federal voting rights or the right to stand for federal office.</w:t>
      </w:r>
    </w:p>
    <w:p>
      <w:pPr>
        <w:spacing w:after="60" w:before="200"/>
        <w:ind w:left="431"/>
        <w:jc w:val="left"/>
      </w:pPr>
      <w:r>
        <w:rPr>
          <w:rFonts w:ascii="Courier New" w:cs="Courier New" w:eastAsia="Courier New" w:hAnsi="Courier New"/>
          <w:b/>
          <w:bCs/>
          <w:color w:val="1B2A4A"/>
          <w:sz w:val="18"/>
          <w:szCs w:val="18"/>
        </w:rPr>
        <w:t xml:space="preserve">§5.3  </w:t>
      </w:r>
      <w:r>
        <w:rPr>
          <w:rFonts w:ascii="Garamond" w:cs="Garamond" w:eastAsia="Garamond" w:hAnsi="Garamond"/>
          <w:b/>
          <w:bCs/>
          <w:i w:val="false"/>
          <w:iCs w:val="false"/>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520"/>
          <w:sz w:val="22"/>
          <w:szCs w:val="22"/>
        </w:rPr>
        <w:t xml:space="preserve">No child of a citizen or legal resident may be deported regardless of the child’s own documentation status. 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pPr>
        <w:spacing w:after="60" w:before="200"/>
        <w:jc w:val="left"/>
      </w:pPr>
      <w:r>
        <w:rPr>
          <w:rFonts w:ascii="Garamond" w:cs="Garamond" w:eastAsia="Garamond" w:hAnsi="Garamond"/>
          <w:b/>
          <w:bCs/>
          <w:i w:val="false"/>
          <w:iCs w:val="false"/>
          <w:color w:val="1B2A4A"/>
          <w:sz w:val="34"/>
          <w:szCs w:val="34"/>
        </w:rPr>
        <w:t xml:space="preserve">Article VI — Immigration and Residency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§6.1  </w:t>
      </w:r>
      <w:r>
        <w:rPr>
          <w:rFonts w:ascii="Garamond" w:cs="Garamond" w:eastAsia="Garamond" w:hAnsi="Garamond"/>
          <w:b/>
          <w:bCs/>
          <w:i w:val="false"/>
          <w:iCs w:val="false"/>
          <w:color w:val="1B2A4A"/>
          <w:sz w:val="22"/>
          <w:szCs w:val="22"/>
        </w:rPr>
        <w:t xml:space="preserve">The Two-Stage Immigration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pPr>
        <w:spacing w:after="60" w:before="200"/>
        <w:ind w:left="431"/>
        <w:jc w:val="left"/>
      </w:pPr>
      <w:r>
        <w:rPr>
          <w:rFonts w:ascii="Courier New" w:cs="Courier New" w:eastAsia="Courier New" w:hAnsi="Courier New"/>
          <w:b/>
          <w:bCs/>
          <w:color w:val="1B2A4A"/>
          <w:sz w:val="18"/>
          <w:szCs w:val="18"/>
        </w:rPr>
        <w:t xml:space="preserve">§6.2  </w:t>
      </w:r>
      <w:r>
        <w:rPr>
          <w:rFonts w:ascii="Garamond" w:cs="Garamond" w:eastAsia="Garamond" w:hAnsi="Garamond"/>
          <w:b/>
          <w:bCs/>
          <w:i w:val="false"/>
          <w:iCs w:val="false"/>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i w:val="false"/>
          <w:iCs w:val="false"/>
          <w:color w:val="2a2520"/>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pPr>
        <w:spacing w:after="60" w:before="200"/>
        <w:ind w:left="431"/>
        <w:jc w:val="left"/>
      </w:pPr>
      <w:r>
        <w:rPr>
          <w:rFonts w:ascii="Courier New" w:cs="Courier New" w:eastAsia="Courier New" w:hAnsi="Courier New"/>
          <w:b/>
          <w:bCs/>
          <w:color w:val="1B2A4A"/>
          <w:sz w:val="18"/>
          <w:szCs w:val="18"/>
        </w:rPr>
        <w:t xml:space="preserve">§6.3  </w:t>
      </w:r>
      <w:r>
        <w:rPr>
          <w:rFonts w:ascii="Garamond" w:cs="Garamond" w:eastAsia="Garamond" w:hAnsi="Garamond"/>
          <w:b/>
          <w:bCs/>
          <w:i w:val="false"/>
          <w:iCs w:val="false"/>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w:t>
      </w:r>
    </w:p>
    <w:p>
      <w:pPr>
        <w:spacing w:after="60" w:before="200"/>
        <w:ind w:left="431"/>
        <w:jc w:val="left"/>
      </w:pPr>
      <w:r>
        <w:rPr>
          <w:rFonts w:ascii="Courier New" w:cs="Courier New" w:eastAsia="Courier New" w:hAnsi="Courier New"/>
          <w:b/>
          <w:bCs/>
          <w:color w:val="1B2A4A"/>
          <w:sz w:val="18"/>
          <w:szCs w:val="18"/>
        </w:rPr>
        <w:t xml:space="preserve">§6.3.a  </w:t>
      </w:r>
      <w:r>
        <w:rPr>
          <w:rFonts w:ascii="Garamond" w:cs="Garamond" w:eastAsia="Garamond" w:hAnsi="Garamond"/>
          <w:b/>
          <w:bCs/>
          <w:i w:val="false"/>
          <w:iCs w:val="false"/>
          <w:color w:val="1B2A4A"/>
          <w:sz w:val="22"/>
          <w:szCs w:val="22"/>
        </w:rPr>
        <w:t xml:space="preserve">Asylum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pPr>
        <w:spacing w:after="60" w:before="200"/>
        <w:ind w:left="431"/>
        <w:jc w:val="left"/>
      </w:pPr>
      <w:r>
        <w:rPr>
          <w:rFonts w:ascii="Courier New" w:cs="Courier New" w:eastAsia="Courier New" w:hAnsi="Courier New"/>
          <w:b/>
          <w:bCs/>
          <w:color w:val="1B2A4A"/>
          <w:sz w:val="18"/>
          <w:szCs w:val="18"/>
        </w:rPr>
        <w:t xml:space="preserve">§6.3.b  </w:t>
      </w:r>
      <w:r>
        <w:rPr>
          <w:rFonts w:ascii="Garamond" w:cs="Garamond" w:eastAsia="Garamond" w:hAnsi="Garamond"/>
          <w:b/>
          <w:bCs/>
          <w:i w:val="false"/>
          <w:iCs w:val="false"/>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SC review.</w:t>
      </w:r>
    </w:p>
    <w:p>
      <w:pPr>
        <w:spacing w:after="60" w:before="200"/>
        <w:ind w:left="431"/>
        <w:jc w:val="left"/>
      </w:pPr>
      <w:r>
        <w:rPr>
          <w:rFonts w:ascii="Courier New" w:cs="Courier New" w:eastAsia="Courier New" w:hAnsi="Courier New"/>
          <w:b/>
          <w:bCs/>
          <w:color w:val="1B2A4A"/>
          <w:sz w:val="18"/>
          <w:szCs w:val="18"/>
        </w:rPr>
        <w:t xml:space="preserve">§6.3.c  </w:t>
      </w:r>
      <w:r>
        <w:rPr>
          <w:rFonts w:ascii="Garamond" w:cs="Garamond" w:eastAsia="Garamond" w:hAnsi="Garamond"/>
          <w:b/>
          <w:bCs/>
          <w:i w:val="false"/>
          <w:iCs w:val="false"/>
          <w:color w:val="1B2A4A"/>
          <w:sz w:val="22"/>
          <w:szCs w:val="22"/>
        </w:rPr>
        <w:t xml:space="preserve">Unaccompanied Minors</w:t>
      </w:r>
    </w:p>
    <w:p>
      <w:pPr>
        <w:spacing w:after="120" w:before="0"/>
        <w:ind w:left="431"/>
        <w:jc w:val="both"/>
      </w:pPr>
      <w:r>
        <w:rPr>
          <w:rFonts w:ascii="Garamond" w:cs="Garamond" w:eastAsia="Garamond" w:hAnsi="Garamond"/>
          <w:b w:val="false"/>
          <w:bCs w:val="false"/>
          <w:i w:val="false"/>
          <w:iCs w:val="false"/>
          <w:color w:val="2a2520"/>
          <w:sz w:val="22"/>
          <w:szCs w:val="22"/>
        </w:rPr>
        <w:t xml:space="preserve">An unaccompanied minor arriving in the Republic is an 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pPr>
        <w:spacing w:after="60" w:before="200"/>
        <w:jc w:val="left"/>
      </w:pPr>
      <w:r>
        <w:rPr>
          <w:rFonts w:ascii="Garamond" w:cs="Garamond" w:eastAsia="Garamond" w:hAnsi="Garamond"/>
          <w:b/>
          <w:bCs/>
          <w:i w:val="false"/>
          <w:iCs w:val="false"/>
          <w:color w:val="1B2A4A"/>
          <w:sz w:val="34"/>
          <w:szCs w:val="34"/>
        </w:rPr>
        <w:t xml:space="preserve">Article VII — Elections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§7.1  </w:t>
      </w:r>
      <w:r>
        <w:rPr>
          <w:rFonts w:ascii="Garamond" w:cs="Garamond" w:eastAsia="Garamond" w:hAnsi="Garamond"/>
          <w:b/>
          <w:bCs/>
          <w:i w:val="false"/>
          <w:iCs w:val="false"/>
          <w:color w:val="1B2A4A"/>
          <w:sz w:val="22"/>
          <w:szCs w:val="22"/>
        </w:rPr>
        <w:t xml:space="preserve">The Right to Vote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color w:val="1B2A4A"/>
          <w:sz w:val="18"/>
          <w:szCs w:val="18"/>
        </w:rPr>
        <w:t xml:space="preserve">§7.2  </w:t>
      </w:r>
      <w:r>
        <w:rPr>
          <w:rFonts w:ascii="Garamond" w:cs="Garamond" w:eastAsia="Garamond" w:hAnsi="Garamond"/>
          <w:b/>
          <w:bCs/>
          <w:i w:val="false"/>
          <w:iCs w:val="false"/>
          <w:color w:val="1B2A4A"/>
          <w:sz w:val="22"/>
          <w:szCs w:val="22"/>
        </w:rPr>
        <w:t xml:space="preserve">Consular Election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active ballots,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w:t>
      </w:r>
    </w:p>
    <w:p>
      <w:pPr>
        <w:spacing w:after="60" w:before="200"/>
        <w:ind w:left="431"/>
        <w:jc w:val="left"/>
      </w:pPr>
      <w:r>
        <w:rPr>
          <w:rFonts w:ascii="Courier New" w:cs="Courier New" w:eastAsia="Courier New" w:hAnsi="Courier New"/>
          <w:b/>
          <w:bCs/>
          <w:color w:val="1B2A4A"/>
          <w:sz w:val="18"/>
          <w:szCs w:val="18"/>
        </w:rPr>
        <w:t xml:space="preserve">§7.2.a  </w:t>
      </w:r>
      <w:r>
        <w:rPr>
          <w:rFonts w:ascii="Garamond" w:cs="Garamond" w:eastAsia="Garamond" w:hAnsi="Garamond"/>
          <w:b/>
          <w:bCs/>
          <w:i w:val="false"/>
          <w:iCs w:val="false"/>
          <w:color w:val="1B2A4A"/>
          <w:sz w:val="22"/>
          <w:szCs w:val="22"/>
        </w:rPr>
        <w:t xml:space="preserve">State Plurality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 </w:t>
      </w:r>
    </w:p>
    <w:p>
      <w:pPr>
        <w:spacing w:after="60" w:before="200"/>
        <w:ind w:left="431"/>
        <w:jc w:val="left"/>
      </w:pPr>
      <w:r>
        <w:rPr>
          <w:rFonts w:ascii="Courier New" w:cs="Courier New" w:eastAsia="Courier New" w:hAnsi="Courier New"/>
          <w:b/>
          <w:bCs/>
          <w:color w:val="1B2A4A"/>
          <w:sz w:val="18"/>
          <w:szCs w:val="18"/>
        </w:rPr>
        <w:t xml:space="preserve">§7.3  </w:t>
      </w:r>
      <w:r>
        <w:rPr>
          <w:rFonts w:ascii="Garamond" w:cs="Garamond" w:eastAsia="Garamond" w:hAnsi="Garamond"/>
          <w:b/>
          <w:bCs/>
          <w:i w:val="false"/>
          <w:iCs w:val="false"/>
          <w:color w:val="1B2A4A"/>
          <w:sz w:val="22"/>
          <w:szCs w:val="22"/>
        </w:rPr>
        <w:t xml:space="preserve">Federal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pPr>
        <w:spacing w:after="60" w:before="200"/>
        <w:ind w:left="431"/>
        <w:jc w:val="left"/>
      </w:pPr>
      <w:r>
        <w:rPr>
          <w:rFonts w:ascii="Courier New" w:cs="Courier New" w:eastAsia="Courier New" w:hAnsi="Courier New"/>
          <w:b/>
          <w:bCs/>
          <w:color w:val="1B2A4A"/>
          <w:sz w:val="18"/>
          <w:szCs w:val="18"/>
        </w:rPr>
        <w:t xml:space="preserve">§7.3.a  </w:t>
      </w:r>
      <w:r>
        <w:rPr>
          <w:rFonts w:ascii="Garamond" w:cs="Garamond" w:eastAsia="Garamond" w:hAnsi="Garamond"/>
          <w:b/>
          <w:bCs/>
          <w:i w:val="false"/>
          <w:iCs w:val="false"/>
          <w:color w:val="1B2A4A"/>
          <w:sz w:val="22"/>
          <w:szCs w:val="22"/>
        </w:rPr>
        <w:t xml:space="preserve">Special Elections and Postponements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if it disputes the Elections Panel’s finding; the SC must rule within 7 days. No further postponement may be granted without a new Elections Panel finding of impossibility and a new 2/3 legislative determination.</w:t>
      </w:r>
    </w:p>
    <w:p>
      <w:pPr>
        <w:spacing w:after="60" w:before="200"/>
        <w:jc w:val="left"/>
      </w:pPr>
      <w:r>
        <w:rPr>
          <w:rFonts w:ascii="Garamond" w:cs="Garamond" w:eastAsia="Garamond" w:hAnsi="Garamond"/>
          <w:b/>
          <w:bCs/>
          <w:i w:val="false"/>
          <w:iCs w:val="false"/>
          <w:color w:val="1B2A4A"/>
          <w:sz w:val="34"/>
          <w:szCs w:val="34"/>
        </w:rPr>
        <w:t xml:space="preserve">Article VIII — Electoral Finance and Campaign Conduct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§8.1  </w:t>
      </w:r>
      <w:r>
        <w:rPr>
          <w:rFonts w:ascii="Garamond" w:cs="Garamond" w:eastAsia="Garamond" w:hAnsi="Garamond"/>
          <w:b/>
          <w:bCs/>
          <w:i w:val="false"/>
          <w:iCs w:val="false"/>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color w:val="1B2A4A"/>
          <w:sz w:val="18"/>
          <w:szCs w:val="18"/>
        </w:rPr>
        <w:t xml:space="preserve">§8.2  </w:t>
      </w:r>
      <w:r>
        <w:rPr>
          <w:rFonts w:ascii="Garamond" w:cs="Garamond" w:eastAsia="Garamond" w:hAnsi="Garamond"/>
          <w:b/>
          <w:bCs/>
          <w:i w:val="false"/>
          <w:iCs w:val="false"/>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520"/>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Fabricated or deceptively edited communications about other candidates are a constitutional violation; the Elections Panel publishes findings of violation to the NRS and candidates found in violation are subject to sanctions defined by statute.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color w:val="1B2A4A"/>
          <w:sz w:val="18"/>
          <w:szCs w:val="18"/>
        </w:rPr>
        <w:t xml:space="preserve">§8.3  </w:t>
      </w:r>
      <w:r>
        <w:rPr>
          <w:rFonts w:ascii="Garamond" w:cs="Garamond" w:eastAsia="Garamond" w:hAnsi="Garamond"/>
          <w:b/>
          <w:bCs/>
          <w:i w:val="false"/>
          <w:iCs w:val="false"/>
          <w:color w:val="1B2A4A"/>
          <w:sz w:val="22"/>
          <w:szCs w:val="22"/>
        </w:rPr>
        <w:t xml:space="preserve">Public Spectrum Access for Campaigns</w:t>
      </w:r>
    </w:p>
    <w:p>
      <w:pPr>
        <w:spacing w:after="120" w:before="0"/>
        <w:ind w:left="431"/>
        <w:jc w:val="both"/>
      </w:pPr>
      <w:r>
        <w:rPr>
          <w:rFonts w:ascii="Garamond" w:cs="Garamond" w:eastAsia="Garamond" w:hAnsi="Garamond"/>
          <w:b w:val="false"/>
          <w:bCs w:val="false"/>
          <w:i w:val="false"/>
          <w:iCs w:val="false"/>
          <w:color w:val="2a2520"/>
          <w:sz w:val="22"/>
          <w:szCs w:val="22"/>
        </w:rPr>
        <w:t xml:space="preserve">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pPr>
        <w:spacing w:after="60" w:before="200"/>
        <w:jc w:val="left"/>
      </w:pPr>
      <w:r>
        <w:rPr>
          <w:rFonts w:ascii="Garamond" w:cs="Garamond" w:eastAsia="Garamond" w:hAnsi="Garamond"/>
          <w:b/>
          <w:bCs/>
          <w:i w:val="false"/>
          <w:iCs w:val="false"/>
          <w:color w:val="1B2A4A"/>
          <w:sz w:val="34"/>
          <w:szCs w:val="34"/>
        </w:rPr>
        <w:t xml:space="preserve">Article IX — The Monitors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  </w:t>
      </w:r>
      <w:r>
        <w:rPr>
          <w:rFonts w:ascii="Garamond" w:cs="Garamond" w:eastAsia="Garamond" w:hAnsi="Garamond"/>
          <w:b/>
          <w:bCs/>
          <w:i w:val="false"/>
          <w:iCs w:val="false"/>
          <w:color w:val="1B2A4A"/>
          <w:sz w:val="22"/>
          <w:szCs w:val="22"/>
        </w:rPr>
        <w:t xml:space="preserve">Three Monitors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pPr>
        <w:spacing w:after="60" w:before="200"/>
        <w:ind w:left="431"/>
        <w:jc w:val="left"/>
      </w:pPr>
      <w:r>
        <w:rPr>
          <w:rFonts w:ascii="Courier New" w:cs="Courier New" w:eastAsia="Courier New" w:hAnsi="Courier New"/>
          <w:b/>
          <w:bCs/>
          <w:color w:val="1B2A4A"/>
          <w:sz w:val="18"/>
          <w:szCs w:val="18"/>
        </w:rPr>
        <w:t xml:space="preserve">§9.1.a  </w:t>
      </w:r>
      <w:r>
        <w:rPr>
          <w:rFonts w:ascii="Garamond" w:cs="Garamond" w:eastAsia="Garamond" w:hAnsi="Garamond"/>
          <w:b/>
          <w:bCs/>
          <w:i w:val="false"/>
          <w:iCs w:val="false"/>
          <w:color w:val="1B2A4A"/>
          <w:sz w:val="22"/>
          <w:szCs w:val="22"/>
        </w:rPr>
        <w:t xml:space="preserve">The Legislative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pPr>
        <w:spacing w:after="60" w:before="200"/>
        <w:ind w:left="431"/>
        <w:jc w:val="left"/>
      </w:pPr>
      <w:r>
        <w:rPr>
          <w:rFonts w:ascii="Courier New" w:cs="Courier New" w:eastAsia="Courier New" w:hAnsi="Courier New"/>
          <w:b/>
          <w:bCs/>
          <w:color w:val="1B2A4A"/>
          <w:sz w:val="18"/>
          <w:szCs w:val="18"/>
        </w:rPr>
        <w:t xml:space="preserve">§9.1.b  </w:t>
      </w:r>
      <w:r>
        <w:rPr>
          <w:rFonts w:ascii="Garamond" w:cs="Garamond" w:eastAsia="Garamond" w:hAnsi="Garamond"/>
          <w:b/>
          <w:bCs/>
          <w:i w:val="false"/>
          <w:iCs w:val="false"/>
          <w:color w:val="1B2A4A"/>
          <w:sz w:val="22"/>
          <w:szCs w:val="22"/>
        </w:rPr>
        <w:t xml:space="preserve">The Executive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color w:val="1B2A4A"/>
          <w:sz w:val="18"/>
          <w:szCs w:val="18"/>
        </w:rPr>
        <w:t xml:space="preserve">§9.1.c  </w:t>
      </w:r>
      <w:r>
        <w:rPr>
          <w:rFonts w:ascii="Garamond" w:cs="Garamond" w:eastAsia="Garamond" w:hAnsi="Garamond"/>
          <w:b/>
          <w:bCs/>
          <w:i w:val="false"/>
          <w:iCs w:val="false"/>
          <w:color w:val="1B2A4A"/>
          <w:sz w:val="22"/>
          <w:szCs w:val="22"/>
        </w:rPr>
        <w:t xml:space="preserve">The Judicial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pPr>
        <w:spacing w:after="60" w:before="200"/>
        <w:ind w:left="431"/>
        <w:jc w:val="left"/>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Monitor General Term Expiry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The Acting Monitor General holds full constitutional authority of the office. The Acting Monitor General is not eligible for permanent appointment to the position in which they serve; upon 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color w:val="1B2A4A"/>
          <w:sz w:val="18"/>
          <w:szCs w:val="18"/>
        </w:rPr>
        <w:t xml:space="preserve">§9.2  </w:t>
      </w:r>
      <w:r>
        <w:rPr>
          <w:rFonts w:ascii="Garamond" w:cs="Garamond" w:eastAsia="Garamond" w:hAnsi="Garamond"/>
          <w:b/>
          <w:bCs/>
          <w:i w:val="false"/>
          <w:iCs w:val="false"/>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pPr>
        <w:spacing w:after="60" w:before="200"/>
        <w:ind w:left="431"/>
        <w:jc w:val="left"/>
      </w:pPr>
      <w:r>
        <w:rPr>
          <w:rFonts w:ascii="Courier New" w:cs="Courier New" w:eastAsia="Courier New" w:hAnsi="Courier New"/>
          <w:b/>
          <w:bCs/>
          <w:color w:val="1B2A4A"/>
          <w:sz w:val="18"/>
          <w:szCs w:val="18"/>
        </w:rPr>
        <w:t xml:space="preserve">§9.3  </w:t>
      </w:r>
      <w:r>
        <w:rPr>
          <w:rFonts w:ascii="Garamond" w:cs="Garamond" w:eastAsia="Garamond" w:hAnsi="Garamond"/>
          <w:b/>
          <w:bCs/>
          <w:i w:val="false"/>
          <w:iCs w:val="false"/>
          <w:color w:val="1B2A4A"/>
          <w:sz w:val="22"/>
          <w:szCs w:val="22"/>
        </w:rPr>
        <w:t xml:space="preserve">Monitor General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§9.4.a. No two Monitor General terms may begin within 18 months of each other. The confirmed successor assumes full authority at the precise moment the incumbent’s term concludes.</w:t>
      </w:r>
    </w:p>
    <w:p>
      <w:pPr>
        <w:spacing w:after="60" w:before="200"/>
        <w:ind w:left="431"/>
        <w:jc w:val="left"/>
      </w:pPr>
      <w:r>
        <w:rPr>
          <w:rFonts w:ascii="Courier New" w:cs="Courier New" w:eastAsia="Courier New" w:hAnsi="Courier New"/>
          <w:b/>
          <w:bCs/>
          <w:color w:val="1B2A4A"/>
          <w:sz w:val="18"/>
          <w:szCs w:val="18"/>
        </w:rPr>
        <w:t xml:space="preserve">§9.4  </w:t>
      </w:r>
      <w:r>
        <w:rPr>
          <w:rFonts w:ascii="Garamond" w:cs="Garamond" w:eastAsia="Garamond" w:hAnsi="Garamond"/>
          <w:b/>
          <w:bCs/>
          <w:i w:val="false"/>
          <w:iCs w:val="false"/>
          <w:color w:val="1B2A4A"/>
          <w:sz w:val="22"/>
          <w:szCs w:val="22"/>
        </w:rPr>
        <w:t xml:space="preserve">Judicial Monitor Audit and Lottery Administration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w:t>
      </w:r>
    </w:p>
    <w:p>
      <w:pPr>
        <w:spacing w:after="60" w:before="200"/>
        <w:ind w:left="431"/>
        <w:jc w:val="left"/>
      </w:pPr>
      <w:r>
        <w:rPr>
          <w:rFonts w:ascii="Courier New" w:cs="Courier New" w:eastAsia="Courier New" w:hAnsi="Courier New"/>
          <w:b/>
          <w:bCs/>
          <w:color w:val="1B2A4A"/>
          <w:sz w:val="18"/>
          <w:szCs w:val="18"/>
        </w:rPr>
        <w:t xml:space="preserve">§9.4.a  </w:t>
      </w:r>
      <w:r>
        <w:rPr>
          <w:rFonts w:ascii="Garamond" w:cs="Garamond" w:eastAsia="Garamond" w:hAnsi="Garamond"/>
          <w:b/>
          <w:bCs/>
          <w:i w:val="false"/>
          <w:iCs w:val="false"/>
          <w:color w:val="1B2A4A"/>
          <w:sz w:val="22"/>
          <w:szCs w:val="22"/>
        </w:rPr>
        <w:t xml:space="preserve">Judicial Monitor General Candidate Pool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Joint Monitor Council conducts the lottery from the pool in a public session; the outgoing JM Monitor General does not participate. The pool is publicly accessible at all times.</w:t>
      </w:r>
    </w:p>
    <w:p>
      <w:pPr>
        <w:spacing w:after="60" w:before="200"/>
        <w:ind w:left="431"/>
        <w:jc w:val="left"/>
      </w:pPr>
      <w:r>
        <w:rPr>
          <w:rFonts w:ascii="Courier New" w:cs="Courier New" w:eastAsia="Courier New" w:hAnsi="Courier New"/>
          <w:b/>
          <w:bCs/>
          <w:color w:val="1B2A4A"/>
          <w:sz w:val="18"/>
          <w:szCs w:val="18"/>
        </w:rPr>
        <w:t xml:space="preserve">§9.4.b  </w:t>
      </w:r>
      <w:r>
        <w:rPr>
          <w:rFonts w:ascii="Garamond" w:cs="Garamond" w:eastAsia="Garamond" w:hAnsi="Garamond"/>
          <w:b/>
          <w:bCs/>
          <w:i w:val="false"/>
          <w:iCs w:val="false"/>
          <w:color w:val="1B2A4A"/>
          <w:sz w:val="22"/>
          <w:szCs w:val="22"/>
        </w:rPr>
        <w:t xml:space="preserve">Judicial Pool — SC Eligibility Criteria</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standing Judicial Pool. Any citizen meeting the eligibility criteria — at least 15 years of legal practice or 10 years of judicial service, no current government position, no disqualifying financial interest — may apply directly to the Elections Panel. The Elections Panel applies the stated eligibility criteria and enters qualifying applicants into the registry.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Registry is publicly accessible on the NRS at all times.</w:t>
      </w:r>
    </w:p>
    <w:p>
      <w:pPr>
        <w:spacing w:after="60" w:before="200"/>
        <w:ind w:left="431"/>
        <w:jc w:val="left"/>
      </w:pPr>
      <w:r>
        <w:rPr>
          <w:rFonts w:ascii="Courier New" w:cs="Courier New" w:eastAsia="Courier New" w:hAnsi="Courier New"/>
          <w:b/>
          <w:bCs/>
          <w:color w:val="1B2A4A"/>
          <w:sz w:val="18"/>
          <w:szCs w:val="18"/>
        </w:rPr>
        <w:t xml:space="preserve">§9.5  </w:t>
      </w:r>
      <w:r>
        <w:rPr>
          <w:rFonts w:ascii="Garamond" w:cs="Garamond" w:eastAsia="Garamond" w:hAnsi="Garamond"/>
          <w:b/>
          <w:bCs/>
          <w:i w:val="false"/>
          <w:iCs w:val="false"/>
          <w:color w:val="1B2A4A"/>
          <w:sz w:val="22"/>
          <w:szCs w:val="22"/>
        </w:rPr>
        <w:t xml:space="preserve">Monitor General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For-cause removal of any Monitor General follows §9.14 Standard Track. The Judicial Track under §9.14 is additionally available where two of the three Monitors jointly assess and report for-cause grounds.</w:t>
      </w:r>
    </w:p>
    <w:p>
      <w:pPr>
        <w:spacing w:after="60" w:before="200"/>
        <w:ind w:left="431"/>
        <w:jc w:val="left"/>
      </w:pPr>
      <w:r>
        <w:rPr>
          <w:rFonts w:ascii="Courier New" w:cs="Courier New" w:eastAsia="Courier New" w:hAnsi="Courier New"/>
          <w:b/>
          <w:bCs/>
          <w:color w:val="1B2A4A"/>
          <w:sz w:val="18"/>
          <w:szCs w:val="18"/>
        </w:rPr>
        <w:t xml:space="preserve">§9.6  </w:t>
      </w:r>
      <w:r>
        <w:rPr>
          <w:rFonts w:ascii="Garamond" w:cs="Garamond" w:eastAsia="Garamond" w:hAnsi="Garamond"/>
          <w:b/>
          <w:bCs/>
          <w:i w:val="false"/>
          <w:iCs w:val="false"/>
          <w:color w:val="1B2A4A"/>
          <w:sz w:val="22"/>
          <w:szCs w:val="22"/>
        </w:rPr>
        <w:t xml:space="preserve">Monitor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no constitutional actor may obstruct or delay that access; any obstruction is a constitutional breach, published to the NRS by the remaining two Monitors.</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§9.10  </w:t>
      </w:r>
      <w:r>
        <w:rPr>
          <w:rFonts w:ascii="Garamond" w:cs="Garamond" w:eastAsia="Garamond" w:hAnsi="Garamond"/>
          <w:b/>
          <w:bCs/>
          <w:i w:val="false"/>
          <w:iCs w:val="false"/>
          <w:color w:val="1B2A4A"/>
          <w:sz w:val="22"/>
          <w:szCs w:val="22"/>
        </w:rPr>
        <w:t xml:space="preserve">Monitor Minimum Funding Guarantee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pPr>
        <w:spacing w:after="60" w:before="200"/>
        <w:ind w:left="431"/>
        <w:jc w:val="left"/>
      </w:pPr>
      <w:r>
        <w:rPr>
          <w:rFonts w:ascii="Courier New" w:cs="Courier New" w:eastAsia="Courier New" w:hAnsi="Courier New"/>
          <w:b/>
          <w:bCs/>
          <w:color w:val="1B2A4A"/>
          <w:sz w:val="18"/>
          <w:szCs w:val="18"/>
        </w:rPr>
        <w:t xml:space="preserve">§9.11  </w:t>
      </w:r>
      <w:r>
        <w:rPr>
          <w:rFonts w:ascii="Garamond" w:cs="Garamond" w:eastAsia="Garamond" w:hAnsi="Garamond"/>
          <w:b/>
          <w:bCs/>
          <w:i w:val="false"/>
          <w:iCs w:val="false"/>
          <w:color w:val="1B2A4A"/>
          <w:sz w:val="22"/>
          <w:szCs w:val="22"/>
        </w:rPr>
        <w:t xml:space="preserve">Joint Monitor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pPr>
        <w:spacing w:after="60" w:before="200"/>
        <w:ind w:left="431"/>
        <w:jc w:val="left"/>
      </w:pPr>
      <w:r>
        <w:rPr>
          <w:rFonts w:ascii="Courier New" w:cs="Courier New" w:eastAsia="Courier New" w:hAnsi="Courier New"/>
          <w:b/>
          <w:bCs/>
          <w:color w:val="1B2A4A"/>
          <w:sz w:val="18"/>
          <w:szCs w:val="18"/>
        </w:rPr>
        <w:t xml:space="preserve">§9.11.a  </w:t>
      </w:r>
      <w:r>
        <w:rPr>
          <w:rFonts w:ascii="Garamond" w:cs="Garamond" w:eastAsia="Garamond" w:hAnsi="Garamond"/>
          <w:b/>
          <w:b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two of the three Monitors jointly assess and report that the third is operating in demonstrable bad faith, they petition the SC directly for confirmation of the finding; the SC rules within 14 days. Upon filing the petition, the two petitioning Monitors jointly designate an Acting Monitor General as the longest-tenured member of the affected Monitor’s candidate pool who accepts the designation; both executives are notified immediately. The Acting Monitor General assumes all constitutional functions of the compromised Monitor from the moment of designation. If the SC does not confirm the finding, the Acting Monitor General stands down and all functions return immediately to the original Monitor General.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color w:val="1B2A4A"/>
          <w:sz w:val="18"/>
          <w:szCs w:val="18"/>
        </w:rPr>
        <w:t xml:space="preserve">§9.12  </w:t>
      </w:r>
      <w:r>
        <w:rPr>
          <w:rFonts w:ascii="Garamond" w:cs="Garamond" w:eastAsia="Garamond" w:hAnsi="Garamond"/>
          <w:b/>
          <w:bCs/>
          <w:i w:val="false"/>
          <w:iCs w:val="false"/>
          <w:color w:val="1B2A4A"/>
          <w:sz w:val="22"/>
          <w:szCs w:val="22"/>
        </w:rPr>
        <w:t xml:space="preserve">Constitutional Pool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§9.13  </w:t>
      </w:r>
      <w:r>
        <w:rPr>
          <w:rFonts w:ascii="Garamond" w:cs="Garamond" w:eastAsia="Garamond" w:hAnsi="Garamond"/>
          <w:b/>
          <w:bCs/>
          <w:color w:val="1B2A4A"/>
          <w:sz w:val="22"/>
          <w:szCs w:val="22"/>
        </w:rPr>
        <w:t xml:space="preserve">Registry Integrity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standards apply to all registries and candidate pools maintained under constitutional mandate. Eligibility criteria are strictly objective — years of practice or service, office status, and financial interests as defined by this Constitution or by statute.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or removed applicant may petition the SC within 30 days of NRS publication; the SC reviews only whether the stated grounds correspond to an established eligibility criterion — it does not review the factual merits of the determination. The JMC annual audit must evaluate each registry for pool depth, distribution, and patterns in exclusion decisions. Changes to eligibility criteria apply prospectively only and do not affect persons already entered in a constitutional pool or registry under the criteria applicable at the time of their entry.</w:t>
      </w:r>
    </w:p>
    <w:p>
      <w:pPr>
        <w:spacing w:after="60" w:before="200"/>
        <w:ind w:left="431"/>
        <w:jc w:val="left"/>
      </w:pPr>
      <w:r>
        <w:rPr>
          <w:rFonts w:ascii="Courier New" w:cs="Courier New" w:eastAsia="Courier New" w:hAnsi="Courier New"/>
          <w:b/>
          <w:bCs/>
          <w:color w:val="1B2A4A"/>
          <w:sz w:val="18"/>
          <w:szCs w:val="18"/>
        </w:rPr>
        <w:t xml:space="preserve">§9.14  </w:t>
      </w:r>
      <w:r>
        <w:rPr>
          <w:rFonts w:ascii="Garamond" w:cs="Garamond" w:eastAsia="Garamond" w:hAnsi="Garamond"/>
          <w:b/>
          <w:bCs/>
          <w:color w:val="1B2A4A"/>
          <w:sz w:val="22"/>
          <w:szCs w:val="22"/>
        </w:rPr>
        <w:t xml:space="preserve">Constitutional Officer Removal — Standard Track</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section governs for-cause removal of all constitutionally confirmed independent officers except Supreme Court justices under §4.3.b and elected executives.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Where the SC fails to rule within 14 days, grounds are deemed confirmed and duty suspension activates immediately. The Legislature defines enumerated removal categories for each constitutionally confirmed office by statute.</w:t>
      </w:r>
    </w:p>
    <w:p>
      <w:pPr>
        <w:spacing w:after="60" w:before="200"/>
        <w:ind w:left="431"/>
        <w:jc w:val="left"/>
      </w:pPr>
      <w:r>
        <w:rPr>
          <w:rFonts w:ascii="Courier New" w:cs="Courier New" w:eastAsia="Courier New" w:hAnsi="Courier New"/>
          <w:b/>
          <w:bCs/>
          <w:color w:val="1B2A4A"/>
          <w:sz w:val="18"/>
          <w:szCs w:val="18"/>
        </w:rPr>
        <w:t xml:space="preserve">§9.14.a  </w:t>
      </w:r>
      <w:r>
        <w:rPr>
          <w:rFonts w:ascii="Garamond" w:cs="Garamond" w:eastAsia="Garamond" w:hAnsi="Garamond"/>
          <w:b/>
          <w:bCs/>
          <w:color w:val="1B2A4A"/>
          <w:sz w:val="22"/>
          <w:szCs w:val="22"/>
        </w:rPr>
        <w:t xml:space="preserve">Constitutional Officer Removal — Judicial Track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Judicial Track is available where the Standard Track’s legislative threshold appears unreachable due to demonstrated political gridlock. Where two of the three Monitors jointly assess and report for-cause grounds and petition the SC, the SC determines within 30 days whether the grounds constitute sufficient cause for suspension; where the SC fails to rule within 30 days, cause is deemed found. If cause is found or deemed found, the officer is suspended and the most senior deputy acts in the interim. The Senate has 60 days to hold a removal vote; 3/5 of full seated membership is required for permanent removal. A vote failing 3/5 reinstates the officer and closes the process. Where the Senate fails to vote within 60 days, the matter is placed before the next federal electoral period ballot; removal requires 60% of votes cast. Officers of independent agencies established under §3.9 are not subject to this framework; their removal is governed by the establishing statute, which must preserve the for-cause removal principle.</w:t>
      </w:r>
    </w:p>
    <w:p>
      <w:pPr>
        <w:spacing w:after="60" w:before="200"/>
        <w:jc w:val="left"/>
      </w:pPr>
      <w:r>
        <w:rPr>
          <w:rFonts w:ascii="Garamond" w:cs="Garamond" w:eastAsia="Garamond" w:hAnsi="Garamond"/>
          <w:b/>
          <w:bCs/>
          <w:i w:val="false"/>
          <w:iCs w:val="false"/>
          <w:color w:val="1B2A4A"/>
          <w:sz w:val="34"/>
          <w:szCs w:val="34"/>
        </w:rPr>
        <w:t xml:space="preserve">Article X — The National Record System</w:t>
      </w:r>
    </w:p>
    <w:p>
      <w:pPr>
        <w:spacing w:after="60" w:before="200"/>
        <w:ind w:left="431"/>
        <w:jc w:val="left"/>
      </w:pPr>
      <w:r>
        <w:rPr>
          <w:rFonts w:ascii="Courier New" w:cs="Courier New" w:eastAsia="Courier New" w:hAnsi="Courier New"/>
          <w:b/>
          <w:bCs/>
          <w:color w:val="1B2A4A"/>
          <w:sz w:val="18"/>
          <w:szCs w:val="18"/>
        </w:rPr>
        <w:t xml:space="preserve">§10.1  </w:t>
      </w:r>
      <w:r>
        <w:rPr>
          <w:rFonts w:ascii="Garamond" w:cs="Garamond" w:eastAsia="Garamond" w:hAnsi="Garamond"/>
          <w:b/>
          <w:bCs/>
          <w:i w:val="false"/>
          <w:iCs w:val="false"/>
          <w:color w:val="1B2A4A"/>
          <w:sz w:val="22"/>
          <w:szCs w:val="22"/>
        </w:rPr>
        <w:t xml:space="preserve">National Record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while the SC reviews the restriction; the SC must rule within 14 days; the record is permanently restored unless the SC confirms the restriction on the narrowest possible grounds.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pPr>
        <w:spacing w:after="60" w:before="200"/>
        <w:ind w:left="431"/>
        <w:jc w:val="left"/>
      </w:pPr>
      <w:r>
        <w:rPr>
          <w:rFonts w:ascii="Courier New" w:cs="Courier New" w:eastAsia="Courier New" w:hAnsi="Courier New"/>
          <w:b/>
          <w:bCs/>
          <w:color w:val="1B2A4A"/>
          <w:sz w:val="18"/>
          <w:szCs w:val="18"/>
        </w:rPr>
        <w:t xml:space="preserve">§10.2  </w:t>
      </w:r>
      <w:r>
        <w:rPr>
          <w:rFonts w:ascii="Garamond" w:cs="Garamond" w:eastAsia="Garamond" w:hAnsi="Garamond"/>
          <w:b/>
          <w:bCs/>
          <w:i w:val="false"/>
          <w:iCs w:val="false"/>
          <w:color w:val="1B2A4A"/>
          <w:sz w:val="22"/>
          <w:szCs w:val="22"/>
        </w:rPr>
        <w:t xml:space="preserve">NRS and Electoral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electoral records — voter registration, ballot counts, audit trails, certification documents — must be published to the NRS within the timeframes specified by the Elections Panel's constitutional mandate under Article XI. No classification exception applies to electoral records.</w:t>
      </w:r>
    </w:p>
    <w:p>
      <w:pPr>
        <w:spacing w:after="60" w:before="200"/>
        <w:ind w:left="431"/>
        <w:jc w:val="left"/>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Classification Criteria</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w:t>
      </w:r>
    </w:p>
    <w:p>
      <w:pPr>
        <w:spacing w:after="60" w:before="200"/>
        <w:ind w:left="431"/>
        <w:jc w:val="left"/>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Duration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pPr>
        <w:spacing w:after="60" w:before="200"/>
        <w:jc w:val="left"/>
      </w:pPr>
      <w:r>
        <w:rPr>
          <w:rFonts w:ascii="Garamond" w:cs="Garamond" w:eastAsia="Garamond" w:hAnsi="Garamond"/>
          <w:b/>
          <w:bCs/>
          <w:i w:val="false"/>
          <w:iCs w:val="false"/>
          <w:color w:val="1B2A4A"/>
          <w:sz w:val="34"/>
          <w:szCs w:val="34"/>
        </w:rPr>
        <w:t xml:space="preserve">Article XI — NRS Panel and Elections Panel</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NRS Panel and Elections Panel</w:t>
      </w:r>
    </w:p>
    <w:p>
      <w:pPr>
        <w:spacing w:after="120" w:before="0"/>
        <w:ind w:left="431"/>
        <w:jc w:val="both"/>
      </w:pPr>
      <w:r>
        <w:rPr>
          <w:rFonts w:ascii="Garamond" w:cs="Garamond" w:eastAsia="Garamond" w:hAnsi="Garamond"/>
          <w:b w:val="false"/>
          <w:bCs w:val="false"/>
          <w:i w:val="false"/>
          <w:iCs w:val="false"/>
          <w:color w:val="2a2520"/>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§7.3.a.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Panel Emergency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by statute a procedure for each panel to adopt temporary technical measures in response to imminent security threats or system failures within its domain; emergency measures may not change electoral rules, timelines, or NRS record permanence; they expire within 72 hours unless the seated members of the panel ratify them by majority vote of those able to act. The Legislature must by statute establish the transition from any predecessor voting infrastructure to the constitutionally required NVS, ensuring no gap in democratic participation.</w:t>
      </w:r>
    </w:p>
    <w:p>
      <w:pPr>
        <w:spacing w:after="60" w:before="200"/>
        <w:jc w:val="left"/>
      </w:pPr>
      <w:r>
        <w:rPr>
          <w:rFonts w:ascii="Garamond" w:cs="Garamond" w:eastAsia="Garamond" w:hAnsi="Garamond"/>
          <w:b/>
          <w:bCs/>
          <w:i w:val="false"/>
          <w:iCs w:val="false"/>
          <w:color w:val="1B2A4A"/>
          <w:sz w:val="34"/>
          <w:szCs w:val="34"/>
        </w:rPr>
        <w:t xml:space="preserve">Article XII — Social State and Economic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The Social State and Monetary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 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§12.2  </w:t>
      </w:r>
      <w:r>
        <w:rPr>
          <w:rFonts w:ascii="Garamond" w:cs="Garamond" w:eastAsia="Garamond" w:hAnsi="Garamond"/>
          <w:b/>
          <w:bCs/>
          <w:i w:val="false"/>
          <w:iCs w:val="false"/>
          <w:color w:val="1B2A4A"/>
          <w:sz w:val="22"/>
          <w:szCs w:val="22"/>
        </w:rPr>
        <w:t xml:space="preserve">Fiscal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the functions protected under §2.15;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§12.3  </w:t>
      </w:r>
      <w:r>
        <w:rPr>
          <w:rFonts w:ascii="Garamond" w:cs="Garamond" w:eastAsia="Garamond" w:hAnsi="Garamond"/>
          <w:b/>
          <w:bCs/>
          <w:i w:val="false"/>
          <w:iCs w:val="false"/>
          <w:color w:val="1B2A4A"/>
          <w:sz w:val="22"/>
          <w:szCs w:val="22"/>
        </w:rPr>
        <w:t xml:space="preserve">Taxing Power and National Revenue Fund</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has exclusive authority to levy taxes, duties, and tariffs by statute; no other body may impose a tax, duty, or levy. All public money received by the Republic — including tax revenue, fees, and other receipts — is deposited into the National Revenue Fund. No money may be withdrawn from the National Revenue Fund except by legislative appropriation under §12.2; the EM audits the Fund’s receipts and disbursements as part of its annual fiscal mandate. No tax may discriminate on the basis of the characteristics listed in §1.6. The Legislature sets tax rates for all jurisdictions within the Republic, including States and Territories. Tariff rates established by a ratified treaty under §3.6 constitute legislatively authorized rates for the duration of that treaty; the Legislature may set tariff schedules within which the Legat Consul may negotiate specific rates.</w:t>
      </w:r>
    </w:p>
    <w:p>
      <w:pPr>
        <w:spacing w:after="60" w:before="200"/>
        <w:ind w:left="431"/>
        <w:jc w:val="left"/>
      </w:pPr>
      <w:r>
        <w:rPr>
          <w:rFonts w:ascii="Courier New" w:cs="Courier New" w:eastAsia="Courier New" w:hAnsi="Courier New"/>
          <w:b/>
          <w:bCs/>
          <w:color w:val="1B2A4A"/>
          <w:sz w:val="18"/>
          <w:szCs w:val="18"/>
        </w:rPr>
        <w:t xml:space="preserve">§12.4  </w:t>
      </w:r>
      <w:r>
        <w:rPr>
          <w:rFonts w:ascii="Garamond" w:cs="Garamond" w:eastAsia="Garamond" w:hAnsi="Garamond"/>
          <w:b/>
          <w:bCs/>
          <w:i w:val="false"/>
          <w:iCs w:val="false"/>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constitutional officers must disclose all financial interests, holdings, income sources, and liabilities to the EM within the period defined by statute after taking office and annually thereafter; disclosure records are published to the NRS. Any officer with a direct financial interest in a decision within their authority must recuse themselves; recusal is self-executing. Any decision made without required recusal is voidable; the relevant chamber may void the decision by simple majority within 90 days of the conflict becoming known or an EM finding of conflict, whichever is earlier. Constitutional officers may not, for a period defined by statute after leaving office — which may not be less than two years — engage in any activity that monetizes or draws on non-public information, relationships, or access accumulated during service; the EM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 EM and deposited with the relevant treasury. All records created in the exercise of official functions are public records and may not be retained, destroyed, or removed by departing officers. The EM investigates alleged violations and publishes findings to the NRS; where findings warrant further action, the EM refers to the appropriate authority.</w:t>
      </w:r>
    </w:p>
    <w:p>
      <w:pPr>
        <w:spacing w:after="60" w:before="200"/>
        <w:ind w:left="431"/>
        <w:jc w:val="left"/>
      </w:pPr>
      <w:r>
        <w:rPr>
          <w:rFonts w:ascii="Courier New" w:cs="Courier New" w:eastAsia="Courier New" w:hAnsi="Courier New"/>
          <w:b/>
          <w:bCs/>
          <w:color w:val="1B2A4A"/>
          <w:sz w:val="18"/>
          <w:szCs w:val="18"/>
        </w:rPr>
        <w:t xml:space="preserve">§12.5  </w:t>
      </w:r>
      <w:r>
        <w:rPr>
          <w:rFonts w:ascii="Garamond" w:cs="Garamond" w:eastAsia="Garamond" w:hAnsi="Garamond"/>
          <w:b/>
          <w:bCs/>
          <w:i w:val="false"/>
          <w:iCs w:val="false"/>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§12.6  </w:t>
      </w:r>
      <w:r>
        <w:rPr>
          <w:rFonts w:ascii="Garamond" w:cs="Garamond" w:eastAsia="Garamond" w:hAnsi="Garamond"/>
          <w:b/>
          <w:bCs/>
          <w:i w:val="false"/>
          <w:iCs w:val="false"/>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 Departures from ordinary professional standards require a demonstrable operational need, documented and published to the NRS, and are limited to the minimum extent that need requires.</w:t>
      </w:r>
    </w:p>
    <w:p>
      <w:pPr>
        <w:spacing w:after="8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i w:val="false"/>
          <w:iCs w:val="false"/>
          <w:color w:val="1B2A4A"/>
          <w:sz w:val="22"/>
          <w:szCs w:val="22"/>
        </w:rPr>
        <w:t xml:space="preserve">Internal Commerce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State or Territory may impose requirements on goods, services, or economic activity originating in another State or Territory that are more burdensome than those applied to its own. The Legislature may establish uniform internal commerce standards by statute.</w:t>
      </w:r>
    </w:p>
    <w:p>
      <w:pPr>
        <w:spacing w:after="8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i w:val="false"/>
          <w:iCs w:val="false"/>
          <w:color w:val="1B2A4A"/>
          <w:sz w:val="22"/>
          <w:szCs w:val="22"/>
        </w:rPr>
        <w:t xml:space="preserve">Fiscal Equalization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w:t>
      </w:r>
    </w:p>
    <w:p>
      <w:pPr>
        <w:spacing w:after="60" w:before="200"/>
        <w:jc w:val="left"/>
      </w:pPr>
      <w:r>
        <w:rPr>
          <w:rFonts w:ascii="Garamond" w:cs="Garamond" w:eastAsia="Garamond" w:hAnsi="Garamond"/>
          <w:b/>
          <w:bCs/>
          <w:i w:val="false"/>
          <w:iCs w:val="false"/>
          <w:color w:val="1B2A4A"/>
          <w:sz w:val="34"/>
          <w:szCs w:val="34"/>
        </w:rPr>
        <w:t xml:space="preserve">Article XIII — Direct Democracy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§13.1  </w:t>
      </w:r>
      <w:r>
        <w:rPr>
          <w:rFonts w:ascii="Garamond" w:cs="Garamond" w:eastAsia="Garamond" w:hAnsi="Garamond"/>
          <w:b/>
          <w:bCs/>
          <w:i w:val="false"/>
          <w:iCs w:val="false"/>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not to exceed 50%, repeals the law immediately upon certification. A failed referendum may not be re-initiated on the same or substantially similar grounds; the Legislature may re-enact a repealed law, which is again subject to referendum.</w:t>
      </w:r>
    </w:p>
    <w:p>
      <w:pPr>
        <w:spacing w:after="60" w:before="200"/>
        <w:ind w:left="431"/>
        <w:jc w:val="left"/>
      </w:pPr>
      <w:r>
        <w:rPr>
          <w:rFonts w:ascii="Courier New" w:cs="Courier New" w:eastAsia="Courier New" w:hAnsi="Courier New"/>
          <w:b/>
          <w:bCs/>
          <w:color w:val="1B2A4A"/>
          <w:sz w:val="18"/>
          <w:szCs w:val="18"/>
        </w:rPr>
        <w:t xml:space="preserve">§13.2  </w:t>
      </w:r>
      <w:r>
        <w:rPr>
          <w:rFonts w:ascii="Garamond" w:cs="Garamond" w:eastAsia="Garamond" w:hAnsi="Garamond"/>
          <w:b/>
          <w:bCs/>
          <w:i w:val="false"/>
          <w:iCs w:val="false"/>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pPr>
        <w:spacing w:after="60" w:before="200"/>
        <w:ind w:left="431"/>
        <w:jc w:val="left"/>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the Judicial Track (§9.14.a). The Legislature may not set a higher or lower threshold for any direct electoral supermajority determination without a constitutional amendment. This provision does not govern the optional referendum under §13.1 or the citizen legislative initiative under §13.2, which state their own thresholds; it governs determinations that require constitutional supermajority democratic consent.</w:t>
      </w:r>
    </w:p>
    <w:p>
      <w:pPr>
        <w:spacing w:after="60" w:before="200"/>
        <w:jc w:val="left"/>
      </w:pPr>
      <w:r>
        <w:rPr>
          <w:rFonts w:ascii="Garamond" w:cs="Garamond" w:eastAsia="Garamond" w:hAnsi="Garamond"/>
          <w:b/>
          <w:bCs/>
          <w:i w:val="false"/>
          <w:iCs w:val="false"/>
          <w:color w:val="1B2A4A"/>
          <w:sz w:val="34"/>
          <w:szCs w:val="34"/>
        </w:rPr>
        <w:t xml:space="preserve">Article XIV — Military Authorization and Accountability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§14.1  </w:t>
      </w:r>
      <w:r>
        <w:rPr>
          <w:rFonts w:ascii="Garamond" w:cs="Garamond" w:eastAsia="Garamond" w:hAnsi="Garamond"/>
          <w:b/>
          <w:bCs/>
          <w:i w:val="false"/>
          <w:iCs w:val="false"/>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pPr>
        <w:spacing w:after="60" w:before="200"/>
        <w:ind w:left="431"/>
        <w:jc w:val="left"/>
      </w:pPr>
      <w:r>
        <w:rPr>
          <w:rFonts w:ascii="Courier New" w:cs="Courier New" w:eastAsia="Courier New" w:hAnsi="Courier New"/>
          <w:b/>
          <w:bCs/>
          <w:color w:val="1B2A4A"/>
          <w:sz w:val="18"/>
          <w:szCs w:val="18"/>
        </w:rPr>
        <w:t xml:space="preserve">§14.2  </w:t>
      </w:r>
      <w:r>
        <w:rPr>
          <w:rFonts w:ascii="Garamond" w:cs="Garamond" w:eastAsia="Garamond" w:hAnsi="Garamond"/>
          <w:b/>
          <w:bCs/>
          <w:i w:val="false"/>
          <w:iCs w:val="false"/>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expenditure requires legislative authorization under §14.1 and budget passage under §2.5; the Legat Consul executes that funding. Where authorization specifies categories or amounts, the Legat Consul is bound by them; otherwise, the Legat Consul determines allocation within the authorized total.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pPr>
        <w:spacing w:after="60" w:before="200"/>
        <w:ind w:left="431"/>
        <w:jc w:val="left"/>
      </w:pPr>
      <w:r>
        <w:rPr>
          <w:rFonts w:ascii="Courier New" w:cs="Courier New" w:eastAsia="Courier New" w:hAnsi="Courier New"/>
          <w:b/>
          <w:bCs/>
          <w:color w:val="1B2A4A"/>
          <w:sz w:val="18"/>
          <w:szCs w:val="18"/>
        </w:rPr>
        <w:t xml:space="preserve">§14.3  </w:t>
      </w:r>
      <w:r>
        <w:rPr>
          <w:rFonts w:ascii="Garamond" w:cs="Garamond" w:eastAsia="Garamond" w:hAnsi="Garamond"/>
          <w:b/>
          <w:bCs/>
          <w:i w:val="false"/>
          <w:iCs w:val="false"/>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the period defined by statute after legislative military authorization is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pPr>
        <w:spacing w:after="60" w:before="200"/>
        <w:ind w:left="431"/>
        <w:jc w:val="left"/>
      </w:pPr>
      <w:r>
        <w:rPr>
          <w:rFonts w:ascii="Courier New" w:cs="Courier New" w:eastAsia="Courier New" w:hAnsi="Courier New"/>
          <w:b/>
          <w:bCs/>
          <w:color w:val="1B2A4A"/>
          <w:sz w:val="18"/>
          <w:szCs w:val="18"/>
        </w:rPr>
        <w:t xml:space="preserve">§14.4  </w:t>
      </w:r>
      <w:r>
        <w:rPr>
          <w:rFonts w:ascii="Garamond" w:cs="Garamond" w:eastAsia="Garamond" w:hAnsi="Garamond"/>
          <w:b/>
          <w:bCs/>
          <w:i w:val="false"/>
          <w:iCs w:val="false"/>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authorization, and the action proceeds under the ordinary terms of this Article from that point. Absent an affirmative vote within the 30-day period, §14.2’s expiration and wind-down provisions apply.</w:t>
      </w:r>
    </w:p>
    <w:p>
      <w:pPr>
        <w:spacing w:after="60" w:before="200"/>
        <w:jc w:val="left"/>
      </w:pPr>
      <w:r>
        <w:rPr>
          <w:rFonts w:ascii="Garamond" w:cs="Garamond" w:eastAsia="Garamond" w:hAnsi="Garamond"/>
          <w:b/>
          <w:bCs/>
          <w:i w:val="false"/>
          <w:iCs w:val="false"/>
          <w:color w:val="1B2A4A"/>
          <w:sz w:val="34"/>
          <w:szCs w:val="34"/>
        </w:rPr>
        <w:t xml:space="preserve">Article XV — Territorial Structure and Statehood</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§15.1  </w:t>
      </w:r>
      <w:r>
        <w:rPr>
          <w:rFonts w:ascii="Garamond" w:cs="Garamond" w:eastAsia="Garamond" w:hAnsi="Garamond"/>
          <w:b/>
          <w:bCs/>
          <w:i w:val="false"/>
          <w:iCs w:val="false"/>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1B2A4A"/>
          <w:sz w:val="18"/>
          <w:szCs w:val="18"/>
        </w:rPr>
        <w:t xml:space="preserve">§15.2  </w:t>
      </w:r>
      <w:r>
        <w:rPr>
          <w:rFonts w:ascii="Garamond" w:cs="Garamond" w:eastAsia="Garamond" w:hAnsi="Garamond"/>
          <w:b/>
          <w:bCs/>
          <w:i w:val="false"/>
          <w:iCs w:val="false"/>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color w:val="1B2A4A"/>
          <w:sz w:val="18"/>
          <w:szCs w:val="18"/>
        </w:rPr>
        <w:t xml:space="preserve">§15.3  </w:t>
      </w:r>
      <w:r>
        <w:rPr>
          <w:rFonts w:ascii="Garamond" w:cs="Garamond" w:eastAsia="Garamond" w:hAnsi="Garamond"/>
          <w:b/>
          <w:bCs/>
          <w:i w:val="false"/>
          <w:iCs w:val="false"/>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two paths: a two-year federal remediation commission, or Provisional status.
A State in Provisional status retains its existing governing structure and continues under the Statehood Audit cycle; passing the Statehood Audit restores full Statehood immediately, with no additional vote required. Where Provisional status continues for one year without a passed audit, citizens vote, administered by the Elections Panel under Article XI, on the principle of pursuing devolution, on the same terms as §15.4’s voluntary process. An affirmative vote proceeds through negotiation and Senate ratification under §15.4; absent an affirmative vote, the State continues in Provisional status under this section.
Sitting senators complete their current elected terms — Senate seats are not vacated — but no new Senate elections may be held while a State remains in Provisional status or after devolution takes effect, until Statehood is restored; existing Assembly members complete their current terms; Article I rights and social state protections continue without interruption.
Within 30 days of a State entering Provisional status, the affected State may petition the SC on the sole ground that the audit findings are factually insufficient to establish three consecutive failures; the Court reviews only the factual basis and must rule within 14 days.</w:t>
      </w:r>
    </w:p>
    <w:p>
      <w:pPr>
        <w:spacing w:after="60" w:before="200"/>
        <w:ind w:left="431"/>
        <w:jc w:val="left"/>
      </w:pPr>
      <w:r>
        <w:rPr>
          <w:rFonts w:ascii="Courier New" w:cs="Courier New" w:eastAsia="Courier New" w:hAnsi="Courier New"/>
          <w:b/>
          <w:bCs/>
          <w:color w:val="1B2A4A"/>
          <w:sz w:val="18"/>
          <w:szCs w:val="18"/>
        </w:rPr>
        <w:t xml:space="preserve">§15.4  </w:t>
      </w:r>
      <w:r>
        <w:rPr>
          <w:rFonts w:ascii="Garamond" w:cs="Garamond" w:eastAsia="Garamond" w:hAnsi="Garamond"/>
          <w:b/>
          <w:bCs/>
          <w:i w:val="false"/>
          <w:iCs w:val="false"/>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Senate approval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color w:val="1B2A4A"/>
          <w:sz w:val="18"/>
          <w:szCs w:val="18"/>
        </w:rPr>
        <w:t xml:space="preserve">§15.5  </w:t>
      </w:r>
      <w:r>
        <w:rPr>
          <w:rFonts w:ascii="Garamond" w:cs="Garamond" w:eastAsia="Garamond" w:hAnsi="Garamond"/>
          <w:b/>
          <w:bCs/>
          <w:i w:val="false"/>
          <w:iCs w:val="false"/>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resulting from mandatory or voluntary devolution enters the Statehood re-qualification pathway under §15.2 immediately upon the effective date of devolution. No additional political vote is required to begin the pathway. Where a defined geographic subdivision of the Territory separately achieves Statehood under §15.2 or merges with an existing State under §15.4, the remainder continues under this section without interruption or loss of any progress already accrued toward re-qualification.</w:t>
      </w:r>
    </w:p>
    <w:p>
      <w:pPr>
        <w:spacing w:after="60" w:before="200"/>
        <w:ind w:left="431"/>
        <w:jc w:val="left"/>
      </w:pPr>
      <w:r>
        <w:rPr>
          <w:rFonts w:ascii="Courier New" w:cs="Courier New" w:eastAsia="Courier New" w:hAnsi="Courier New"/>
          <w:b/>
          <w:bCs/>
          <w:color w:val="1B2A4A"/>
          <w:sz w:val="18"/>
          <w:szCs w:val="18"/>
        </w:rPr>
        <w:t xml:space="preserve">§15.6  </w:t>
      </w:r>
      <w:r>
        <w:rPr>
          <w:rFonts w:ascii="Garamond" w:cs="Garamond" w:eastAsia="Garamond" w:hAnsi="Garamond"/>
          <w:b/>
          <w:bCs/>
          <w:i w:val="false"/>
          <w:iCs w:val="false"/>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§1.19.b before that ratification vote; published JM findings must be given due consideration. Any person with standing may challenge the incorporation before the SC on the ground that the entity systematically violates §1.19.b.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pPr>
        <w:spacing w:after="60" w:before="200"/>
        <w:ind w:left="431"/>
        <w:jc w:val="left"/>
      </w:pPr>
      <w:r>
        <w:rPr>
          <w:rFonts w:ascii="Courier New" w:cs="Courier New" w:eastAsia="Courier New" w:hAnsi="Courier New"/>
          <w:b/>
          <w:bCs/>
          <w:color w:val="1B2A4A"/>
          <w:sz w:val="18"/>
          <w:szCs w:val="18"/>
        </w:rPr>
        <w:t xml:space="preserve">§15.7  </w:t>
      </w:r>
      <w:r>
        <w:rPr>
          <w:rFonts w:ascii="Garamond" w:cs="Garamond" w:eastAsia="Garamond" w:hAnsi="Garamond"/>
          <w:b/>
          <w:bCs/>
          <w:i w:val="false"/>
          <w:iCs w:val="false"/>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pPr>
        <w:spacing w:after="60" w:before="200"/>
        <w:ind w:left="431"/>
        <w:jc w:val="left"/>
      </w:pPr>
      <w:r>
        <w:rPr>
          <w:rFonts w:ascii="Courier New" w:cs="Courier New" w:eastAsia="Courier New" w:hAnsi="Courier New"/>
          <w:b/>
          <w:bCs/>
          <w:color w:val="1B2A4A"/>
          <w:sz w:val="18"/>
          <w:szCs w:val="18"/>
        </w:rPr>
        <w:t xml:space="preserve">§15.8  </w:t>
      </w:r>
      <w:r>
        <w:rPr>
          <w:rFonts w:ascii="Garamond" w:cs="Garamond" w:eastAsia="Garamond" w:hAnsi="Garamond"/>
          <w:b/>
          <w:bCs/>
          <w:i w:val="false"/>
          <w:iCs w:val="false"/>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jc w:val="left"/>
      </w:pPr>
      <w:r>
        <w:rPr>
          <w:rFonts w:ascii="Garamond" w:cs="Garamond" w:eastAsia="Garamond" w:hAnsi="Garamond"/>
          <w:b/>
          <w:bCs/>
          <w:i w:val="false"/>
          <w:iCs w:val="false"/>
          <w:color w:val="1B2A4A"/>
          <w:sz w:val="34"/>
          <w:szCs w:val="34"/>
        </w:rPr>
        <w:t xml:space="preserve">Article XVI — Indigenous Sovereignty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§16.1  </w:t>
      </w:r>
      <w:r>
        <w:rPr>
          <w:rFonts w:ascii="Garamond" w:cs="Garamond" w:eastAsia="Garamond" w:hAnsi="Garamond"/>
          <w:b/>
          <w:bCs/>
          <w:i w:val="false"/>
          <w:iCs w:val="false"/>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pPr>
        <w:spacing w:after="60" w:before="200"/>
        <w:ind w:left="431"/>
        <w:jc w:val="left"/>
      </w:pPr>
      <w:r>
        <w:rPr>
          <w:rFonts w:ascii="Courier New" w:cs="Courier New" w:eastAsia="Courier New" w:hAnsi="Courier New"/>
          <w:b/>
          <w:bCs/>
          <w:color w:val="1B2A4A"/>
          <w:sz w:val="18"/>
          <w:szCs w:val="18"/>
        </w:rPr>
        <w:t xml:space="preserve">§16.2  </w:t>
      </w:r>
      <w:r>
        <w:rPr>
          <w:rFonts w:ascii="Garamond" w:cs="Garamond" w:eastAsia="Garamond" w:hAnsi="Garamond"/>
          <w:b/>
          <w:bCs/>
          <w:i w:val="false"/>
          <w:iCs w:val="false"/>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Legat Consul, with JM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1B2A4A"/>
          <w:sz w:val="18"/>
          <w:szCs w:val="18"/>
        </w:rPr>
        <w:t xml:space="preserve">§16.3  </w:t>
      </w:r>
      <w:r>
        <w:rPr>
          <w:rFonts w:ascii="Garamond" w:cs="Garamond" w:eastAsia="Garamond" w:hAnsi="Garamond"/>
          <w:b/>
          <w:bCs/>
          <w:i w:val="false"/>
          <w:iCs w:val="false"/>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pPr>
        <w:spacing w:after="60" w:before="200"/>
        <w:ind w:left="431"/>
        <w:jc w:val="left"/>
      </w:pPr>
      <w:r>
        <w:rPr>
          <w:rFonts w:ascii="Courier New" w:cs="Courier New" w:eastAsia="Courier New" w:hAnsi="Courier New"/>
          <w:b/>
          <w:bCs/>
          <w:color w:val="1B2A4A"/>
          <w:sz w:val="18"/>
          <w:szCs w:val="18"/>
        </w:rPr>
        <w:t xml:space="preserve">§16.4  </w:t>
      </w:r>
      <w:r>
        <w:rPr>
          <w:rFonts w:ascii="Garamond" w:cs="Garamond" w:eastAsia="Garamond" w:hAnsi="Garamond"/>
          <w:b/>
          <w:bCs/>
          <w:i w:val="false"/>
          <w:iCs w:val="false"/>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compact establishes a working mechanism for implementation and day-to-day administration in a form the parties agree. The Legat Consul designates a ministerial counterpart within the Legat Consul’s office for each compact or treaty relationship recognized under this Article; this designation is published to the NRS. Disputes not resolved through the compact’s working mechanism are referred to independent adjudication on terms the compact specifies. Constitutional questions arising from compact interpretation are appealed to the SC, which must rule within 90 days of petition; where the SC fails to rule within 90 days, the Nation’s position is upheld by constitutional operation pending any subsequent ruling.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§16.7.a if no treaty is concluded.</w:t>
      </w:r>
    </w:p>
    <w:p>
      <w:pPr>
        <w:spacing w:after="60" w:before="200"/>
        <w:ind w:left="431"/>
        <w:jc w:val="left"/>
      </w:pPr>
      <w:r>
        <w:rPr>
          <w:rFonts w:ascii="Courier New" w:cs="Courier New" w:eastAsia="Courier New" w:hAnsi="Courier New"/>
          <w:b/>
          <w:bCs/>
          <w:color w:val="1B2A4A"/>
          <w:sz w:val="18"/>
          <w:szCs w:val="18"/>
        </w:rPr>
        <w:t xml:space="preserve">§16.5  </w:t>
      </w:r>
      <w:r>
        <w:rPr>
          <w:rFonts w:ascii="Garamond" w:cs="Garamond" w:eastAsia="Garamond" w:hAnsi="Garamond"/>
          <w:b/>
          <w:bCs/>
          <w:i w:val="false"/>
          <w:iCs w:val="false"/>
          <w:color w:val="1B2A4A"/>
          <w:sz w:val="22"/>
          <w:szCs w:val="22"/>
        </w:rPr>
        <w:t xml:space="preserve">Federal Obligations and Emergency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where the SC fails to rule within 7 days, the Writ is granted and the alleged violation is treated as confirmed pending full SC review.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color w:val="1B2A4A"/>
          <w:sz w:val="18"/>
          <w:szCs w:val="18"/>
        </w:rPr>
        <w:t xml:space="preserve">§16.6  </w:t>
      </w:r>
      <w:r>
        <w:rPr>
          <w:rFonts w:ascii="Garamond" w:cs="Garamond" w:eastAsia="Garamond" w:hAnsi="Garamond"/>
          <w:b/>
          <w:bCs/>
          <w:i w:val="false"/>
          <w:iCs w:val="false"/>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the ministerial counterpart designated under §16.4 administers the treaty’s institutional functions on an interim basis. A treaty alone does not constitute a compact under this Article; the protections specific to compacts under §16.3 and §16.4 apply only where the Nation holds a compact, and a Nation whose relationship with the Republic rests solely on a predecessor treaty may petition for a compact under §16.2 at any time, on the same terms as a Nation with no prior treaty.</w:t>
      </w:r>
    </w:p>
    <w:p>
      <w:pPr>
        <w:spacing w:after="60" w:before="200"/>
        <w:ind w:left="431"/>
        <w:jc w:val="left"/>
      </w:pPr>
      <w:r>
        <w:rPr>
          <w:rFonts w:ascii="Courier New" w:cs="Courier New" w:eastAsia="Courier New" w:hAnsi="Courier New"/>
          <w:b/>
          <w:bCs/>
          <w:color w:val="1B2A4A"/>
          <w:sz w:val="18"/>
          <w:szCs w:val="18"/>
        </w:rPr>
        <w:t xml:space="preserve">§16.7  </w:t>
      </w:r>
      <w:r>
        <w:rPr>
          <w:rFonts w:ascii="Garamond" w:cs="Garamond" w:eastAsia="Garamond" w:hAnsi="Garamond"/>
          <w:b/>
          <w:bCs/>
          <w:i w:val="false"/>
          <w:iCs w:val="false"/>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recognized under this Article holds the constitutional right to initiate a status transition through its own democratic or traditional governance process. Three status options are available: (a) Continued Status — the Nation’s existing compact or treaty relationship under this Article continues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1B2A4A"/>
          <w:sz w:val="18"/>
          <w:szCs w:val="18"/>
        </w:rPr>
        <w:t xml:space="preserve">§16.7.a  </w:t>
      </w:r>
      <w:r>
        <w:rPr>
          <w:rFonts w:ascii="Garamond" w:cs="Garamond" w:eastAsia="Garamond" w:hAnsi="Garamond"/>
          <w:b/>
          <w:bCs/>
          <w:i w:val="false"/>
          <w:iCs w:val="false"/>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principal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status. Once a Nation has transitioned to Territory or State status, any further changes follow the standard constitutional processes applicable to that status under Articles XIII and XV — including mandatory devolution under §15.3 if three consecutive Statehood Audits are failed. A Territory or State that formerly held Article XVI status has no special pathway back to it;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Article XVI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nations of their rights under §16.7.</w:t>
      </w:r>
    </w:p>
    <w:p>
      <w:pPr>
        <w:spacing w:after="60" w:before="200"/>
        <w:jc w:val="left"/>
      </w:pPr>
      <w:r>
        <w:rPr>
          <w:rFonts w:ascii="Garamond" w:cs="Garamond" w:eastAsia="Garamond" w:hAnsi="Garamond"/>
          <w:b/>
          <w:bCs/>
          <w:i w:val="false"/>
          <w:iCs w:val="false"/>
          <w:color w:val="1B2A4A"/>
          <w:sz w:val="34"/>
          <w:szCs w:val="34"/>
        </w:rPr>
        <w:t xml:space="preserve">Article XVII — Constitutional Amendments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§17.1  </w:t>
      </w:r>
      <w:r>
        <w:rPr>
          <w:rFonts w:ascii="Garamond" w:cs="Garamond" w:eastAsia="Garamond" w:hAnsi="Garamond"/>
          <w:b/>
          <w:bCs/>
          <w:i w:val="false"/>
          <w:iCs w:val="false"/>
          <w:color w:val="1B2A4A"/>
          <w:sz w:val="22"/>
          <w:szCs w:val="22"/>
        </w:rPr>
        <w:t xml:space="preserve">Amendment Paths</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(§9.2–§9.5), the Monitor information-only mandate and non-dependency principle (§9.1), the Monitor funding guarantee (§9.10),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pPr>
        <w:spacing w:after="60" w:before="200"/>
        <w:ind w:left="431"/>
        <w:jc w:val="left"/>
      </w:pPr>
      <w:r>
        <w:rPr>
          <w:rFonts w:ascii="Courier New" w:cs="Courier New" w:eastAsia="Courier New" w:hAnsi="Courier New"/>
          <w:b/>
          <w:bCs/>
          <w:color w:val="1B2A4A"/>
          <w:sz w:val="18"/>
          <w:szCs w:val="18"/>
        </w:rPr>
        <w:t xml:space="preserve">§17.2  </w:t>
      </w:r>
      <w:r>
        <w:rPr>
          <w:rFonts w:ascii="Garamond" w:cs="Garamond" w:eastAsia="Garamond" w:hAnsi="Garamond"/>
          <w:b/>
          <w:bCs/>
          <w:i w:val="false"/>
          <w:iCs w:val="false"/>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i w:val="false"/>
          <w:iCs w:val="false"/>
          <w:color w:val="2a2520"/>
          <w:sz w:val="22"/>
          <w:szCs w:val="22"/>
        </w:rPr>
        <w:t xml:space="preserve">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pPr>
        <w:spacing w:after="60" w:before="200"/>
        <w:ind w:left="431"/>
        <w:jc w:val="left"/>
      </w:pPr>
      <w:r>
        <w:rPr>
          <w:rFonts w:ascii="Courier New" w:cs="Courier New" w:eastAsia="Courier New" w:hAnsi="Courier New"/>
          <w:b/>
          <w:bCs/>
          <w:color w:val="1B2A4A"/>
          <w:sz w:val="18"/>
          <w:szCs w:val="18"/>
        </w:rPr>
        <w:t xml:space="preserve">§17.3  </w:t>
      </w:r>
      <w:r>
        <w:rPr>
          <w:rFonts w:ascii="Garamond" w:cs="Garamond" w:eastAsia="Garamond" w:hAnsi="Garamond"/>
          <w:b/>
          <w:bCs/>
          <w:i w:val="false"/>
          <w:iCs w:val="false"/>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i w:val="false"/>
          <w:iCs w:val="false"/>
          <w:color w:val="2a2520"/>
          <w:sz w:val="22"/>
          <w:szCs w:val="22"/>
        </w:rPr>
        <w:t xml:space="preserve">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on expedited review on petition of any person with standing;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color w:val="1B2A4A"/>
          <w:sz w:val="18"/>
          <w:szCs w:val="18"/>
        </w:rPr>
        <w:t xml:space="preserve">§17.4  </w:t>
      </w:r>
      <w:r>
        <w:rPr>
          <w:rFonts w:ascii="Garamond" w:cs="Garamond" w:eastAsia="Garamond" w:hAnsi="Garamond"/>
          <w:b/>
          <w:bCs/>
          <w:i w:val="false"/>
          <w:iCs w:val="false"/>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spacing w:after="60" w:before="200"/>
        <w:jc w:val="left"/>
      </w:pPr>
      <w:r>
        <w:rPr>
          <w:rFonts w:ascii="Garamond" w:cs="Garamond" w:eastAsia="Garamond" w:hAnsi="Garamond"/>
          <w:b/>
          <w:bCs/>
          <w:i w:val="false"/>
          <w:iCs w:val="false"/>
          <w:color w:val="1B2A4A"/>
          <w:sz w:val="34"/>
          <w:szCs w:val="34"/>
        </w:rPr>
        <w:t xml:space="preserve">Article XVIII — Federal Property and National Trust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§18.1  </w:t>
      </w:r>
      <w:r>
        <w:rPr>
          <w:rFonts w:ascii="Garamond" w:cs="Garamond" w:eastAsia="Garamond" w:hAnsi="Garamond"/>
          <w:b/>
          <w:bCs/>
          <w:i w:val="false"/>
          <w:iCs w:val="false"/>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pPr>
        <w:spacing w:after="60" w:before="200"/>
        <w:ind w:left="431"/>
        <w:jc w:val="left"/>
      </w:pPr>
      <w:r>
        <w:rPr>
          <w:rFonts w:ascii="Courier New" w:cs="Courier New" w:eastAsia="Courier New" w:hAnsi="Courier New"/>
          <w:b/>
          <w:bCs/>
          <w:color w:val="1B2A4A"/>
          <w:sz w:val="18"/>
          <w:szCs w:val="18"/>
        </w:rPr>
        <w:t xml:space="preserve">§18.2  </w:t>
      </w:r>
      <w:r>
        <w:rPr>
          <w:rFonts w:ascii="Garamond" w:cs="Garamond" w:eastAsia="Garamond" w:hAnsi="Garamond"/>
          <w:b/>
          <w:bCs/>
          <w:i w:val="false"/>
          <w:iCs w:val="false"/>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pPr>
        <w:spacing w:after="60" w:before="200"/>
        <w:ind w:left="431"/>
        <w:jc w:val="left"/>
      </w:pPr>
      <w:r>
        <w:rPr>
          <w:rFonts w:ascii="Courier New" w:cs="Courier New" w:eastAsia="Courier New" w:hAnsi="Courier New"/>
          <w:b/>
          <w:bCs/>
          <w:color w:val="1B2A4A"/>
          <w:sz w:val="18"/>
          <w:szCs w:val="18"/>
        </w:rPr>
        <w:t xml:space="preserve">§18.3  </w:t>
      </w:r>
      <w:r>
        <w:rPr>
          <w:rFonts w:ascii="Garamond" w:cs="Garamond" w:eastAsia="Garamond" w:hAnsi="Garamond"/>
          <w:b/>
          <w:bCs/>
          <w:i w:val="false"/>
          <w:iCs w:val="false"/>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color w:val="1B2A4A"/>
          <w:sz w:val="18"/>
          <w:szCs w:val="18"/>
        </w:rPr>
        <w:t xml:space="preserve">§18.4  </w:t>
      </w:r>
      <w:r>
        <w:rPr>
          <w:rFonts w:ascii="Garamond" w:cs="Garamond" w:eastAsia="Garamond" w:hAnsi="Garamond"/>
          <w:b/>
          <w:bCs/>
          <w:i w:val="false"/>
          <w:iCs w:val="false"/>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affirmative support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w:t>
      </w:r>
    </w:p>
    <w:p>
      <w:pPr>
        <w:spacing w:after="60" w:before="200"/>
        <w:ind w:left="431"/>
        <w:jc w:val="left"/>
      </w:pPr>
      <w:r>
        <w:rPr>
          <w:rFonts w:ascii="Courier New" w:cs="Courier New" w:eastAsia="Courier New" w:hAnsi="Courier New"/>
          <w:b/>
          <w:bCs/>
          <w:color w:val="1B2A4A"/>
          <w:sz w:val="18"/>
          <w:szCs w:val="18"/>
        </w:rPr>
        <w:t xml:space="preserve">§18.5  </w:t>
      </w:r>
      <w:r>
        <w:rPr>
          <w:rFonts w:ascii="Garamond" w:cs="Garamond" w:eastAsia="Garamond" w:hAnsi="Garamond"/>
          <w:b/>
          <w:bCs/>
          <w:i w:val="false"/>
          <w:iCs w:val="false"/>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pPr>
        <w:spacing w:after="60" w:before="200"/>
        <w:jc w:val="left"/>
      </w:pPr>
      <w:r>
        <w:rPr>
          <w:rFonts w:ascii="Garamond" w:cs="Garamond" w:eastAsia="Garamond" w:hAnsi="Garamond"/>
          <w:b/>
          <w:bCs/>
          <w:i w:val="false"/>
          <w:iCs w:val="false"/>
          <w:color w:val="1B2A4A"/>
          <w:sz w:val="34"/>
          <w:szCs w:val="34"/>
        </w:rPr>
        <w:t xml:space="preserve">Article XIX — Transition and Ratification</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§19.1  </w:t>
      </w:r>
      <w:r>
        <w:rPr>
          <w:rFonts w:ascii="Garamond" w:cs="Garamond" w:eastAsia="Garamond" w:hAnsi="Garamond"/>
          <w:b/>
          <w:bCs/>
          <w:i w:val="false"/>
          <w:iCs w:val="false"/>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takes effect upon: (1) interim Elections Panel certification that the NVS is operational and meets §11.2; and (2) a national ratification vote achieving 60% affirmative support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pPr>
        <w:spacing w:after="60" w:before="200"/>
        <w:ind w:left="431"/>
        <w:jc w:val="left"/>
      </w:pPr>
      <w:r>
        <w:rPr>
          <w:rFonts w:ascii="Courier New" w:cs="Courier New" w:eastAsia="Courier New" w:hAnsi="Courier New"/>
          <w:b/>
          <w:bCs/>
          <w:color w:val="1B2A4A"/>
          <w:sz w:val="18"/>
          <w:szCs w:val="18"/>
        </w:rPr>
        <w:t xml:space="preserve">§19.2  </w:t>
      </w:r>
      <w:r>
        <w:rPr>
          <w:rFonts w:ascii="Garamond" w:cs="Garamond" w:eastAsia="Garamond" w:hAnsi="Garamond"/>
          <w:b/>
          <w:bCs/>
          <w:i w:val="false"/>
          <w:iCs w:val="false"/>
          <w:color w:val="1B2A4A"/>
          <w:sz w:val="22"/>
          <w:szCs w:val="22"/>
        </w:rPr>
        <w:t xml:space="preserve">Day Zero and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color w:val="1B2A4A"/>
          <w:sz w:val="18"/>
          <w:szCs w:val="18"/>
        </w:rPr>
        <w:t xml:space="preserve">§19.3  </w:t>
      </w:r>
      <w:r>
        <w:rPr>
          <w:rFonts w:ascii="Garamond" w:cs="Garamond" w:eastAsia="Garamond" w:hAnsi="Garamond"/>
          <w:b/>
          <w:bCs/>
          <w:i w:val="false"/>
          <w:iCs w:val="false"/>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pPr>
        <w:spacing w:after="60" w:before="200"/>
        <w:ind w:left="431"/>
        <w:jc w:val="left"/>
      </w:pPr>
      <w:r>
        <w:rPr>
          <w:rFonts w:ascii="Courier New" w:cs="Courier New" w:eastAsia="Courier New" w:hAnsi="Courier New"/>
          <w:b/>
          <w:bCs/>
          <w:color w:val="1B2A4A"/>
          <w:sz w:val="18"/>
          <w:szCs w:val="18"/>
        </w:rPr>
        <w:t xml:space="preserve">§19.4  </w:t>
      </w:r>
      <w:r>
        <w:rPr>
          <w:rFonts w:ascii="Garamond" w:cs="Garamond" w:eastAsia="Garamond" w:hAnsi="Garamond"/>
          <w:b/>
          <w:bCs/>
          <w:i w:val="false"/>
          <w:iCs w:val="false"/>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pPr>
        <w:spacing w:after="60" w:before="200"/>
        <w:ind w:left="431"/>
        <w:jc w:val="left"/>
      </w:pPr>
      <w:r>
        <w:rPr>
          <w:rFonts w:ascii="Courier New" w:cs="Courier New" w:eastAsia="Courier New" w:hAnsi="Courier New"/>
          <w:b/>
          <w:bCs/>
          <w:color w:val="1B2A4A"/>
          <w:sz w:val="18"/>
          <w:szCs w:val="18"/>
        </w:rPr>
        <w:t xml:space="preserve">§19.5  </w:t>
      </w:r>
      <w:r>
        <w:rPr>
          <w:rFonts w:ascii="Garamond" w:cs="Garamond" w:eastAsia="Garamond" w:hAnsi="Garamond"/>
          <w:b/>
          <w:bCs/>
          <w:i w:val="false"/>
          <w:iCs w:val="false"/>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1B2A4A"/>
          <w:sz w:val="18"/>
          <w:szCs w:val="18"/>
        </w:rPr>
        <w:t xml:space="preserve">§19.6  </w:t>
      </w:r>
      <w:r>
        <w:rPr>
          <w:rFonts w:ascii="Garamond" w:cs="Garamond" w:eastAsia="Garamond" w:hAnsi="Garamond"/>
          <w:b/>
          <w:bCs/>
          <w:i w:val="false"/>
          <w:iCs w:val="false"/>
          <w:color w:val="1B2A4A"/>
          <w:sz w:val="22"/>
          <w:szCs w:val="22"/>
        </w:rPr>
        <w:t xml:space="preserve">Transition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Territories or subdivisions meeting the Statehood Audit by Phase 2 end may petition to enter as State or Territory. Those failing the Baseline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60" w:before="200"/>
        <w:ind w:left="431"/>
        <w:jc w:val="left"/>
      </w:pPr>
      <w:r>
        <w:rPr>
          <w:rFonts w:ascii="Courier New" w:cs="Courier New" w:eastAsia="Courier New" w:hAnsi="Courier New"/>
          <w:b/>
          <w:bCs/>
          <w:color w:val="1B2A4A"/>
          <w:sz w:val="18"/>
          <w:szCs w:val="18"/>
        </w:rPr>
        <w:t xml:space="preserve">§19.7  </w:t>
      </w:r>
      <w:r>
        <w:rPr>
          <w:rFonts w:ascii="Garamond" w:cs="Garamond" w:eastAsia="Garamond" w:hAnsi="Garamond"/>
          <w:b/>
          <w:bCs/>
          <w:i w:val="false"/>
          <w:iCs w:val="false"/>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 Where the Civic Consul fails to meet this deadline, the LM publishes a compliance finding to the NRS, and the LM's ongoing audit encompasses the unfilled nomination until it is made.</w:t>
      </w:r>
    </w:p>
    <w:p>
      <w:pPr>
        <w:spacing w:after="60" w:before="200"/>
        <w:ind w:left="431"/>
        <w:jc w:val="left"/>
      </w:pPr>
      <w:r>
        <w:rPr>
          <w:rFonts w:ascii="Courier New" w:cs="Courier New" w:eastAsia="Courier New" w:hAnsi="Courier New"/>
          <w:b/>
          <w:bCs/>
          <w:color w:val="1B2A4A"/>
          <w:sz w:val="18"/>
          <w:szCs w:val="18"/>
        </w:rPr>
        <w:t xml:space="preserve">§19.8  </w:t>
      </w:r>
      <w:r>
        <w:rPr>
          <w:rFonts w:ascii="Garamond" w:cs="Garamond" w:eastAsia="Garamond" w:hAnsi="Garamond"/>
          <w:b/>
          <w:bCs/>
          <w:i w:val="false"/>
          <w:iCs w:val="false"/>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color w:val="1B2A4A"/>
          <w:sz w:val="18"/>
          <w:szCs w:val="18"/>
        </w:rPr>
        <w:t xml:space="preserve">§19.9  </w:t>
      </w:r>
      <w:r>
        <w:rPr>
          <w:rFonts w:ascii="Garamond" w:cs="Garamond" w:eastAsia="Garamond" w:hAnsi="Garamond"/>
          <w:b/>
          <w:bCs/>
          <w:i w:val="false"/>
          <w:iCs w:val="false"/>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§5.1.a,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w:t>
      </w:r>
    </w:p>
    <w:p>
      <w:pPr>
        <w:spacing w:after="60" w:before="200"/>
        <w:jc w:val="left"/>
      </w:pPr>
      <w:r>
        <w:rPr>
          <w:rFonts w:ascii="Garamond" w:cs="Garamond" w:eastAsia="Garamond" w:hAnsi="Garamond"/>
          <w:b/>
          <w:bCs/>
          <w:i w:val="false"/>
          <w:iCs w:val="false"/>
          <w:color w:val="1B2A4A"/>
          <w:sz w:val="34"/>
          <w:szCs w:val="34"/>
        </w:rPr>
        <w:t xml:space="preserve">Article XX — Associated Communities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§20.1  </w:t>
      </w:r>
      <w:r>
        <w:rPr>
          <w:rFonts w:ascii="Garamond" w:cs="Garamond" w:eastAsia="Garamond" w:hAnsi="Garamond"/>
          <w:b/>
          <w:bCs/>
          <w:i w:val="false"/>
          <w:iCs w:val="false"/>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Exclusively for sovereign entities — not a form of State or Territory status, not transitional, not incorporation. Available to sovereign nations — those that have achieved full sovereignty through a status election under §16.7 or through the constitutional amendment process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pPr>
        <w:spacing w:after="60" w:before="200"/>
        <w:ind w:left="431"/>
        <w:jc w:val="left"/>
      </w:pPr>
      <w:r>
        <w:rPr>
          <w:rFonts w:ascii="Courier New" w:cs="Courier New" w:eastAsia="Courier New" w:hAnsi="Courier New"/>
          <w:b/>
          <w:bCs/>
          <w:color w:val="1B2A4A"/>
          <w:sz w:val="18"/>
          <w:szCs w:val="18"/>
        </w:rPr>
        <w:t xml:space="preserve">§20.2  </w:t>
      </w:r>
      <w:r>
        <w:rPr>
          <w:rFonts w:ascii="Garamond" w:cs="Garamond" w:eastAsia="Garamond" w:hAnsi="Garamond"/>
          <w:b/>
          <w:bCs/>
          <w:i w:val="false"/>
          <w:iCs w:val="false"/>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1B2A4A"/>
          <w:sz w:val="18"/>
          <w:szCs w:val="18"/>
        </w:rPr>
        <w:t xml:space="preserve">§20.3  </w:t>
      </w:r>
      <w:r>
        <w:rPr>
          <w:rFonts w:ascii="Garamond" w:cs="Garamond" w:eastAsia="Garamond" w:hAnsi="Garamond"/>
          <w:b/>
          <w:bCs/>
          <w:i w:val="false"/>
          <w:iCs w:val="false"/>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SC review; the SC must rule within 90 days of suspension, and where the SC fails to rule within that period, the suspension lifts and the compact resumes pending any subsequent ruling. The SC may terminate the compact on confirmed violations without remediation within the period the Legislature defines by statute.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SC's determination.</w:t>
      </w:r>
    </w:p>
    <w:p>
      <w:pPr>
        <w:spacing w:after="60" w:before="200"/>
        <w:ind w:left="431"/>
        <w:jc w:val="left"/>
      </w:pPr>
      <w:r>
        <w:rPr>
          <w:rFonts w:ascii="Courier New" w:cs="Courier New" w:eastAsia="Courier New" w:hAnsi="Courier New"/>
          <w:b/>
          <w:bCs/>
          <w:color w:val="1B2A4A"/>
          <w:sz w:val="18"/>
          <w:szCs w:val="18"/>
        </w:rPr>
        <w:t xml:space="preserve">§20.4  </w:t>
      </w:r>
      <w:r>
        <w:rPr>
          <w:rFonts w:ascii="Garamond" w:cs="Garamond" w:eastAsia="Garamond" w:hAnsi="Garamond"/>
          <w:b/>
          <w:bCs/>
          <w:i w:val="false"/>
          <w:iCs w:val="false"/>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1B2A4A"/>
          <w:sz w:val="18"/>
          <w:szCs w:val="18"/>
        </w:rPr>
        <w:t xml:space="preserve">§20.5  </w:t>
      </w:r>
      <w:r>
        <w:rPr>
          <w:rFonts w:ascii="Garamond" w:cs="Garamond" w:eastAsia="Garamond" w:hAnsi="Garamond"/>
          <w:b/>
          <w:bCs/>
          <w:i w:val="false"/>
          <w:iCs w:val="false"/>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1B2A4A"/>
          <w:sz w:val="18"/>
          <w:szCs w:val="18"/>
        </w:rPr>
        <w:t xml:space="preserve">§20.6  </w:t>
      </w:r>
      <w:r>
        <w:rPr>
          <w:rFonts w:ascii="Garamond" w:cs="Garamond" w:eastAsia="Garamond" w:hAnsi="Garamond"/>
          <w:b/>
          <w:bCs/>
          <w:i w:val="false"/>
          <w:iCs w:val="false"/>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1B2A4A"/>
          <w:sz w:val="18"/>
          <w:szCs w:val="18"/>
        </w:rPr>
        <w:t xml:space="preserve">§20.7  </w:t>
      </w:r>
      <w:r>
        <w:rPr>
          <w:rFonts w:ascii="Garamond" w:cs="Garamond" w:eastAsia="Garamond" w:hAnsi="Garamond"/>
          <w:b/>
          <w:bCs/>
          <w:i w:val="false"/>
          <w:iCs w:val="false"/>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6"/>
      </w:pBdr>
      <w:tabs>
        <w:tab w:val="right" w:pos="9026"/>
      </w:tabs>
      <w:spacing w:before="120"/>
    </w:pPr>
    <w:r>
      <w:rPr>
        <w:rFonts w:ascii="Courier New" w:cs="Courier New" w:eastAsia="Courier New" w:hAnsi="Courier New"/>
        <w:b w:val="false"/>
        <w:bCs w:val="false"/>
        <w:color w:val="7a7060"/>
        <w:sz w:val="16"/>
        <w:szCs w:val="16"/>
      </w:rPr>
      <w:t xml:space="preserve">thefederatedrepublic.org</w:t>
    </w:r>
    <w:r>
      <w:rPr>
        <w:rFonts w:ascii="Courier New" w:cs="Courier New" w:eastAsia="Courier New" w:hAnsi="Courier New"/>
        <w:sz w:val="16"/>
        <w:szCs w:val="16"/>
      </w:rPr>
      <w:t xml:space="preserve">	</w:t>
    </w:r>
    <w:r>
      <w:rPr>
        <w:rFonts w:ascii="Courier New" w:cs="Courier New" w:eastAsia="Courier New" w:hAnsi="Courier New"/>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6"/>
      </w:pBdr>
      <w:spacing w:after="120"/>
    </w:pPr>
    <w:r>
      <w:rPr>
        <w:rFonts w:ascii="Courier New" w:cs="Courier New" w:eastAsia="Courier New" w:hAnsi="Courier New"/>
        <w:b w:val="false"/>
        <w:bCs w:val="false"/>
        <w:color w:val="7a706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94051c31ef06174dbc68ab8e9916156b6af9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2026-05-23T15:01:16.339Z</dcterms:created>
  <dcterms:modified xsi:type="dcterms:W3CDTF">2026-05-23T15:01:16.350Z</dcterms:modified>
</cp:coreProperties>
</file>

<file path=docProps/custom.xml><?xml version="1.0" encoding="utf-8"?>
<Properties xmlns="http://schemas.openxmlformats.org/officeDocument/2006/custom-properties" xmlns:vt="http://schemas.openxmlformats.org/officeDocument/2006/docPropsVTypes"/>
</file>