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first to the Senate Speaker, then to the Senate Deputy Speaker, and then to the most senior member of the Senate Armed Services Committee. A successor serves the remainder of the current presidential term; service by succession does not consume the successor's own eligibility to stand at the next election.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at the timeline defined by statute, sufficiently in advance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by the House from a pool of qualified candidates maintained by the Elections Panel at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timeline defined by statute under §1.31;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