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A solvency objection requires an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existing scope of government functions continues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No citizenship may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may be published by the other two Monitors as a non-responsiveness finding to the NRS.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audit findings on the nominee’s disclosure record published to the NRS before the vote — the executives are excluded and neither Speaker can act alone. The JM Monitor General is selected by public lottery from a pool of former judges audited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audited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audited jointly by the LM and JM, sufficiently in advance under the timeline defined by statute under §3.13; confirmed by national popular vote at the next federal electoral period following nomination, by simple majority of votes cast, with JM audit findings on the nominee’s disclosure record published to the NRS before the vote. The same timing and failed-vote provisions apply. Where the Assembly Speaker and Senate Speaker fail to jointly nominate within 60 days of a vacancy being published to the NRS, the Senate selects a nominee from the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SC Candidate Registry,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audit findings are public NRS records at all times. The Joint Monitor Council conducts the draw in a public session, certifies the result jointly, and publishes it to the NRS. Where selection is by deliberate nomination, the named officer nominates from pool members. Where confirmation is required, the Senate must act within the period defined by the establishing provision; failure to confirm within that period is a constitutional compliance breach.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Where the NRS Panel determines by unanimous vote that a record was published in error and its continued availability poses an imminent, specific, and documented threat to individual safety, the NRS Panel may temporarily restrict access for a period not to exceed 30 days while the SC reviews the restriction; the SC must rule within 14 days; the record is permanently restored unless the SC confirms the restriction on the narrowest possible grounds. The original record timestamp and the restriction record both remain as permanent NRS entries.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