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§8.13.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and certified by the JI under §8.13.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certifies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follows §8.13 and eligibility is certified jointly by the EI and LI;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§15.1,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one of three paths: a two-year federal remediation commission; a State-managed remediation plan subject to LI quarterly certification of progress against the published compliance requirements; or devolution to Territory status. The chosen path is published to the NRS. A State-managed plan that fails two consecutive quarterly certifications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Citizen initiative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passage by both chambers for a parliamentary amendment, or within 30 days of LI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