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PM designates a Caretaker PM from the confirmed Cabinet; the designation is published to the NRS and confirmed by the LI. The Senate may, by 2/3 supermajority, designate a serving House member as PM if the House has failed to elect one within the statutory period; House election of a PM by absolute majority terminates any Senate designation. Where no PM has been elected by absolute majority and the Senate has not designated a PM within 45 days of the House failing to elect one within the statutory period, the Elections Panel administers a public dissolution referendum; the question is whether the people wish to dissolve the House and hold a new election; the referendum is administered with a minimum 30-day campaign window; a simple majority decides. If the House elects a PM by absolute majority at any point before the dissolution vote is certified, the referendum is moot and concludes without effect. Where the dissolution vote passes, dissolution takes effect from the moment of Elections Panel certification and is published to the NRS; a new House general election follows under the ordinary electoral process; the Caretaker mechanism continues until the new House elects a PM. Where the PM is temporarily unable to exercise authority, the PM’s designated Caretaker PM serves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withholds assent from a bill passed by both chambers, the PM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PM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assessment published to the NRS,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on grounds of constitutional breach, demonstrated permanent incapacity, or conviction for a disqualifying offense. Either chamber may request a JIC assessment as part of the proceedings; any such assessment is published to the NRS. Under the popular track, a Senate majority may refer the question to a national recall referendum administered within the period defined by statute. The President is removed if the referendum achieves 60% of votes cast under §13.4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EI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§1.23;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Inspectorate,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JI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PM nominates inferior court judges from the pool maintained by the Elections Panel under §9.12.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EI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§9.4.b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assessment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assessed and reported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Inspectorates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§9.4.b and confirms registry status for SC nominees, and conducts annual audits of the Elections Panel for electoral integrity compliance. The JI reviews accommodation compact compliance, Associated Community compact compliance under Article XX, and Article XVI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JIC confirms the designation and both executives are notified immediately; notice does not condition the designation’s effectiveness. Pool membership satisfies the eligibility requirement of §1.22.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§1.22; confirmed by national popular vote at the next federal electoral period following nomination, by simple majority of votes cast. The confirmed successor assumes full IG authority at the precise moment the incumbent’s term concludes under §1.22. If the confirmation vote fails, the §9.1.d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§1.22; confirmed by national popular vote at the next federal electoral period following nomination, by simple majority of votes cast, with JI vetting of the nominee’s disclosure record published before the vote. The same timing and failed-vote provisions apply. Where the House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JI IG is selected by public lottery under §9.12 from the JI Candidate Pool under §9.4.a maintained by the Elections Panel, conducted at the statutory timeline under §1.22,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§1.22. If the confirmation vote fails, the §9.1.d acting mechanism activates and the JIC conducts a new lottery from the pool within 60 days; the same confirmation process applies to the new selection.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§9.14 Standard Track. The Judicial Track under §9.14 is additionally available where two of the three Inspectorates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reported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assess and report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LI.</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EI and LI; the JIC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reports a constitutional compliance breach; the PM may provisionally authorize continued operations for up to 60 days total in two 30-day extensions, each requiring PM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§17.3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Inspectorate assesses and reports on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JI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