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 Placement on the ballot under this section does not constitute standing as a candidate for purposes of §4.4’s restriction; the Temporary Associate Justice may campaign for confirmation once placed.</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the Acting member may exercise all authorities of a full member during that period and the appointment does not affect the ordinary process for filling the vacancy permanently.</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