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100"/>
        <w:jc w:val="center"/>
      </w:pPr>
      <w:r>
        <w:rPr>
          <w:rFonts w:ascii="Garamond" w:cs="Garamond" w:eastAsia="Garamond" w:hAnsi="Garamond"/>
          <w:color w:val="7a7060"/>
          <w:sz w:val="22"/>
          <w:szCs w:val="22"/>
        </w:rPr>
        <w:t xml:space="preserve">May 2026</w:t>
      </w: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r>
        <w:br w:type="page"/>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§1.0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 the constitution leaves to the legislature whether such sentences may include capital punishment. Any method a legislature permits remains subject to §1.2's prohibition on cruel, degrading, or inhumane treatment. The provision specifies that the State's obligations attach from the moment of live birth. This forecloses the argument that §1.1 requires any government to treat a fetus as a constitutional person — though states retain authority to protect fetal life through their own legislative powers. The distinction matters: a state may restrict abortion services through scope of practice regulation under §1.28; it may not claim §1.1 mandates that restriction.</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§1.10.a extends "home" to all physical residences and digital spaces secured by private cryptographic keys; State access requires a precise warrant recorded on the NRS before execution; general warrants are absolutely prohibited. §1.10.b governs eminent domain: requires proof of absolute public necessity, 150% fair market value payment, NRS recording, and prohibits private-to-private transfer.</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requirements (§1.11.b) but may not impose requirements that function as effective prohibitions on lawful ownership (§1.11.c). The burden of proof lies with the State to demonstrate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for personal defense and hunting must not be infringed. The provision is deliberately narrow in scope — personal defense and hunting — which bounds the right without eliminating it.</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§1.13.a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hoursMeasured from the moment of physical custody, not from formal arrest. Clock does not pause for weekends or public holidays.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§1.13.b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 a judicial officer immediately.</w:t>
      </w:r>
    </w:p>
    <w:p>
      <w:pPr>
        <w:spacing w:after="60" w:before="200"/>
        <w:ind w:left="863"/>
      </w:pPr>
      <w:r>
        <w:rPr>
          <w:rFonts w:ascii="Courier New" w:cs="Courier New" w:eastAsia="Courier New" w:hAnsi="Courier New"/>
          <w:b/>
          <w:bCs/>
          <w:color w:val="1B2A4A"/>
          <w:sz w:val="18"/>
          <w:szCs w:val="18"/>
        </w:rPr>
        <w:t xml:space="preserve">§1.13.c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by emergency declaration — it appears in §1.25.b's list of absolutely non-derogable rights.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§1.14.d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 to what the accused can actually pay.</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§1.9.c, this extends to cryptographic keys.</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§1.18.a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§1.18.b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The provision is self-executing: a citizen facing a material barrier may bring a constitutional claim directly in court. The right to democratic participation is the meta-right on which all other constitutional rights depend — a citizenry unable to vote cannot protect any of the other rights this Article guarantees.</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 The protection of children is the one area where the Individual Sovereignty Floor explicitly sets 'the primary' rather than 'a' standard.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Article I's environmental provisions establish two constitutional obligations: Government Non-Harm (§1.22.a) prevents authorities from knowingly exposing communities to environmental hazards without disclosure, consultation, and mitigation; Environmental Stewardship (§1.22.b) creates an enforceable duty to maintain ecological integrity. Together they make environmental protection a constitutional obligation with Inspectorate reporting requirements, not merely a policy preference.</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Federal Education Assistance</w:t>
      </w:r>
    </w:p>
    <w:p>
      <w:pPr>
        <w:spacing w:after="120" w:before="0"/>
        <w:ind w:left="431"/>
        <w:jc w:val="both"/>
      </w:pPr>
      <w:r>
        <w:rPr>
          <w:rFonts w:ascii="Garamond" w:cs="Garamond" w:eastAsia="Garamond" w:hAnsi="Garamond"/>
          <w:color w:val="2a2520"/>
          <w:sz w:val="22"/>
          <w:szCs w:val="22"/>
        </w:rPr>
        <w:t xml:space="preserve">Three interlocking education provisions: §1.23.a requires the Republic to fund education assistance so no child's opportunity depends on their territory's wealth. §1.23.b requires public education to equip students to meet the Constitutional Logic Test standard — education for citizenship is a constitutional obligation. §1.23.c preserves parental choice: the Republic sets the floor; it may not mandate the method.</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§1.23.c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Article I's housing provisions create constitutional barriers to exclusion and a constitutional obligation to provide. The Non-Exclusion Principle (§1.24.a) prohibits exclusionary zoning and any regulatory mechanism designed to keep certain populations out. The BNF Housing Obligation (§1.24.b) anchors housing as a Basic Needs Floor category — persons who cannot independently secure housing are constitutionally entitled to it through the BNF system.</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§1.8.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The Republic's obligation to ensure housing access for persons who cannot independently secure it is part of the Basic Needs Floor under §10.1. This provision anchors housing as a BNF category and makes housing exclusion an enforceable constitutional violation.</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(§1.25.d) without renewal ensures that even a properly declared emergency cannot become a permanent parallel constitutional order through inaction or extension by the same actor who declared it.</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(§1.2); slavery (§1.3); habeas corpus (§1.13); the right to a public trial (§1.17); and no retroactive punishment (§1.18).</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§1.25.d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§1.25.e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The absolute prohibition on returning any person to persecution — one of the six permanently unamendable provisions under §15.3.a. No exception for immigration status, mode of entry, or emergency declaration. The Republic cannot return, expel, or extradite any person to a territory where they face genuine risk of persecution, torture, or deprivation of life based on race, religion, nationality, political opinion, or group membership. This provision is the constitutional foundation of the asylum track in §6.4 — a person who files a §1.27 claim cannot be removed while it is pending.</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 not to the State. The first paragraph establishes this as a constitutional principle: government cannot require or forbid specific treatments in the individual patient-provider relationship. The State's legitimate role is safety and standards: licensing, scope of practice, quality regulation. State governments may regulate which services licensed professionals offer within their jurisdiction — this is the provision that makes state-level restrictions on contested services constitutionally valid. The second paragraph closes extraterritorial reach on four independent grounds: the patient who receives care elsewhere is protected; the person who helps them travel or pay is protected; the provider at home who refers them or provides information is protected; the out-of-state provider who performed the care is protected. All four protections apply to care that was lawful where it was provided. A state may restrict services within its borders; it may not follow its citizens across those borders or reach across to punish those who served them.</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The general right to privacy is the interpretive umbrella over all specific privacy protections in the constitution. A person has the right to privacy in their person, home, communications, associations, health, and personal data — the enumeration signals breadth, not limitation. The general right governs wherever no specific provision addresses the question. The government may abridge it only on a showing of specific, articulable necessity and only to the minimum extent that necessity requires. This formulation is narrower than a pure proportionality test — necessity must be specific and articulable, not merely proportionate to a general state interest. Associational privacy — the right to keep private who you associate with, distinct from freedom of association and from communications content — is pinned for future consideration; the general right provides a constitutional hook in the interim.</w:t>
      </w:r>
    </w:p>
    <w:p>
      <w:pPr>
        <w:spacing w:after="60" w:before="200"/>
        <w:ind w:left="863"/>
      </w:pPr>
      <w:r>
        <w:rPr>
          <w:rFonts w:ascii="Courier New" w:cs="Courier New" w:eastAsia="Courier New" w:hAnsi="Courier New"/>
          <w:b/>
          <w:bCs/>
          <w:color w:val="1B2A4A"/>
          <w:sz w:val="18"/>
          <w:szCs w:val="18"/>
        </w:rPr>
        <w:t xml:space="preserve">§1.29.a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 This provision supplements §1.10.a's home and digital privacy warrant requirement; the more protective standard applies in any conflict. The consolidation under §1.29 gives these protections an explicit privacy grounding rather than a purely procedural one — the search and seizure prohibition is an expression of the right to privacy, not merely a limit on government procedure.</w:t>
      </w:r>
    </w:p>
    <w:p>
      <w:pPr>
        <w:spacing w:after="60" w:before="200"/>
        <w:ind w:left="863"/>
      </w:pPr>
      <w:r>
        <w:rPr>
          <w:rFonts w:ascii="Courier New" w:cs="Courier New" w:eastAsia="Courier New" w:hAnsi="Courier New"/>
          <w:b/>
          <w:bCs/>
          <w:color w:val="1B2A4A"/>
          <w:sz w:val="18"/>
          <w:szCs w:val="18"/>
        </w:rPr>
        <w:t xml:space="preserve">§1.29.b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 This provision is distinct from §1.28 Medical Autonomy — §1.28 protects the right to make medical decisions; §1.29.b protects the privacy of information about those decisions and about a person's health generally. Both apply independently. A government could theoretically comply with §1.28 while violating §1.29.b — respecting a treatment decision while disclosing the health information associated with it. The two provisions close different gaps.</w:t>
      </w:r>
    </w:p>
    <w:p>
      <w:pPr>
        <w:spacing w:after="60" w:before="200"/>
        <w:ind w:left="863"/>
      </w:pPr>
      <w:r>
        <w:rPr>
          <w:rFonts w:ascii="Courier New" w:cs="Courier New" w:eastAsia="Courier New" w:hAnsi="Courier New"/>
          <w:b/>
          <w:bCs/>
          <w:color w:val="1B2A4A"/>
          <w:sz w:val="18"/>
          <w:szCs w:val="18"/>
        </w:rPr>
        <w:t xml:space="preserve">§1.29.c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 without individual identification — is prohibited outright. Private-sector entities cannot be compelled to collect or disclose on government's behalf beyond what independent judicial authorization would permit; this closes the "compelled intermediary" gap where governments use private companies as collection proxies. The Legislature may establish data minimization and retention limits for government-held data. This provision gives the constitution a forward-facing hook for technologies that didn't exist at drafting — whatever form data collection takes, the judicial authorization requirement applies.</w:t>
      </w:r>
    </w:p>
    <w:p>
      <w:pPr>
        <w:spacing w:after="60" w:before="200"/>
        <w:ind w:left="863"/>
      </w:pPr>
      <w:r>
        <w:rPr>
          <w:rFonts w:ascii="Courier New" w:cs="Courier New" w:eastAsia="Courier New" w:hAnsi="Courier New"/>
          <w:b/>
          <w:bCs/>
          <w:color w:val="1B2A4A"/>
          <w:sz w:val="18"/>
          <w:szCs w:val="18"/>
        </w:rPr>
        <w:t xml:space="preserve">§1.29.d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Migrated from §12.3 with language unchanged. All domestic intelligence operations against Republic citizens are permanently prohibited and constitutionally void. Any such order is reported to the NRS by the EI. This prohibition is non-derogable — no emergency, treaty, or statute can suspend it. Placed in Article I rather than Article XII because it is a rights provision, not merely a structural one: §12.3 approached it as an institutional constraint on the intelligence apparatus; §1.29.d grounds it as a right of every person in the Republic. The non-derogable character means it cannot be balanced against the general privacy right's necessity standard — necessity, however compelling, does not justify domestic intelligence operations. This provision goes further than any of the other §1.29 sub-provisions: §1.29.a through §1.29.c can be overridden by specific judicial authorization; §1.29.d cannot be overridden at all.</w:t>
      </w:r>
    </w:p>
    <w:p>
      <w:pPr>
        <w:spacing w:after="60" w:before="200"/>
        <w:ind w:left="863"/>
      </w:pPr>
      <w:r>
        <w:rPr>
          <w:rFonts w:ascii="Courier New" w:cs="Courier New" w:eastAsia="Courier New" w:hAnsi="Courier New"/>
          <w:b/>
          <w:bCs/>
          <w:color w:val="1B2A4A"/>
          <w:sz w:val="18"/>
          <w:szCs w:val="18"/>
        </w:rPr>
        <w:t xml:space="preserve">§1.29.e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The explicit provision that closes the gap between freedom of association (§1.6) and privacy in associations. §1.6 protects the right to associate; §1.29.e protects the right to keep private who you associate with and the fact that you do. A government can comply with §1.6 while violating §1.29.e — it can refrain from prohibiting membership while systematically mapping it. The NAACP v. Alabama problem: compelling a membership list doesn't stop anyone from associating, but it destroys the practical value of the protection. Government mapping of associations — who a person knows, meets, communicates with, or joins — requires the same specific judicial authorization as communications collection under §1.29.c. Bulk mapping is prohibited on the same terms as bulk collection. The general right in §1.29 listed "associations" but didn't specify this protection explicitly; §1.29.e closes that interpretive gap.</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This provision is permanently unamendable (§15.3.a) — no future majority can restore any form of servitude through constitutional amendment, even a unanimous one. The unamendable status reflects the drafters' conclusion that some prohibitions define the minimum conditions of human dignity that democratic government exists to protect. A democracy that permits slavery has abolished the premise on which democratic legitimacy rests. The prohibition extends to all persons within the Republic's jurisdiction, not merely to citizens.</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 §1.4.a prohibits censorship by proxy (government coercion of private entities to suppress speech); §1.4.b establishes separation of church and state and prohibits religious establishment by law.</w:t>
      </w:r>
    </w:p>
    <w:p>
      <w:pPr>
        <w:spacing w:after="60" w:before="200"/>
        <w:ind w:left="863"/>
      </w:pPr>
      <w:r>
        <w:rPr>
          <w:rFonts w:ascii="Courier New" w:cs="Courier New" w:eastAsia="Courier New" w:hAnsi="Courier New"/>
          <w:b/>
          <w:bCs/>
          <w:color w:val="1B2A4A"/>
          <w:sz w:val="18"/>
          <w:szCs w:val="18"/>
        </w:rPr>
        <w:t xml:space="preserve">§1.4.a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The most operationally significant speech protection. Governments that cannot censor directly regularly achieve the same result by threatening, incentivizing, or coercing private platforms and institutions to suppress speech on their behalf. This provision closes that route: a government agent who pressures a private entity to remove speech commits the same constitutional violation as direct censorship — the proxy does not launder the act. The provision applies equally to digital and physical media. It also prohibits viewpoint-based conditions on government benefits, contracts, or licensing.</w:t>
      </w:r>
    </w:p>
    <w:p>
      <w:pPr>
        <w:spacing w:after="60" w:before="200"/>
        <w:ind w:left="863"/>
      </w:pPr>
      <w:r>
        <w:rPr>
          <w:rFonts w:ascii="Courier New" w:cs="Courier New" w:eastAsia="Courier New" w:hAnsi="Courier New"/>
          <w:b/>
          <w:bCs/>
          <w:color w:val="1B2A4A"/>
          <w:sz w:val="18"/>
          <w:szCs w:val="18"/>
        </w:rPr>
        <w:t xml:space="preserve">§1.4.b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§1.8.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 — the means-testing carve-out in this section is the primary application of this lower standard</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Three protections: §1.9.a — absolute right to refuse any medical procedure or biological sampling; no mandate is permissible under any emergency without uncoerced revocable written consent. §1.9.b — individuals own their personal data, likeness, and biometric information; government data collection is subject to strict necessity limits and may not build behavioral profiles. §1.9.c — cryptographic keys are private property; no court or agency may compel their disclosure.</w:t>
      </w:r>
    </w:p>
    <w:p>
      <w:pPr>
        <w:spacing w:after="60" w:before="200"/>
        <w:ind w:left="863"/>
      </w:pPr>
      <w:r>
        <w:rPr>
          <w:rFonts w:ascii="Courier New" w:cs="Courier New" w:eastAsia="Courier New" w:hAnsi="Courier New"/>
          <w:b/>
          <w:bCs/>
          <w:color w:val="1B2A4A"/>
          <w:sz w:val="18"/>
          <w:szCs w:val="18"/>
        </w:rPr>
        <w:t xml:space="preserve">§1.9.a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§1.9.b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§1.9.c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 Absolute rule, consistent with §1.16's self-incrimination prohibition — closes the digital search-and-seizure loophole present in most existing constitutions.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Basic Needs Floor — 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Anti-Evasion Principle</w:t>
      </w:r>
    </w:p>
    <w:p>
      <w:pPr>
        <w:spacing w:after="120" w:before="0"/>
        <w:ind w:left="863"/>
        <w:jc w:val="both"/>
      </w:pPr>
      <w:r>
        <w:rPr>
          <w:rFonts w:ascii="Garamond" w:cs="Garamond" w:eastAsia="Garamond" w:hAnsi="Garamond"/>
          <w:color w:val="2a2520"/>
          <w:sz w:val="22"/>
          <w:szCs w:val="22"/>
        </w:rPr>
        <w:t xml:space="preserve">BNF Funding Reserve — 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Severe Contraction Protocol — Activation</w:t>
      </w:r>
    </w:p>
    <w:p>
      <w:pPr>
        <w:spacing w:after="120" w:before="0"/>
        <w:ind w:left="863"/>
        <w:jc w:val="both"/>
      </w:pPr>
      <w:r>
        <w:rPr>
          <w:rFonts w:ascii="Garamond" w:cs="Garamond" w:eastAsia="Garamond" w:hAnsi="Garamond"/>
          <w:color w:val="2a2520"/>
          <w:sz w:val="22"/>
          <w:szCs w:val="22"/>
        </w:rPr>
        <w:t xml:space="preserve">BNF Non-Discrimination — access to BNF benefits may not be conditioned on citizenship, residency status, political affiliation, or any characteristic protected under §1.8.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Severe Contraction Protocol — Effects</w:t>
      </w:r>
    </w:p>
    <w:p>
      <w:pPr>
        <w:spacing w:after="120" w:before="0"/>
        <w:ind w:left="863"/>
        <w:jc w:val="both"/>
      </w:pPr>
      <w:r>
        <w:rPr>
          <w:rFonts w:ascii="Garamond" w:cs="Garamond" w:eastAsia="Garamond" w:hAnsi="Garamond"/>
          <w:color w:val="2a2520"/>
          <w:sz w:val="22"/>
          <w:szCs w:val="22"/>
        </w:rPr>
        <w:t xml:space="preserve">BNF Administration — 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Contraction Protocol — Parliamentary Review</w:t>
      </w:r>
    </w:p>
    <w:p>
      <w:pPr>
        <w:spacing w:after="120" w:before="0"/>
        <w:ind w:left="863"/>
        <w:jc w:val="both"/>
      </w:pPr>
      <w:r>
        <w:rPr>
          <w:rFonts w:ascii="Garamond" w:cs="Garamond" w:eastAsia="Garamond" w:hAnsi="Garamond"/>
          <w:color w:val="2a2520"/>
          <w:sz w:val="22"/>
          <w:szCs w:val="22"/>
        </w:rPr>
        <w:t xml:space="preserve">Severe Revenue Contraction — 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Federal Supplementation Obligation</w:t>
      </w:r>
    </w:p>
    <w:p>
      <w:pPr>
        <w:spacing w:after="120" w:before="0"/>
        <w:ind w:left="863"/>
        <w:jc w:val="both"/>
      </w:pPr>
      <w:r>
        <w:rPr>
          <w:rFonts w:ascii="Garamond" w:cs="Garamond" w:eastAsia="Garamond" w:hAnsi="Garamond"/>
          <w:color w:val="2a2520"/>
          <w:sz w:val="22"/>
          <w:szCs w:val="22"/>
        </w:rPr>
        <w:t xml:space="preserve">BNF and Emergency Declarations — 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Fiscal Accountability — 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Tax Origination and Fiscal Objection</w:t>
      </w:r>
    </w:p>
    <w:p>
      <w:pPr>
        <w:spacing w:after="120" w:before="0"/>
        <w:ind w:left="863"/>
        <w:jc w:val="both"/>
      </w:pPr>
      <w:r>
        <w:rPr>
          <w:rFonts w:ascii="Garamond" w:cs="Garamond" w:eastAsia="Garamond" w:hAnsi="Garamond"/>
          <w:color w:val="2a2520"/>
          <w:sz w:val="22"/>
          <w:szCs w:val="22"/>
        </w:rPr>
        <w:t xml:space="preserve">Deficit Threshold — 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Annual Budget and Continuation Spending</w:t>
      </w:r>
    </w:p>
    <w:p>
      <w:pPr>
        <w:spacing w:after="120" w:before="0"/>
        <w:ind w:left="863"/>
        <w:jc w:val="both"/>
      </w:pPr>
      <w:r>
        <w:rPr>
          <w:rFonts w:ascii="Garamond" w:cs="Garamond" w:eastAsia="Garamond" w:hAnsi="Garamond"/>
          <w:color w:val="2a2520"/>
          <w:sz w:val="22"/>
          <w:szCs w:val="22"/>
        </w:rPr>
        <w:t xml:space="preserve">National Endowment — 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Public Campaign Financing — 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Campaign Financing Standards — 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BNF and Contraction Exemptions</w:t>
      </w:r>
    </w:p>
    <w:p>
      <w:pPr>
        <w:spacing w:after="120" w:before="0"/>
        <w:ind w:left="863"/>
        <w:jc w:val="both"/>
      </w:pPr>
      <w:r>
        <w:rPr>
          <w:rFonts w:ascii="Garamond" w:cs="Garamond" w:eastAsia="Garamond" w:hAnsi="Garamond"/>
          <w:color w:val="2a2520"/>
          <w:sz w:val="22"/>
          <w:szCs w:val="22"/>
        </w:rPr>
        <w:t xml:space="preserve">Enforcement of Campaign Financing — 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 The elected Director gives the MA democratic legitimacy while the single non-renewable term protects independence — the Director cannot be captured by political interests whose support would secure re-election.</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MA Independence and Mandate — 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Tested under maximum pressure in The Stagflation Years: the SC ruled 6-3 that the Mandate Rebalancing Act was void for attempting to convert the secondary mandate into a co-equal constraint on the primary mandate.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MA Transparency — all MA determinations, rate decisions, board votes, dissents, and mandate analyses must be published to the NRS within 48 hours of the board meeting. Board Member dissents are published alongside the majority determination. The transparency requirement serves as both an accountability mechanism and a credibility tool — the MA's reasoning is permanently visible.</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MA Methodology Integrity — 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Uncertifiable Inherited Fiscal Position — 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Official Benefits</w:t>
      </w:r>
    </w:p>
    <w:p>
      <w:pPr>
        <w:spacing w:after="120" w:before="0"/>
        <w:ind w:left="863"/>
        <w:jc w:val="both"/>
      </w:pPr>
      <w:r>
        <w:rPr>
          <w:rFonts w:ascii="Garamond" w:cs="Garamond" w:eastAsia="Garamond" w:hAnsi="Garamond"/>
          <w:color w:val="2a2520"/>
          <w:sz w:val="22"/>
          <w:szCs w:val="22"/>
        </w:rPr>
        <w:t xml:space="preserve">Personal Financial Disclosure — all elected and appointed constitutional officers must disclose all financial interests, holdings, income sources, and liabilities to the EI within 30 days of taking office and annually thereafter. Disclosure records are published to the NRS.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Financial Disclosure</w:t>
      </w:r>
    </w:p>
    <w:p>
      <w:pPr>
        <w:spacing w:after="120" w:before="0"/>
        <w:ind w:left="863"/>
        <w:jc w:val="both"/>
      </w:pPr>
      <w:r>
        <w:rPr>
          <w:rFonts w:ascii="Garamond" w:cs="Garamond" w:eastAsia="Garamond" w:hAnsi="Garamond"/>
          <w:color w:val="2a2520"/>
          <w:sz w:val="22"/>
          <w:szCs w:val="22"/>
        </w:rPr>
        <w:t xml:space="preserve">Conflict of Interest Recusal — 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Integrity Bans</w:t>
      </w:r>
    </w:p>
    <w:p>
      <w:pPr>
        <w:spacing w:after="120" w:before="0"/>
        <w:ind w:left="863"/>
        <w:jc w:val="both"/>
      </w:pPr>
      <w:r>
        <w:rPr>
          <w:rFonts w:ascii="Garamond" w:cs="Garamond" w:eastAsia="Garamond" w:hAnsi="Garamond"/>
          <w:color w:val="2a2520"/>
          <w:sz w:val="22"/>
          <w:szCs w:val="22"/>
        </w:rPr>
        <w:t xml:space="preserve">Post-Service Restrictions — 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Anti-Ego Provision</w:t>
      </w:r>
    </w:p>
    <w:p>
      <w:pPr>
        <w:spacing w:after="120" w:before="0"/>
        <w:ind w:left="863"/>
        <w:jc w:val="both"/>
      </w:pPr>
      <w:r>
        <w:rPr>
          <w:rFonts w:ascii="Garamond" w:cs="Garamond" w:eastAsia="Garamond" w:hAnsi="Garamond"/>
          <w:color w:val="2a2520"/>
          <w:sz w:val="22"/>
          <w:szCs w:val="22"/>
        </w:rPr>
        <w:t xml:space="preserve">Gift and Hospitality Rules — 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Official Records Retention — 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Official Gifts</w:t>
      </w:r>
    </w:p>
    <w:p>
      <w:pPr>
        <w:spacing w:after="120" w:before="0"/>
        <w:ind w:left="863"/>
        <w:jc w:val="both"/>
      </w:pPr>
      <w:r>
        <w:rPr>
          <w:rFonts w:ascii="Garamond" w:cs="Garamond" w:eastAsia="Garamond" w:hAnsi="Garamond"/>
          <w:color w:val="2a2520"/>
          <w:sz w:val="22"/>
          <w:szCs w:val="22"/>
        </w:rPr>
        <w:t xml:space="preserve">Revolving Door Restriction — 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Official Intellectual Property — 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Oath of Office Requirement</w:t>
      </w:r>
    </w:p>
    <w:p>
      <w:pPr>
        <w:spacing w:after="120" w:before="0"/>
        <w:ind w:left="863"/>
        <w:jc w:val="both"/>
      </w:pPr>
      <w:r>
        <w:rPr>
          <w:rFonts w:ascii="Garamond" w:cs="Garamond" w:eastAsia="Garamond" w:hAnsi="Garamond"/>
          <w:color w:val="2a2520"/>
          <w:sz w:val="22"/>
          <w:szCs w:val="22"/>
        </w:rPr>
        <w:t xml:space="preserve">Ethics Enforcement — 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National Endowment Governance — 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Defense Readiness and Veterans Obligations</w:t>
      </w:r>
    </w:p>
    <w:p>
      <w:pPr>
        <w:spacing w:after="120" w:before="0"/>
        <w:ind w:left="863"/>
        <w:jc w:val="both"/>
      </w:pPr>
      <w:r>
        <w:rPr>
          <w:rFonts w:ascii="Garamond" w:cs="Garamond" w:eastAsia="Garamond" w:hAnsi="Garamond"/>
          <w:color w:val="2a2520"/>
          <w:sz w:val="22"/>
          <w:szCs w:val="22"/>
        </w:rPr>
        <w:t xml:space="preserve">Endowment Activation — 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The Republic relies on a volunteer military. Emergency mobilization is governed by Article XII. The Republic acknowledges a special obligation to persons who served in military or national service — distinct from the Basic Needs Floor. Veterans obligations are constitutional commitments that survive any government transition.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Optional Referendum — 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JI Eligibility Screening — 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Subsidiarity Principle</w:t>
      </w:r>
    </w:p>
    <w:p>
      <w:pPr>
        <w:spacing w:after="120" w:before="0"/>
        <w:ind w:left="863"/>
        <w:jc w:val="both"/>
      </w:pPr>
      <w:r>
        <w:rPr>
          <w:rFonts w:ascii="Garamond" w:cs="Garamond" w:eastAsia="Garamond" w:hAnsi="Garamond"/>
          <w:color w:val="2a2520"/>
          <w:sz w:val="22"/>
          <w:szCs w:val="22"/>
        </w:rPr>
        <w:t xml:space="preserve">Citizen Legislative Initiative — 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Authorized Purposes for Military Force — 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Legislative Declaration of Defense</w:t>
      </w:r>
    </w:p>
    <w:p>
      <w:pPr>
        <w:spacing w:after="120" w:before="0"/>
        <w:ind w:left="863"/>
        <w:jc w:val="both"/>
      </w:pPr>
      <w:r>
        <w:rPr>
          <w:rFonts w:ascii="Garamond" w:cs="Garamond" w:eastAsia="Garamond" w:hAnsi="Garamond"/>
          <w:color w:val="2a2520"/>
          <w:sz w:val="22"/>
          <w:szCs w:val="22"/>
        </w:rPr>
        <w:t xml:space="preserve">Allocation Categories — 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Five-Year Maximum</w:t>
      </w:r>
    </w:p>
    <w:p>
      <w:pPr>
        <w:spacing w:after="120" w:before="0"/>
        <w:ind w:left="863"/>
        <w:jc w:val="both"/>
      </w:pPr>
      <w:r>
        <w:rPr>
          <w:rFonts w:ascii="Garamond" w:cs="Garamond" w:eastAsia="Garamond" w:hAnsi="Garamond"/>
          <w:color w:val="2a2520"/>
          <w:sz w:val="22"/>
          <w:szCs w:val="22"/>
        </w:rPr>
        <w:t xml:space="preserve">Allocation Renewal — 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Senate Armed Services Committee</w:t>
      </w:r>
    </w:p>
    <w:p>
      <w:pPr>
        <w:spacing w:after="120" w:before="0"/>
        <w:ind w:left="863"/>
        <w:jc w:val="both"/>
      </w:pPr>
      <w:r>
        <w:rPr>
          <w:rFonts w:ascii="Garamond" w:cs="Garamond" w:eastAsia="Garamond" w:hAnsi="Garamond"/>
          <w:color w:val="2a2520"/>
          <w:sz w:val="22"/>
          <w:szCs w:val="22"/>
        </w:rPr>
        <w:t xml:space="preserve">Oversight of Allocation — 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Military Authority During Presidential Succession Vacuum</w:t>
      </w:r>
    </w:p>
    <w:p>
      <w:pPr>
        <w:spacing w:after="120" w:before="0"/>
        <w:ind w:left="863"/>
        <w:jc w:val="both"/>
      </w:pPr>
      <w:r>
        <w:rPr>
          <w:rFonts w:ascii="Garamond" w:cs="Garamond" w:eastAsia="Garamond" w:hAnsi="Garamond"/>
          <w:color w:val="2a2520"/>
          <w:sz w:val="22"/>
          <w:szCs w:val="22"/>
        </w:rPr>
        <w:t xml:space="preserve">Post-Allocation Accountability — 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Intelligence Firewall</w:t>
      </w:r>
    </w:p>
    <w:p>
      <w:pPr>
        <w:spacing w:after="120" w:before="0"/>
        <w:ind w:left="431"/>
        <w:jc w:val="both"/>
      </w:pPr>
      <w:r>
        <w:rPr>
          <w:rFonts w:ascii="Garamond" w:cs="Garamond" w:eastAsia="Garamond" w:hAnsi="Garamond"/>
          <w:color w:val="2a2520"/>
          <w:sz w:val="22"/>
          <w:szCs w:val="22"/>
        </w:rPr>
        <w:t xml:space="preserve">Defense Intelligence — the use of intelligence capabilities in support of authorized military operations. The §1.29.d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Treaty Emergency Certification — 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Territorial Status — 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Requirements for Statehood — 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Provisional Membership Period — 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Partial Territory Statehood — 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Minimum Democratic Legitimacy — 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Territorial Minimum Institutional Floor — 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Conflict-Affected State Provisional Status — 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Mandatory State Devolution — 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Devolution Triggers — 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Early Warning — 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Devolution Vote — 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Effect of Mandatory Devolution — the devolving State's territory is restructured: subdivided, merged with adjacent States or Territories, or maintained as a Territory under federal administration pending re-qualification. Citizens retain all Article I rights throughout. BNF benefits continue without interruption. The State's constitutional status is suspended, not terminated — the path to re-qualification is always open.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Re-Qualification Pathway — a devolving jurisdiction may re-qualify for Statehood by completing the full Statehood process under §13.2 from territorial status. No minimum waiting period before beginning re-qualification. The process is the same as the initial Statehood process — the jurisdiction must meet all criteria afresh.</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Voluntary State Devolution — 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Voluntary Devolution Referendum — 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Fiscal Transparency Requirement</w:t>
      </w:r>
    </w:p>
    <w:p>
      <w:pPr>
        <w:spacing w:after="120" w:before="0"/>
        <w:ind w:left="863"/>
        <w:jc w:val="both"/>
      </w:pPr>
      <w:r>
        <w:rPr>
          <w:rFonts w:ascii="Garamond" w:cs="Garamond" w:eastAsia="Garamond" w:hAnsi="Garamond"/>
          <w:color w:val="2a2520"/>
          <w:sz w:val="22"/>
          <w:szCs w:val="22"/>
        </w:rPr>
        <w:t xml:space="preserve">Negotiated Restructuring Agreement — following a successful referendum, the State and the federal government negotiate restructuring terms: asset and liability allocation, transition timeline, continuing federal obligations, and constitutional status of successor jurisdictions. Senate approval by 2/3 majority. Published to the NRS and legally binding.</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Net-Contributor Transparency</w:t>
      </w:r>
    </w:p>
    <w:p>
      <w:pPr>
        <w:spacing w:after="120" w:before="0"/>
        <w:ind w:left="863"/>
        <w:jc w:val="both"/>
      </w:pPr>
      <w:r>
        <w:rPr>
          <w:rFonts w:ascii="Garamond" w:cs="Garamond" w:eastAsia="Garamond" w:hAnsi="Garamond"/>
          <w:color w:val="2a2520"/>
          <w:sz w:val="22"/>
          <w:szCs w:val="22"/>
        </w:rPr>
        <w:t xml:space="preserve">Transition Plan — specifies which functions transfer and when, how citizen rights are maintained during transition, and what happens if transition encounters implementation problems. The LI monitors Transition Plan implementation and publishes quarterly compliance reports.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Voluntary Devolution and BNF — during any voluntary devolution process, BNF benefits continue without interruption. The Transition Plan must specify how BNF delivery continues during the transition. BNF continuity is non-negotiable in the restructuring agreement.</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devolved State loses its Senate seats on the date the Devolution Motion passes. It retains House seats proportional to population. Federal law continues to apply. The State government continues as territorial administration under federal oversight. All effects are published to the NRS the moment the Motion passes.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Compact Formation — 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in Compact Territories — 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Compact Judicial Authority — 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Land and Resource Sovereignty — 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Compact Governance Recognition — 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 Education and Language — 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Compact Dispute Resolution — 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 Review Cycle — 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Compact Termination — 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Emergency Rights Writ — 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Federal Assistance Obligations — 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New Indigenous Compact Petitions — 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Compact and Citizenship — 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Three Amendment Paths — 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Path A — 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Path C — 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No Executive Veto of Amendments — 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No Executive Veto</w:t>
      </w:r>
    </w:p>
    <w:p>
      <w:pPr>
        <w:spacing w:after="120" w:before="0"/>
        <w:ind w:left="863"/>
        <w:jc w:val="both"/>
      </w:pPr>
      <w:r>
        <w:rPr>
          <w:rFonts w:ascii="Garamond" w:cs="Garamond" w:eastAsia="Garamond" w:hAnsi="Garamond"/>
          <w:color w:val="2a2520"/>
          <w:sz w:val="22"/>
          <w:szCs w:val="22"/>
        </w:rPr>
        <w:t xml:space="preserve">Amendment Takes Effect — 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§1.2 (torture prohibition), §1.3 (slavery and forced labor), §1.13 (habeas corpus), §1.17 (public trial), §1.18 (no retroactive criminal laws), §1.27 (non-refoulement). Article I as a whole can only expand — no amendment may reduce any Article I right below its current floor. These six prohibit forms of absolute dehumanization that no democratic majority should be able to reinstate.</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Territorial Integrity — 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Advisory Referenda</w:t>
      </w:r>
    </w:p>
    <w:p>
      <w:pPr>
        <w:spacing w:after="120" w:before="0"/>
        <w:ind w:left="863"/>
        <w:jc w:val="both"/>
      </w:pPr>
      <w:r>
        <w:rPr>
          <w:rFonts w:ascii="Garamond" w:cs="Garamond" w:eastAsia="Garamond" w:hAnsi="Garamond"/>
          <w:color w:val="2a2520"/>
          <w:sz w:val="22"/>
          <w:szCs w:val="22"/>
        </w:rPr>
        <w:t xml:space="preserve">No Secession by Ordinary Legislation — 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Independence Transition Framework</w:t>
      </w:r>
    </w:p>
    <w:p>
      <w:pPr>
        <w:spacing w:after="120" w:before="0"/>
        <w:ind w:left="431"/>
        <w:jc w:val="both"/>
      </w:pPr>
      <w:r>
        <w:rPr>
          <w:rFonts w:ascii="Garamond" w:cs="Garamond" w:eastAsia="Garamond" w:hAnsi="Garamond"/>
          <w:color w:val="2a2520"/>
          <w:sz w:val="22"/>
          <w:szCs w:val="22"/>
        </w:rPr>
        <w:t xml:space="preserve">Amendment Consistency Requirement — 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Framework Agreement Requirement</w:t>
      </w:r>
    </w:p>
    <w:p>
      <w:pPr>
        <w:spacing w:after="120" w:before="0"/>
        <w:ind w:left="863"/>
        <w:jc w:val="both"/>
      </w:pPr>
      <w:r>
        <w:rPr>
          <w:rFonts w:ascii="Garamond" w:cs="Garamond" w:eastAsia="Garamond" w:hAnsi="Garamond"/>
          <w:color w:val="2a2520"/>
          <w:sz w:val="22"/>
          <w:szCs w:val="22"/>
        </w:rPr>
        <w:t xml:space="preserve">LI Consistency Review — 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Transition Period — 24 to 60 Months</w:t>
      </w:r>
    </w:p>
    <w:p>
      <w:pPr>
        <w:spacing w:after="120" w:before="0"/>
        <w:ind w:left="863"/>
        <w:jc w:val="both"/>
      </w:pPr>
      <w:r>
        <w:rPr>
          <w:rFonts w:ascii="Garamond" w:cs="Garamond" w:eastAsia="Garamond" w:hAnsi="Garamond"/>
          <w:color w:val="2a2520"/>
          <w:sz w:val="22"/>
          <w:szCs w:val="22"/>
        </w:rPr>
        <w:t xml:space="preserve">SC Consistency Adjudication — 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Basic Needs Floor Transition</w:t>
      </w:r>
    </w:p>
    <w:p>
      <w:pPr>
        <w:spacing w:after="120" w:before="0"/>
        <w:ind w:left="863"/>
        <w:jc w:val="both"/>
      </w:pPr>
      <w:r>
        <w:rPr>
          <w:rFonts w:ascii="Garamond" w:cs="Garamond" w:eastAsia="Garamond" w:hAnsi="Garamond"/>
          <w:color w:val="2a2520"/>
          <w:sz w:val="22"/>
          <w:szCs w:val="22"/>
        </w:rPr>
        <w:t xml:space="preserve">Retroactive Effect of Amendments — 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Executive Authority During Transition</w:t>
      </w:r>
    </w:p>
    <w:p>
      <w:pPr>
        <w:spacing w:after="120" w:before="0"/>
        <w:ind w:left="863"/>
        <w:jc w:val="both"/>
      </w:pPr>
      <w:r>
        <w:rPr>
          <w:rFonts w:ascii="Garamond" w:cs="Garamond" w:eastAsia="Garamond" w:hAnsi="Garamond"/>
          <w:color w:val="2a2520"/>
          <w:sz w:val="22"/>
          <w:szCs w:val="22"/>
        </w:rPr>
        <w:t xml:space="preserve">Simultaneous Amendments — 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Simultaneous Independence Sequencing</w:t>
      </w:r>
    </w:p>
    <w:p>
      <w:pPr>
        <w:spacing w:after="120" w:before="0"/>
        <w:ind w:left="863"/>
        <w:jc w:val="both"/>
      </w:pPr>
      <w:r>
        <w:rPr>
          <w:rFonts w:ascii="Garamond" w:cs="Garamond" w:eastAsia="Garamond" w:hAnsi="Garamond"/>
          <w:color w:val="2a2520"/>
          <w:sz w:val="22"/>
          <w:szCs w:val="22"/>
        </w:rPr>
        <w:t xml:space="preserve">Withdrawn Amendments — 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 This is the foundational rule that makes all other provisions operative — it is what makes the constitution a constitution rather than a statement of principles.</w:t>
      </w:r>
    </w:p>
    <w:p>
      <w:pPr>
        <w:spacing w:after="60" w:before="200"/>
        <w:ind w:left="863"/>
      </w:pPr>
      <w:r>
        <w:rPr>
          <w:rFonts w:ascii="Courier New" w:cs="Courier New" w:eastAsia="Courier New" w:hAnsi="Courier New"/>
          <w:b/>
          <w:bCs/>
          <w:color w:val="1B2A4A"/>
          <w:sz w:val="18"/>
          <w:szCs w:val="18"/>
        </w:rPr>
        <w:t xml:space="preserve">§15.6.b  </w:t>
      </w:r>
      <w:r>
        <w:rPr>
          <w:rFonts w:ascii="Garamond" w:cs="Garamond" w:eastAsia="Garamond" w:hAnsi="Garamond"/>
          <w:b/>
          <w:bCs/>
          <w:color w:val="1B2A4A"/>
          <w:sz w:val="22"/>
          <w:szCs w:val="22"/>
        </w:rPr>
        <w:t xml:space="preserve">Federal-State Statutory Hierarchy</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For-cause only — no no-cause removal. EC administers all elections; no-cause removal would be a vector for electoral manipulation. Process: JI documents finding → State Designee Panel substantiates → 14-day SC appeal window expires (or SC upholds on appeal) → member suspended from all EC duties. The 180-day election proximity restriction in §16.5.c applies to the removal vote, not to Panel-triggered suspension. On legislative acquittal, member returns to full duties immediately. 2/3 both chambers for removal. Vacancy: 90-day special election, full new 6-year term. Amended v148.</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 Added v143.</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 Added v143.</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EC may extend ballot information delivery to cover state and local races. State bears cost. EC cannot refuse except on operational capacity grounds. Entirely voluntary. New in v143.</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 Amended v148.</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Upon completion,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and presents options to the House within 90 days of the close of the bid period.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§1.10.b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 This prevents independence from instantly stranding critical infrastructure with no transition arrangement.</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§1.22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NTA is a statutory independent officer under §3.7 — the legislature creates the office by statute and calibrates its independence, term, and removal grounds through the enabling statute. The constitutional protections that matter for the Trust are in §17.4.a–f: the trust nature, the 65% referendum threshold for reclassification, the stewardship obligation, the EI's annual compliance monitoring. The Administrator is an operational role whose independence is appropriately protected by §3.7 rather than requiring the full constitutional appointment machinery. The enabling statute may not reduce the stewardship obligations or the EI monitoring.</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use rights in Territories follow the same framework as in States — Operational Use Rights (§17.3) and National Trust (§17.4) — without requiring host State legislative consent (Territories have no State legislature). The Territory's representative body and the LI are consulted. Same constitutional principles; consent mechanism adapts to the Territory's structure.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Qualification Threshold</w:t>
      </w:r>
    </w:p>
    <w:p>
      <w:pPr>
        <w:spacing w:after="120" w:before="0"/>
        <w:ind w:left="863"/>
        <w:jc w:val="both"/>
      </w:pPr>
      <w:r>
        <w:rPr>
          <w:rFonts w:ascii="Garamond" w:cs="Garamond" w:eastAsia="Garamond" w:hAnsi="Garamond"/>
          <w:color w:val="2a2520"/>
          <w:sz w:val="22"/>
          <w:szCs w:val="22"/>
        </w:rPr>
        <w:t xml:space="preserve">Campaign Conduct Standards — 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Administration</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§1.4, and are not protected as associational activity under §1.7. The regulation of electoral finance is a matter of democratic integrity explicitly reserved from both speech and associational protection. One of the most direct rejections of Citizens United reasoning in the document.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Three subsections after v145 restructuring: activation threshold (§19.1.a), institutional accommodation for existing legal structures (§19.1.b), and multi-founder formation for sovereign nations pooling sovereignty (§19.1.c). Previously a single wall-of-text paragraph — restructuring makes §19.1 readable without changing any substantive content.</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24-month, four-phase process. Seven provisions: Phase 0 pre-ratification preparation (§19.3.a), Phase 1 emergency stabilisation Days 1-90 (§19.3.b), Phase 2 institutional construction Days 91-270 (§19.3.c), Phase 3 first elections Days 271-450 (§19.3.d), Phase 4 full operation (§19.3.e), provisional NRS authority (§19.3.f), and phase extension mechanism (§19.3.g, new v143).</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Phase 4 is Full Constitutional Operation — 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 This prevents the Republic from being born into sovereign default by simply denying predecessor debts — a move that would destabilize the fiscal foundations of the transition period. The assumption covers public debt, not private commercial obligations or claims arising from illegal predecessor-government conduct. The distinction matters: the Republic inherits the legitimate fiscal commitments of the predecessor state while preserving the right to pursue claims against individuals who misused predecessor authority.</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Existing social insurance programs — 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 This ensures that the Republic is not born into sovereign default or diplomatic isolation.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the constitutional answer to how a new Republic deals with the wrongs of what it replaced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 The TAM embodies the constitutional separation between information-generation and consequence-imposition: it finds and publishes; courts, the Legislature, and the PM decide whether to act on what it finds.</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opening provision of the Presidential domain. Authority is defined and bounded — military command, foreign affairs, intelligence, treaty negotiation, trade agreements, domain officer appointments, and the domain-scoped veto. The structure is intentional: Presidential authority is enumerated; PM authority is residual. Any question about which executive holds a function resolves to the PM unless the President can point to a specific enumerated power here.</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Tier 1: immediate defensive response — self-executing, no prior authorization required.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Tier 2: Senate Armed Services Committee authorization — 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Tier 3: Legislative Declaration of Defense — 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Privacy Firewall</w:t>
      </w:r>
    </w:p>
    <w:p>
      <w:pPr>
        <w:spacing w:after="120" w:before="0"/>
        <w:ind w:left="863"/>
        <w:jc w:val="both"/>
      </w:pPr>
      <w:r>
        <w:rPr>
          <w:rFonts w:ascii="Garamond" w:cs="Garamond" w:eastAsia="Garamond" w:hAnsi="Garamond"/>
          <w:color w:val="2a2520"/>
          <w:sz w:val="22"/>
          <w:szCs w:val="22"/>
        </w:rPr>
        <w:t xml:space="preserve">Cross-references §1.29.d as the authoritative Intelligence Firewall provision. The prohibition on domestic intelligence operations against Republic citizens is non-derogable and permanent — governed by §1.29.d. §2.1.e previously restated the prohibition in language not identical to §1.29.d. Now redirects all references to §1.29.d. Any order in violation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Domain-scoped veto — deliberately the most limited presidential veto in any constitutional design. The President may veto only bills raising a genuine constitutional concern within the security domain: military operations, intelligence, treaty obligations, border security. A general or speculative security connection is not sufficient. The SC reviews any presidential veto within 48 hours on petition from either Speaker — prevents the veto from becoming a de facto policy lever dressed in security language.</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 the petitioner's record, conviction circumstances, and prior EI findings — simultaneously to the NRS. Self-clemency is constitutionally prohibited under §2.9.b. Cross-chamber prohibition under §2.9.c: the President may not pardon a PM offense, nor the PM a Presidential one.</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Conflict resolution during active military operations — four steps: written NRS objection within 6 hours; 12-hour negotiation window; SC emergency domain determination within 24 hours on petition; pending ruling, Presidential order governs only for operations directly connected to the active military situation while all other government functions follow the PM. Prevents either executive from using military operations as cover to assert authority over the other's domain.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President negotiates and concludes trade agreements; PM written concurrence required where materially affecting the domestic economy. The SC ruled in The Concurrence Dispute (Year 28) that national treatment obligations within Republic territory require PM concurrence — they directly govern how domestic industry is regulated. Where PM concurrence is withheld, domestic provisions may be transmitted to the House Speaker as ordinary legislation. Ratification by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three Presidential domain officers: Director of Intelligence, Secretary for Foreign Affairs, Secretary for Defense. PM nominates from the JI-maintained candidate registry; Senate confirms by simple majority. PM failure to nominate within 90 days triggers the Senate nomination pathway. Senate confirmation provides a check on the President's operational domain — the President directs these officers but does not control who holds the positions.</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Presidential removal — two independent paths. Legislative: 2/3 of both chambers simultaneously following Inspectorate-certified findings. Popular: 15% citizen petition triggers a national referendum requiring 60% affirmative with 55% participation. The popular path exists precisely because the Legislature might protect a President it benefits from.</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 — prevents politically motivated removal.</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Popular removal referendum — if the 15% petition threshold is met, the EC administers a referendum within 90 days. 60% affirmative with 55% participation required. A failed referendum cannot be re-initiated for 2 years on the same grounds.</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domain opening — residual authority. Everything not enumerated as Presidential is the PM's. Domestic policy, fiscal policy, BNF administration, legislation review, judicial nominations, independent agency appointments, PM clemency. The PM answers to the House through the confidence mechanism — unlike the President, who is directly elected and does not require legislative confidence.</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The Record System Mandate</w:t>
      </w:r>
    </w:p>
    <w:p>
      <w:pPr>
        <w:spacing w:after="120" w:before="0"/>
        <w:ind w:left="863"/>
        <w:jc w:val="both"/>
      </w:pPr>
      <w:r>
        <w:rPr>
          <w:rFonts w:ascii="Garamond" w:cs="Garamond" w:eastAsia="Garamond" w:hAnsi="Garamond"/>
          <w:color w:val="2a2520"/>
          <w:sz w:val="22"/>
          <w:szCs w:val="22"/>
        </w:rPr>
        <w:t xml:space="preserve">Domestic Policy Authority — the PM's broadest power. Healthcare, education, infrastructure, housing, labour, environment, all domestic regulatory frameworks. The residual nature of PM authority means any new policy domain that emerges belongs to the PM unless it clearly falls within the President's enumerated security domain.</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Fiscal policy and budget — 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Legislative Review Period — 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Domestic Emergency Authority — 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PM clemency for domestic offenses — 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Information Rights — the PM has a constitutional right to full and timely briefing on all national security matters affecting domestic interests. The President may not withhold information from the PM on grounds of security classification where the PM's domestic responsibilities are genuinely engaged. The Intelligence Firewall under §1.29.d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Acting PM provisions — who governs when the PM cannot. The most senior Domestic Affairs Council Officer (SDACO) serves as Caretaker PM. The SDACO's authority is limited to maintaining existing policy and emergency functions. Caretaker status expires when a new PM takes confidence.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Selection</w:t>
      </w:r>
    </w:p>
    <w:p>
      <w:pPr>
        <w:spacing w:after="120" w:before="0"/>
        <w:ind w:left="863"/>
        <w:jc w:val="both"/>
      </w:pPr>
      <w:r>
        <w:rPr>
          <w:rFonts w:ascii="Garamond" w:cs="Garamond" w:eastAsia="Garamond" w:hAnsi="Garamond"/>
          <w:color w:val="2a2520"/>
          <w:sz w:val="22"/>
          <w:szCs w:val="22"/>
        </w:rPr>
        <w:t xml:space="preserve">The Constructive Vote of No Confidence — the House cannot simply vote 'no confidence' and leave a vacuum; it must simultaneously elect a replacement by absolute majority of full seated House membership. Both the removal and successor election occur in the same vote. This prevents parliamentary paralysis — the House can only remove a PM if it has already agreed on who comes next.</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Caretaker Protocol</w:t>
      </w:r>
    </w:p>
    <w:p>
      <w:pPr>
        <w:spacing w:after="120" w:before="0"/>
        <w:ind w:left="863"/>
        <w:jc w:val="both"/>
      </w:pPr>
      <w:r>
        <w:rPr>
          <w:rFonts w:ascii="Garamond" w:cs="Garamond" w:eastAsia="Garamond" w:hAnsi="Garamond"/>
          <w:color w:val="2a2520"/>
          <w:sz w:val="22"/>
          <w:szCs w:val="22"/>
        </w:rPr>
        <w:t xml:space="preserve">Initial election of the PM — 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Suspensive Veto — returns the bill to the Legislature with written constitutional grounds. Legislature may override by 2/3 of both chambers simultaneously. The PM must give the LI's constitutional analysis due consideration before issuing a Suspensive Veto. A veto issued purely for political reasons without constitutional grounds is a constitutional breach. Used in The Stagflation Years when the PM correctly identified the Mandate Rebalancing Act as void under §10.4.b.</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Fiscal Objection — 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 'This is too expensive' is not a valid ground — 'this breaches the constitutional fiscal threshold' is.</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Objection Limits</w:t>
      </w:r>
    </w:p>
    <w:p>
      <w:pPr>
        <w:spacing w:after="120" w:before="0"/>
        <w:ind w:left="863"/>
        <w:jc w:val="both"/>
      </w:pPr>
      <w:r>
        <w:rPr>
          <w:rFonts w:ascii="Garamond" w:cs="Garamond" w:eastAsia="Garamond" w:hAnsi="Garamond"/>
          <w:color w:val="2a2520"/>
          <w:sz w:val="22"/>
          <w:szCs w:val="22"/>
        </w:rPr>
        <w:t xml:space="preserve">Deemed Enactment — if the PM neither signs, objects, nor vetoes within the Legislative Review Period, the bill is automatically enacted. Silence is not a veto. This prevents the PM from blocking legislation through inaction and forces the PM to take a public constitutional position on every bill.</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Emergency Legislative Continuity</w:t>
      </w:r>
    </w:p>
    <w:p>
      <w:pPr>
        <w:spacing w:after="120" w:before="0"/>
        <w:ind w:left="863"/>
        <w:jc w:val="both"/>
      </w:pPr>
      <w:r>
        <w:rPr>
          <w:rFonts w:ascii="Garamond" w:cs="Garamond" w:eastAsia="Garamond" w:hAnsi="Garamond"/>
          <w:color w:val="2a2520"/>
          <w:sz w:val="22"/>
          <w:szCs w:val="22"/>
        </w:rPr>
        <w:t xml:space="preserve">The Legislative Review Period — duration defined by statute, bounded between 7 and 30 days. The PM must act within the period. The period begins from final passage in both chambers, not from the PM's receipt of the bill.</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Presidential Succession — a complete framework for filling a Presidential vacancy. The Speaker of the Senate serves as Acting President, immediately triggering a special presidential election. The design keeps succession within the elected political class rather than delegating it to an appointed official.</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Acting Presidential Authority triggers automatically on Presidential death, resignation, removal, or certified permanent incapacity. The Senate Speaker assumes Acting Authority immediately — no gap, no confirmation required. The Senate Speaker's own Senate seat is simultaneously vacated; the Deputy Speaker assumes the Speaker role.</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Incapacity Certification</w:t>
      </w:r>
    </w:p>
    <w:p>
      <w:pPr>
        <w:spacing w:after="120" w:before="0"/>
        <w:ind w:left="863"/>
        <w:jc w:val="both"/>
      </w:pPr>
      <w:r>
        <w:rPr>
          <w:rFonts w:ascii="Garamond" w:cs="Garamond" w:eastAsia="Garamond" w:hAnsi="Garamond"/>
          <w:color w:val="2a2520"/>
          <w:sz w:val="22"/>
          <w:szCs w:val="22"/>
        </w:rPr>
        <w:t xml:space="preserve">The 90-day permanence assessment — if Acting Presidential Authority extends beyond 90 consecutive days, the PM and the Senate Speaker must jointly assess whether the incapacity has become permanent. Assessment repeats every 30 days if temporary incapacity is certified. Failure to conduct the mandatory 90-day assessment is a constitutional failure for both the PM and the most senior SC justice.</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does not thereby expend their single non-renewable term. They must stand for election at the next regular National Election Day presidential cycle, or at a special election within 90 days of succession, to continue beyond the succession period. If elected, that term is their single non-renewable term.</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New in v159. Fills the gap between §2.6 (Succession) and §2.8 (Emergency Governance) by consolidating the executive publication obligation that was previously only implied by §9.1. Both executives must publish all official acts — orders, certifications, vetoes, objections, determinations — to the NRS within 48 hours of issuance. Failure is a constitutional compliance breach reportable by the EI and covered in the annual EI audit. No executive may classify, delay, or suppress publication of an act this constitution requires to be published. The 48-hour window is not a validity condition (a late-published act is not void) but a compliance obligation with real accountability consequences.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Legislative Amnesty — only the Legislature may grant group amnesty, by simple majority of both chambers. No executive may grant group amnesty. Cannot extend to constitutional violations, official misconduct offenses, or crimes against the fundamental rights of §1.2 and §1.3.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Cross-chamber clemency prohibition — the President may not grant clemency for offenses committed in the PM's domestic domain, nor may the PM grant clemency for Presidential domain offenses. Prevents either executive from using clemency to protect the other's allies from accountability. Domains of clemency mirror domains of authority.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 A distinct constitutional category reflecting voluntary connection without subsuming sovereignty.</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is the proportional chamber — seats allocated by population, minimum one per State, floor of one per 750,000 citizens, self-scaling with population. The opening sentence previously read "the Legislature is the Republic's legislature" — circular and uninformative. Now reads "The Republic's legislature is bicameral." The Legislature may set a higher membership; must justify any formula producing fewer than one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The provision previously contained a lengthy inline explanation of why the LI (not the EI) conducts the census — accurate but belonging in commentary. Operative rule only: LI conducts the census.</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Single-Subject Rule — 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Bill Exposure Period — 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Caretaker Activation and PM Formation</w:t>
      </w:r>
    </w:p>
    <w:p>
      <w:pPr>
        <w:spacing w:after="120" w:before="0"/>
        <w:ind w:left="863"/>
        <w:jc w:val="both"/>
      </w:pPr>
      <w:r>
        <w:rPr>
          <w:rFonts w:ascii="Garamond" w:cs="Garamond" w:eastAsia="Garamond" w:hAnsi="Garamond"/>
          <w:color w:val="2a2520"/>
          <w:sz w:val="22"/>
          <w:szCs w:val="22"/>
        </w:rPr>
        <w:t xml:space="preserve">Legislative Calendar and Session — 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Compensation and Disclosure — 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 2 senators per State, 6-year staggered terms. Primary role: checking chamber. Must act on every House-passed bill (§3.2.c). Cannot originate fiscal legislation (§3.2.b). Amendment authority bounded by germaneness (§3.2.i). Confirmations, ratifications, and treaty approvals represent its second major constitutional function.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Senator Terms and Limits</w:t>
      </w:r>
    </w:p>
    <w:p>
      <w:pPr>
        <w:spacing w:after="120" w:before="0"/>
        <w:ind w:left="863"/>
        <w:jc w:val="both"/>
      </w:pPr>
      <w:r>
        <w:rPr>
          <w:rFonts w:ascii="Garamond" w:cs="Garamond" w:eastAsia="Garamond" w:hAnsi="Garamond"/>
          <w:color w:val="2a2520"/>
          <w:sz w:val="22"/>
          <w:szCs w:val="22"/>
        </w:rPr>
        <w:t xml:space="preserve">Senate composition — two senators per State regardless of population, elected by citizens of that State for 6-year non-renewable staggered terms. Staggering ensures no single election cycle can sweep the entire Senate. The 6-year term creates institutional continuity — senators serve 50% longer than the standard House cycle.</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Fiscal origination — all revenue measures, appropriations, and debt ceiling changes must originate in the House. The Senate may amend fiscal legislation but cannot initiate it. Keeps fiscal accountability with the proportionally elected chamber.</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Judicial Confirmation — 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 treaties require 2/3 Senate majority. Two sub-provisions address failed ratification: §3.2.e.i (standalone domestic provisions may proceed as ordinary legislation) and §3.2.e.ii (bilateral treaties designed as integrated wholes must be renegotiated, not disaggregated). The Nordmere Cases established the factual test for which sub-provision applies.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the treaty is bilateral and designed as an integrated whole — reciprocal obligations that only make sense together — the President may not disaggregate and transmit domestic provisions. The treaty must be renegotiated or abandoned. The Nordmere Cases: Case 2 applied this provision where bilateral design made domestic provisions interdependent.</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Impeachment Trials</w:t>
      </w:r>
    </w:p>
    <w:p>
      <w:pPr>
        <w:spacing w:after="120" w:before="0"/>
        <w:ind w:left="863"/>
        <w:jc w:val="both"/>
      </w:pPr>
      <w:r>
        <w:rPr>
          <w:rFonts w:ascii="Garamond" w:cs="Garamond" w:eastAsia="Garamond" w:hAnsi="Garamond"/>
          <w:color w:val="2a2520"/>
          <w:sz w:val="22"/>
          <w:szCs w:val="22"/>
        </w:rPr>
        <w:t xml:space="preserve">Senate Electoral Functions — 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Survivor Quorum — Catastrophic Casualty Events</w:t>
      </w:r>
    </w:p>
    <w:p>
      <w:pPr>
        <w:spacing w:after="120" w:before="0"/>
        <w:ind w:left="863"/>
        <w:jc w:val="both"/>
      </w:pPr>
      <w:r>
        <w:rPr>
          <w:rFonts w:ascii="Garamond" w:cs="Garamond" w:eastAsia="Garamond" w:hAnsi="Garamond"/>
          <w:color w:val="2a2520"/>
          <w:sz w:val="22"/>
          <w:szCs w:val="22"/>
        </w:rPr>
        <w:t xml:space="preserve">Senate Internal Rules — 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Speaker Vacancy</w:t>
      </w:r>
    </w:p>
    <w:p>
      <w:pPr>
        <w:spacing w:after="120" w:before="0"/>
        <w:ind w:left="863"/>
        <w:jc w:val="both"/>
      </w:pPr>
      <w:r>
        <w:rPr>
          <w:rFonts w:ascii="Garamond" w:cs="Garamond" w:eastAsia="Garamond" w:hAnsi="Garamond"/>
          <w:color w:val="2a2520"/>
          <w:sz w:val="22"/>
          <w:szCs w:val="22"/>
        </w:rPr>
        <w:t xml:space="preserve">Senate Committees — 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Senate Amendment Authority — 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 The Rider scenario tested this — the LI found an agricultural export credit non-germane to an infrastructure bill.</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Standard Passage — 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Presidential Veto Override — requires 2/3 of both chambers simultaneously. The simultaneous requirement means both chambers must vote in the same session. The SC's 48-hour review under §2.1.f.i occurs before any override vote, meaning the constitutional question is settled before the political question of the override.</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Record System Entry — 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Legislative Mandate Enforcement — 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House Redistricting — the LI conducts the census, the Legislature sets the apportionment formula, States draw their own district maps, and the LI reviews maps for compliance. The LI's review checks for partisan gerrymandering, population equality violations, and compliance with the minority protection criteria.</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Redistricting Criteria — State district maps must meet five criteria: population equality within tolerance, geographic contiguity, compliance with §1.8 non-discrimination, no intentional dilution of minority voting power, and reasonable geographic compactness. States have discretion within these bounds — there is no single correct map.</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Prohibited Inputs</w:t>
      </w:r>
    </w:p>
    <w:p>
      <w:pPr>
        <w:spacing w:after="120" w:before="0"/>
        <w:ind w:left="863"/>
        <w:jc w:val="both"/>
      </w:pPr>
      <w:r>
        <w:rPr>
          <w:rFonts w:ascii="Garamond" w:cs="Garamond" w:eastAsia="Garamond" w:hAnsi="Garamond"/>
          <w:color w:val="2a2520"/>
          <w:sz w:val="22"/>
          <w:szCs w:val="22"/>
        </w:rPr>
        <w:t xml:space="preserve">LI Redistricting Review — 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Drawing Authority — States</w:t>
      </w:r>
    </w:p>
    <w:p>
      <w:pPr>
        <w:spacing w:after="120" w:before="0"/>
        <w:ind w:left="863"/>
        <w:jc w:val="both"/>
      </w:pPr>
      <w:r>
        <w:rPr>
          <w:rFonts w:ascii="Garamond" w:cs="Garamond" w:eastAsia="Garamond" w:hAnsi="Garamond"/>
          <w:color w:val="2a2520"/>
          <w:sz w:val="22"/>
          <w:szCs w:val="22"/>
        </w:rPr>
        <w:t xml:space="preserve">Redistricting Cycle — 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National Compliance Review</w:t>
      </w:r>
    </w:p>
    <w:p>
      <w:pPr>
        <w:spacing w:after="120" w:before="0"/>
        <w:ind w:left="863"/>
        <w:jc w:val="both"/>
      </w:pPr>
      <w:r>
        <w:rPr>
          <w:rFonts w:ascii="Garamond" w:cs="Garamond" w:eastAsia="Garamond" w:hAnsi="Garamond"/>
          <w:color w:val="2a2520"/>
          <w:sz w:val="22"/>
          <w:szCs w:val="22"/>
        </w:rPr>
        <w:t xml:space="preserve">At-Large Seats — 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Court Adjudication</w:t>
      </w:r>
    </w:p>
    <w:p>
      <w:pPr>
        <w:spacing w:after="120" w:before="0"/>
        <w:ind w:left="863"/>
        <w:jc w:val="both"/>
      </w:pPr>
      <w:r>
        <w:rPr>
          <w:rFonts w:ascii="Garamond" w:cs="Garamond" w:eastAsia="Garamond" w:hAnsi="Garamond"/>
          <w:color w:val="2a2520"/>
          <w:sz w:val="22"/>
          <w:szCs w:val="22"/>
        </w:rPr>
        <w:t xml:space="preserve">District Vacancy — 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Continuity</w:t>
      </w:r>
    </w:p>
    <w:p>
      <w:pPr>
        <w:spacing w:after="120" w:before="0"/>
        <w:ind w:left="863"/>
        <w:jc w:val="both"/>
      </w:pPr>
      <w:r>
        <w:rPr>
          <w:rFonts w:ascii="Garamond" w:cs="Garamond" w:eastAsia="Garamond" w:hAnsi="Garamond"/>
          <w:color w:val="2a2520"/>
          <w:sz w:val="22"/>
          <w:szCs w:val="22"/>
        </w:rPr>
        <w:t xml:space="preserve">Redistricting Transparency — 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 the proportional chamber. Seats allocated by population, minimum one per State, floor of one per 750,000 citizens. The House originates all legislation and fiscal measures, elects the PM, and is the primary democratic accountability mechanism for the executive. Every member elected every 4 years makes it the chamber closest to current public sentiment.</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House Membership Formula — seats allocated by the LI census using a formula of one seat per N citizens where N is set by statute, minimum one seat per State. Any formula producing fewer than one seat per 500,000 citizens requires published LI justification. The formula is automatic — no political negotiation of seat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House Speaker — 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House Vacancy — 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House Quorum — 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House Expulsion</w:t>
      </w:r>
    </w:p>
    <w:p>
      <w:pPr>
        <w:spacing w:after="120" w:before="0"/>
        <w:ind w:left="863"/>
        <w:jc w:val="both"/>
      </w:pPr>
      <w:r>
        <w:rPr>
          <w:rFonts w:ascii="Garamond" w:cs="Garamond" w:eastAsia="Garamond" w:hAnsi="Garamond"/>
          <w:color w:val="2a2520"/>
          <w:sz w:val="22"/>
          <w:szCs w:val="22"/>
        </w:rPr>
        <w:t xml:space="preserve">Inspectorate Access to Legislative Records — 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Senate Expulsion</w:t>
      </w:r>
    </w:p>
    <w:p>
      <w:pPr>
        <w:spacing w:after="120" w:before="0"/>
        <w:ind w:left="863"/>
        <w:jc w:val="both"/>
      </w:pPr>
      <w:r>
        <w:rPr>
          <w:rFonts w:ascii="Garamond" w:cs="Garamond" w:eastAsia="Garamond" w:hAnsi="Garamond"/>
          <w:color w:val="2a2520"/>
          <w:sz w:val="22"/>
          <w:szCs w:val="22"/>
        </w:rPr>
        <w:t xml:space="preserve">LI Pre-Passage Constitutional Review — 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Anti-Weaponization Threshold</w:t>
      </w:r>
    </w:p>
    <w:p>
      <w:pPr>
        <w:spacing w:after="120" w:before="0"/>
        <w:ind w:left="863"/>
        <w:jc w:val="both"/>
      </w:pPr>
      <w:r>
        <w:rPr>
          <w:rFonts w:ascii="Garamond" w:cs="Garamond" w:eastAsia="Garamond" w:hAnsi="Garamond"/>
          <w:color w:val="2a2520"/>
          <w:sz w:val="22"/>
          <w:szCs w:val="22"/>
        </w:rPr>
        <w:t xml:space="preserve">Committee Structure — 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Consequences and Restoration</w:t>
      </w:r>
    </w:p>
    <w:p>
      <w:pPr>
        <w:spacing w:after="120" w:before="0"/>
        <w:ind w:left="863"/>
        <w:jc w:val="both"/>
      </w:pPr>
      <w:r>
        <w:rPr>
          <w:rFonts w:ascii="Garamond" w:cs="Garamond" w:eastAsia="Garamond" w:hAnsi="Garamond"/>
          <w:color w:val="2a2520"/>
          <w:sz w:val="22"/>
          <w:szCs w:val="22"/>
        </w:rPr>
        <w:t xml:space="preserve">Joint Sessions — 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Recall — States and Territories</w:t>
      </w:r>
    </w:p>
    <w:p>
      <w:pPr>
        <w:spacing w:after="120" w:before="0"/>
        <w:ind w:left="863"/>
        <w:jc w:val="both"/>
      </w:pPr>
      <w:r>
        <w:rPr>
          <w:rFonts w:ascii="Garamond" w:cs="Garamond" w:eastAsia="Garamond" w:hAnsi="Garamond"/>
          <w:color w:val="2a2520"/>
          <w:sz w:val="22"/>
          <w:szCs w:val="22"/>
        </w:rPr>
        <w:t xml:space="preserve">Ethics and Conduct — 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Vacancy Filling — States and Territories</w:t>
      </w:r>
    </w:p>
    <w:p>
      <w:pPr>
        <w:spacing w:after="120" w:before="0"/>
        <w:ind w:left="863"/>
        <w:jc w:val="both"/>
      </w:pPr>
      <w:r>
        <w:rPr>
          <w:rFonts w:ascii="Garamond" w:cs="Garamond" w:eastAsia="Garamond" w:hAnsi="Garamond"/>
          <w:color w:val="2a2520"/>
          <w:sz w:val="22"/>
          <w:szCs w:val="22"/>
        </w:rPr>
        <w:t xml:space="preserve">Legislative Privilege — 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Senate Confirmation of Independent Officers — 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Oversight</w:t>
      </w:r>
    </w:p>
    <w:p>
      <w:pPr>
        <w:spacing w:after="120" w:before="0"/>
        <w:ind w:left="863"/>
        <w:jc w:val="both"/>
      </w:pPr>
      <w:r>
        <w:rPr>
          <w:rFonts w:ascii="Garamond" w:cs="Garamond" w:eastAsia="Garamond" w:hAnsi="Garamond"/>
          <w:color w:val="2a2520"/>
          <w:sz w:val="22"/>
          <w:szCs w:val="22"/>
        </w:rPr>
        <w:t xml:space="preserve">Removal of Independent Officers — removal requires a for-cause finding. The EI must publish a factual finding before any removal vote. Removal is by 2/3 of both chambers simultaneously. Neither executive may remove a statutory independent officer unilaterally.</w:t>
      </w:r>
    </w:p>
    <w:p>
      <w:pPr>
        <w:spacing w:after="60" w:before="200"/>
        <w:ind w:left="863"/>
      </w:pPr>
      <w:r>
        <w:rPr>
          <w:rFonts w:ascii="Courier New" w:cs="Courier New" w:eastAsia="Courier New" w:hAnsi="Courier New"/>
          <w:b/>
          <w:bCs/>
          <w:color w:val="1B2A4A"/>
          <w:sz w:val="18"/>
          <w:szCs w:val="18"/>
        </w:rPr>
        <w:t xml:space="preserve">§3.7.e  </w:t>
      </w:r>
      <w:r>
        <w:rPr>
          <w:rFonts w:ascii="Garamond" w:cs="Garamond" w:eastAsia="Garamond" w:hAnsi="Garamond"/>
          <w:b/>
          <w:bCs/>
          <w:color w:val="1B2A4A"/>
          <w:sz w:val="22"/>
          <w:szCs w:val="22"/>
        </w:rPr>
        <w:t xml:space="preserve">Limits</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PM nominates within 90 days; the Senate confirms by a supermajority (55–67% of full seated membership). Senate confirmation corrected from House in v157. Four sub-provisions now numbered §4.1.b.i–iv: (i) Candidate Disclosure and EI Review — PM submits disclosure record to EI before confirmation vote; (ii) PM Failure — Senate Nomination — Senate may nominate if PM fails within 90 days; (iii) Prorated Confirmation Period — shortened period when nomination submitted late; (iv) 180-Day Constitutional Ceiling — no vacancy may remain unfilled beyond 180 days. Deemed Confirmation applies at the ceiling if no vote is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Judicial Tenure Protection — 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Judicial Removal — 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The SC selection system: fully open candidacy, advisory expert assessment, and national direct election by Ranked Choice Vote. No political branch nominates anyone. The Registry is the eligibility filter, the Judicial Selection Board is the expert voice, and the electorate makes the final determination. The three-class stagger ensures no single election cycle can shift the entire court.</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Candidate Registration — 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Judicial Selection Board — 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The Election — 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Mid-Term Vacancies — 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Temporary Associate Justice — the most senior Appellate Court judge by continuous service is automatically designated as Temporary Associate Justice within 5 days of any SC vacancy, without nomination or confirmation. Full vote in all cases. Cannot stand as a candidate for the seat they are temporarily filling. Ensures the SC always has nine participating justices.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Class Assignment and Stagger — 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Concrete Cases Only</w:t>
      </w:r>
    </w:p>
    <w:p>
      <w:pPr>
        <w:spacing w:after="120" w:before="0"/>
        <w:ind w:left="863"/>
        <w:jc w:val="both"/>
      </w:pPr>
      <w:r>
        <w:rPr>
          <w:rFonts w:ascii="Garamond" w:cs="Garamond" w:eastAsia="Garamond" w:hAnsi="Garamond"/>
          <w:color w:val="2a2520"/>
          <w:sz w:val="22"/>
          <w:szCs w:val="22"/>
        </w:rPr>
        <w:t xml:space="preserve">Judicial Review — 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Judicial Scope — 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Ripeness and Mootness</w:t>
      </w:r>
    </w:p>
    <w:p>
      <w:pPr>
        <w:spacing w:after="120" w:before="0"/>
        <w:ind w:left="863"/>
        <w:jc w:val="both"/>
      </w:pPr>
      <w:r>
        <w:rPr>
          <w:rFonts w:ascii="Garamond" w:cs="Garamond" w:eastAsia="Garamond" w:hAnsi="Garamond"/>
          <w:color w:val="2a2520"/>
          <w:sz w:val="22"/>
          <w:szCs w:val="22"/>
        </w:rPr>
        <w:t xml:space="preserve">Administrative and Statutory Interpretation — 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Original Jurisdiction — 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Inspectorate Findings — 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enforcement would require an act the Legislature has defined as categorically unenforceable. A fourth ground — facially contrary to Article I — was removed as redundant. §15.6 Constitutional Supremacy already makes judgments contrary to Article I void by operation of law; enumerating it created interpretive surface area. The §15.6 cross-reference at the end of §4.4.a closes the gap cleanly.</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NRS Authentication — 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on the NRS are self-authenticating — no re-certification required. Professional licenses receive equivalent recognition across all States and Territories. The Legislature latitude language previously allowing the Legislature to define the "permissible scope" of supplementary requirements has been removed. §1.12 already prohibits state-specific professional licensing barriers; recognition is the constitutional default. §1.12 governs any departure from it. The two provisions working together are tighter than either separately.</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Status Orders — protective orders, custody determinations, and other status orders take immediate effect in every State and Territory upon publication to the NRS. No waiting period, no local re-registration. Tested directly in Everywhere She Goes — a protective order followed the holder across State lines without any gap in protection.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Limits — No Obligation Beyond Republic Borders</w:t>
      </w:r>
    </w:p>
    <w:p>
      <w:pPr>
        <w:spacing w:after="120" w:before="0"/>
        <w:ind w:left="863"/>
        <w:jc w:val="both"/>
      </w:pPr>
      <w:r>
        <w:rPr>
          <w:rFonts w:ascii="Garamond" w:cs="Garamond" w:eastAsia="Garamond" w:hAnsi="Garamond"/>
          <w:color w:val="2a2520"/>
          <w:sz w:val="22"/>
          <w:szCs w:val="22"/>
        </w:rPr>
        <w:t xml:space="preserve">Non-Discrimination in Recognition — 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Finality rule is now permanent rather than a default pending legislation. A judgment is final for §4.4.a purposes if it is not subject to an automatic stay under the issuing jurisdiction's procedural law, regardless of whether an appeal is pending. The Legislature may refine the finality standard for specific categories but cannot use pending-appeal status alone to block enforcement. The three-year statutory mandate for the Legislature to define finality and supplementary license requirements has been removed — finality is stated directly, and §1.12 governs licensing. The procedural framework mandate (filing forms, fee schedule, enforcement timeline) is retained.</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passing the Constitutional Logic Test, and demonstrating a working knowledge of the Republic's official language. The CLT tests understanding of the Republic's constitutional structure of the Republic's constitutional structure — not cultural assimilation.</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5+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complete within 90 days. This closes the gap created by §5.5.a's Grandfather Clause, which grants Day Zero citizenship to prior voters but leaves long-term residents who were denied voting rights by the predecessor government on the standard naturalization path — an inequity the accelerated process corrects.</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constitutional floor is stated directly in §5.4: the test must assess knowledge sufficient to understand the structure, powers, limits, and rights established by this Constitution. Any statute reducing the CLT below this floor is void and any citizen may challenge it in court. The Senate sets the standard by statute — raising it by simple majority, lowering it by 2/3 supermajority. That asymmetry makes degradation structurally harder than improvement without requiring anyone to certify anything. The old certification mechanism — where the CLT Administrator could block a Senate statute from taking effect — has been removed. An elected body should not be subject to veto by an appointed administrator. The floor is enforced by courts on challenge, not by an appointed officer's pre-emptive certification. The legislature may create a §3.7 statutory independent administrator to oversee CLT administration if it chooses; the constitution does not require it. Where the CLT Administrator position is vacant, the Judicial Inspectorate administers the Constitutional Logic Test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§1.8 discrimination. Asylum proceedings under §6.4 are explicitly exempt from the Gate 1 requirement: the right to claim and have determined a §1.27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This prevents States from developing parallel immigration enforcement regimes that could be used to target populations the State government dislikes regardless of federal law. Removal occurs only for violations of laws the Legislature has defined — executive detention without statutory basis is not removal, it is unlawful detention subject to habeas corpus. The federal monopoly on removal also ensures that immigration enforcement standards are uniform across States rather than varying by State political composition.</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§1.8; or procedural violation affecting the outcome. Gate 1 denials — a state's decision not to sponsor — are not subject to federal review on the merits of the sponsorship decision. However, where an applicant believes a Gate 1 denial was made on §1.8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concern — without publishing classified content. The in-camera review is outcome-determinative: either the security concern meets the constitutional standard and the denial stands, or it does not and recertification is ordered. This closes the "security claim as absolute veto" pathway while protecting genuine intelligence sources and methods.</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§1.27 becomes an Inhabitant at filing — not upon grant. Their claim must be determined before any removal order takes effect. The asylum track is explicitly exempt from Gate 1 state sponsorship: no state's refusal to sponsor can extinguish a §1.27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§1.27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§1.27.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§1.27 protection to a person who poses a documented security threat, removal remains constitutionally barred — but indefinite unreviewed detention is not constitutionally available. The Legislature must establish a framework with regular judicial review. 'Indefinite unreviewed detention is not a constitutionally available outcome' — one of the clearest lines in the document. Where removal is barred under §1.27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§1.27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 This concentrates democratic attention and ensures all federal officers have genuine majority mandates.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RCV nationally, preventing the geographic distortions of district-based winner-take-all systems. Votes transfer until one candidate holds a majority of active ballots nationwide. The national RCV tends to produce presidents who are the genuine second or third choice of a larger electorate — a broader mandate than first-preference plurality. This mechanism interacts with the regional combined score (§7.2.b–c): a candidate must achieve both a national majority and broad geographic distribution, preventing a president elected entirely by densely populated regional concentrations from claiming a national mandate.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mechanism favors the candidate with the broadest geographic distribution of support. A candidate who wins large margins in a few populous regions but has near-zero support elsewhere represents a fundamentally different governing coalition than a candidate with narrower leads distributed across all regions. The combined score is the constitution's structural requirement that the President represent the full polity — not merely its most concentrated population centers. This mechanism prevents the national RCV from being won by geographic concentration alone.</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§1.8.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§1.19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§1.25.e's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Three Inspectorates — one for each branch, each selected by the branches it does not watch. Constitutional independence, information-only mandate (§8.6), 10-year non-renewable terms, funding floors. No government majority can defund, direct, or suppress them without a 2/3 supermajority.</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§1.29.d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MA Independence Protection</w:t>
      </w:r>
    </w:p>
    <w:p>
      <w:pPr>
        <w:spacing w:after="120" w:before="0"/>
        <w:ind w:left="431"/>
        <w:jc w:val="both"/>
      </w:pPr>
      <w:r>
        <w:rPr>
          <w:rFonts w:ascii="Garamond" w:cs="Garamond" w:eastAsia="Garamond" w:hAnsi="Garamond"/>
          <w:color w:val="2a2520"/>
          <w:sz w:val="22"/>
          <w:szCs w:val="22"/>
        </w:rPr>
        <w:t xml:space="preserve">MA Independence Protection — 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The eight-year joint assessment is the constitution's built-in self-evaluation mechanism — the document asking whether it is working as designed. Every eight years, the three Inspectorates jointly assess constitutional performance across all domains: Are rights enforced? Is the Inspectorate reporting mechanism functioning or being abused? Are fiscal obligations met? Is military subordination complete? Is NRS coverage comprehensive? The assessment creates a permanent longitudinal record allowing comparison across periods. No previous constitution has built a scheduled self-assessment into its text. The mechanism operationalizes the drafters' epistemic humility: the document cannot know in advance whether it works; it builds in the machinery to find out, permanently and publicly.</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Selection and Independence — the cross-nomination model. SC nominates the LI IG (confirmed by Senate 2/3; House entirely excluded). House nominates the EI IG (confirmed by Senate simple majority; JI vets). JI IG selected by public lottery (no political body nominates anyone). Each Inspectorate is structured so that the body it watches had no role in selecting it.</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Term and Staggering — 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JI Compact Compliance — 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JI Court Operations Audit — 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JI Electoral Commission Audit — 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SC Candidate Registry — 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JI Judicial Independence Audit — 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SC Independence Assessment — 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Inferior Court Compliance — 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Gatekeeping Appeal — 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IGs — requires 2/3 of both chambers simultaneously, preceded by a State Designee Panel finding under §8.9.f. The Panel verification requirement prevents politically motivated removal — the Legislature may not vote on For-Cause removal of an IG without a Panel finding on the stated grounds. The Legislature may proceed to the vote regardless of the direction of the Panel's finding; the finding becomes permanent public record alongside the vote. The remaining Inspectorates transmit the grounds and documentary record to the Panel as the initiating body under §8.9.f.</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No-Cause Removal — 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Reports</w:t>
      </w:r>
    </w:p>
    <w:p>
      <w:pPr>
        <w:spacing w:after="120" w:before="0"/>
        <w:ind w:left="863"/>
        <w:jc w:val="both"/>
      </w:pPr>
      <w:r>
        <w:rPr>
          <w:rFonts w:ascii="Garamond" w:cs="Garamond" w:eastAsia="Garamond" w:hAnsi="Garamond"/>
          <w:color w:val="2a2520"/>
          <w:sz w:val="22"/>
          <w:szCs w:val="22"/>
        </w:rPr>
        <w:t xml:space="preserve">The Information-Only Mandate — Inspectorates publish facts; they do not issue binding orders or legal determinations. A finding that a government actor has breached the constitution is a factual statement, not a judgment. Courts, the Legislature, and the People decide what to do with those facts. This design keeps the Inspectorates within their constitutional role and prevents them from accumulating enforcement power.</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No Classification</w:t>
      </w:r>
    </w:p>
    <w:p>
      <w:pPr>
        <w:spacing w:after="120" w:before="0"/>
        <w:ind w:left="863"/>
        <w:jc w:val="both"/>
      </w:pPr>
      <w:r>
        <w:rPr>
          <w:rFonts w:ascii="Garamond" w:cs="Garamond" w:eastAsia="Garamond" w:hAnsi="Garamond"/>
          <w:color w:val="2a2520"/>
          <w:sz w:val="22"/>
          <w:szCs w:val="22"/>
        </w:rPr>
        <w:t xml:space="preserve">NRS Publication — 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No Binding Force</w:t>
      </w:r>
    </w:p>
    <w:p>
      <w:pPr>
        <w:spacing w:after="120" w:before="0"/>
        <w:ind w:left="863"/>
        <w:jc w:val="both"/>
      </w:pPr>
      <w:r>
        <w:rPr>
          <w:rFonts w:ascii="Garamond" w:cs="Garamond" w:eastAsia="Garamond" w:hAnsi="Garamond"/>
          <w:color w:val="2a2520"/>
          <w:sz w:val="22"/>
          <w:szCs w:val="22"/>
        </w:rPr>
        <w:t xml:space="preserve">Minority Reports — 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Non-Pursuit Disclosure</w:t>
      </w:r>
    </w:p>
    <w:p>
      <w:pPr>
        <w:spacing w:after="120" w:before="0"/>
        <w:ind w:left="863"/>
        <w:jc w:val="both"/>
      </w:pPr>
      <w:r>
        <w:rPr>
          <w:rFonts w:ascii="Garamond" w:cs="Garamond" w:eastAsia="Garamond" w:hAnsi="Garamond"/>
          <w:color w:val="2a2520"/>
          <w:sz w:val="22"/>
          <w:szCs w:val="22"/>
        </w:rPr>
        <w:t xml:space="preserve">Classification Exemption — 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Annual State of the Republic Report — 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Inspectorate Funding Guarantee</w:t>
      </w:r>
    </w:p>
    <w:p>
      <w:pPr>
        <w:spacing w:after="120" w:before="0"/>
        <w:ind w:left="863"/>
        <w:jc w:val="both"/>
      </w:pPr>
      <w:r>
        <w:rPr>
          <w:rFonts w:ascii="Garamond" w:cs="Garamond" w:eastAsia="Garamond" w:hAnsi="Garamond"/>
          <w:color w:val="2a2520"/>
          <w:sz w:val="22"/>
          <w:szCs w:val="22"/>
        </w:rPr>
        <w:t xml:space="preserve">Joint Investigation Authority — 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Citizen Discrepancy Petition</w:t>
      </w:r>
    </w:p>
    <w:p>
      <w:pPr>
        <w:spacing w:after="120" w:before="0"/>
        <w:ind w:left="863"/>
        <w:jc w:val="both"/>
      </w:pPr>
      <w:r>
        <w:rPr>
          <w:rFonts w:ascii="Garamond" w:cs="Garamond" w:eastAsia="Garamond" w:hAnsi="Garamond"/>
          <w:color w:val="2a2520"/>
          <w:sz w:val="22"/>
          <w:szCs w:val="22"/>
        </w:rPr>
        <w:t xml:space="preserve">Investigative Access — 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863"/>
      </w:pPr>
      <w:r>
        <w:rPr>
          <w:rFonts w:ascii="Courier New" w:cs="Courier New" w:eastAsia="Courier New" w:hAnsi="Courier New"/>
          <w:b/>
          <w:bCs/>
          <w:color w:val="1B2A4A"/>
          <w:sz w:val="18"/>
          <w:szCs w:val="18"/>
        </w:rPr>
        <w:t xml:space="preserve">§8.8.b  </w:t>
      </w:r>
      <w:r>
        <w:rPr>
          <w:rFonts w:ascii="Garamond" w:cs="Garamond" w:eastAsia="Garamond" w:hAnsi="Garamond"/>
          <w:b/>
          <w:bCs/>
          <w:color w:val="1B2A4A"/>
          <w:sz w:val="22"/>
          <w:szCs w:val="22"/>
        </w:rPr>
        <w:t xml:space="preserve">Publication</w:t>
      </w:r>
    </w:p>
    <w:p>
      <w:pPr>
        <w:spacing w:after="120" w:before="0"/>
        <w:ind w:left="863"/>
        <w:jc w:val="both"/>
      </w:pPr>
      <w:r>
        <w:rPr>
          <w:rFonts w:ascii="Garamond" w:cs="Garamond" w:eastAsia="Garamond" w:hAnsi="Garamond"/>
          <w:color w:val="2a2520"/>
          <w:sz w:val="22"/>
          <w:szCs w:val="22"/>
        </w:rPr>
        <w:t xml:space="preserve">EI Annual Military Assessment — a dedicated section within the EI's annual report covering: whether military operations in the prior year were authorized through the correct Tier; whether the §1.29.d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Distributed Custody</w:t>
      </w:r>
    </w:p>
    <w:p>
      <w:pPr>
        <w:spacing w:after="120" w:before="0"/>
        <w:ind w:left="863"/>
        <w:jc w:val="both"/>
      </w:pPr>
      <w:r>
        <w:rPr>
          <w:rFonts w:ascii="Garamond" w:cs="Garamond" w:eastAsia="Garamond" w:hAnsi="Garamond"/>
          <w:color w:val="2a2520"/>
          <w:sz w:val="22"/>
          <w:szCs w:val="22"/>
        </w:rPr>
        <w:t xml:space="preserve">NRS Access — 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Cryptographic Signing</w:t>
      </w:r>
    </w:p>
    <w:p>
      <w:pPr>
        <w:spacing w:after="120" w:before="0"/>
        <w:ind w:left="863"/>
        <w:jc w:val="both"/>
      </w:pPr>
      <w:r>
        <w:rPr>
          <w:rFonts w:ascii="Garamond" w:cs="Garamond" w:eastAsia="Garamond" w:hAnsi="Garamond"/>
          <w:color w:val="2a2520"/>
          <w:sz w:val="22"/>
          <w:szCs w:val="22"/>
        </w:rPr>
        <w:t xml:space="preserve">NRS Technical Standards — 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Technology Neutrality</w:t>
      </w:r>
    </w:p>
    <w:p>
      <w:pPr>
        <w:spacing w:after="120" w:before="0"/>
        <w:ind w:left="863"/>
        <w:jc w:val="both"/>
      </w:pPr>
      <w:r>
        <w:rPr>
          <w:rFonts w:ascii="Garamond" w:cs="Garamond" w:eastAsia="Garamond" w:hAnsi="Garamond"/>
          <w:color w:val="2a2520"/>
          <w:sz w:val="22"/>
          <w:szCs w:val="22"/>
        </w:rPr>
        <w:t xml:space="preserve">NRS Integrity Audit — 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Migration Overlap Protocol</w:t>
      </w:r>
    </w:p>
    <w:p>
      <w:pPr>
        <w:spacing w:after="120" w:before="0"/>
        <w:ind w:left="863"/>
        <w:jc w:val="both"/>
      </w:pPr>
      <w:r>
        <w:rPr>
          <w:rFonts w:ascii="Garamond" w:cs="Garamond" w:eastAsia="Garamond" w:hAnsi="Garamond"/>
          <w:color w:val="2a2520"/>
          <w:sz w:val="22"/>
          <w:szCs w:val="22"/>
        </w:rPr>
        <w:t xml:space="preserve">Third-Party NRS Mirrors — 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Self-Authentication</w:t>
      </w:r>
    </w:p>
    <w:p>
      <w:pPr>
        <w:spacing w:after="120" w:before="0"/>
        <w:ind w:left="863"/>
        <w:jc w:val="both"/>
      </w:pPr>
      <w:r>
        <w:rPr>
          <w:rFonts w:ascii="Garamond" w:cs="Garamond" w:eastAsia="Garamond" w:hAnsi="Garamond"/>
          <w:color w:val="2a2520"/>
          <w:sz w:val="22"/>
          <w:szCs w:val="22"/>
        </w:rPr>
        <w:t xml:space="preserve">NRS Classification Exemption for Inspectorate Reports — 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Historical Records Preservation — 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Cross-Jurisdictional Record Recognition</w:t>
      </w:r>
    </w:p>
    <w:p>
      <w:pPr>
        <w:spacing w:after="120" w:before="0"/>
        <w:ind w:left="431"/>
        <w:jc w:val="both"/>
      </w:pPr>
      <w:r>
        <w:rPr>
          <w:rFonts w:ascii="Garamond" w:cs="Garamond" w:eastAsia="Garamond" w:hAnsi="Garamond"/>
          <w:color w:val="2a2520"/>
          <w:sz w:val="22"/>
          <w:szCs w:val="22"/>
        </w:rPr>
        <w:t xml:space="preserve">Cross-Jurisdictional Record Recognition — records published to the NRS by one jurisdiction within the Republic are recognized as authentic records by all other jurisdictions without further authentication. The practical foundation for §4.4.b's NRS Authentication provision.</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&amp;#x2014;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NRS and Electoral Integrity — 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NRS Staffing and Independence — 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NRS Downtime Protocol — 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 NRS Submissions — 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NRS Funding Floor — 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 — it is a constitutional offense.</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a38f7c3a22247350e8f884cc47c98fda1930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2026-05-17T16:44:23.731Z</dcterms:created>
  <dcterms:modified xsi:type="dcterms:W3CDTF">2026-05-17T16:44:23.742Z</dcterms:modified>
</cp:coreProperties>
</file>

<file path=docProps/custom.xml><?xml version="1.0" encoding="utf-8"?>
<Properties xmlns="http://schemas.openxmlformats.org/officeDocument/2006/custom-properties" xmlns:vt="http://schemas.openxmlformats.org/officeDocument/2006/docPropsVTypes"/>
</file>