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Garamond" w:cs="Garamond" w:eastAsia="Garamond" w:hAnsi="Garamond"/>
          <w:b w:val="false"/>
          <w:bCs w:val="false"/>
          <w:i w:val="false"/>
          <w:iCs w:val="false"/>
          <w:color w:val="1B2A4A"/>
          <w:sz w:val="52"/>
          <w:szCs w:val="52"/>
        </w:rPr>
        <w:t xml:space="preserve">THE FEDERATED REPUBLIC</w:t>
      </w:r>
    </w:p>
    <w:p>
      <w:pPr>
        <w:pBdr>
          <w:bottom w:val="single" w:color="C9A84C" w:sz="4" w:space="8"/>
        </w:pBdr>
        <w:spacing w:after="120" w:before="0"/>
        <w:jc w:val="center"/>
      </w:pPr>
      <w:r>
        <w:rPr>
          <w:rFonts w:ascii="Garamond" w:cs="Garamond" w:eastAsia="Garamond" w:hAnsi="Garamond"/>
          <w:b w:val="false"/>
          <w:bCs w:val="false"/>
          <w:i w:val="false"/>
          <w:iCs w:val="false"/>
          <w:color w:val="C9A84C"/>
          <w:sz w:val="36"/>
          <w:szCs w:val="36"/>
        </w:rPr>
        <w:t xml:space="preserve">CONSTITUTION</w:t>
      </w:r>
    </w:p>
    <w:p>
      <w:pPr>
        <w:spacing w:after="0" w:before="240"/>
        <w:jc w:val="center"/>
      </w:pPr>
      <w:r>
        <w:rPr>
          <w:rFonts w:ascii="Garamond" w:cs="Garamond" w:eastAsia="Garamond" w:hAnsi="Garamond"/>
          <w:b w:val="false"/>
          <w:bCs w:val="false"/>
          <w:i/>
          <w:iCs/>
          <w:color w:val="7a7060"/>
          <w:sz w:val="22"/>
          <w:szCs w:val="22"/>
        </w:rPr>
        <w:t xml:space="preserve">158 Provisions · 20 Articles</w:t>
      </w:r>
    </w:p>
    <w:p>
      <w:pPr>
        <w:spacing w:after="0" w:before="60"/>
        <w:jc w:val="center"/>
      </w:pPr>
      <w:r>
        <w:rPr>
          <w:rFonts w:ascii="Garamond" w:cs="Garamond" w:eastAsia="Garamond" w:hAnsi="Garamond"/>
          <w:b w:val="false"/>
          <w:bCs w:val="false"/>
          <w:i w:val="false"/>
          <w:iCs w:val="false"/>
          <w:color w:val="7a7060"/>
          <w:sz w:val="18"/>
          <w:szCs w:val="18"/>
        </w:rPr>
        <w:t xml:space="preserve">thefederatedrepublic.org</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 — Individual Sovereignty and Rights</w:t>
      </w:r>
    </w:p>
    <w:p>
      <w:pPr>
        <w:spacing w:after="60" w:before="200"/>
        <w:ind w:left="431"/>
        <w:jc w:val="left"/>
      </w:pPr>
      <w:r>
        <w:rPr>
          <w:rFonts w:ascii="Courier New" w:cs="Courier New" w:eastAsia="Courier New" w:hAnsi="Courier New"/>
          <w:b/>
          <w:bCs/>
          <w:color w:val="2a2a2a"/>
          <w:sz w:val="18"/>
          <w:szCs w:val="18"/>
        </w:rPr>
        <w:t xml:space="preserve">§1.1  </w:t>
      </w:r>
      <w:r>
        <w:rPr>
          <w:rFonts w:ascii="Garamond" w:cs="Garamond" w:eastAsia="Garamond" w:hAnsi="Garamond"/>
          <w:b w:val="false"/>
          <w:bCs w:val="false"/>
          <w:i/>
          <w:iCs/>
          <w:color w:val="1B2A4A"/>
          <w:sz w:val="22"/>
          <w:szCs w:val="22"/>
        </w:rPr>
        <w:t xml:space="preserve">Right to Courts and Legal Remedy</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pPr>
        <w:spacing w:after="60" w:before="200"/>
        <w:ind w:left="431"/>
        <w:jc w:val="left"/>
      </w:pPr>
      <w:r>
        <w:rPr>
          <w:rFonts w:ascii="Courier New" w:cs="Courier New" w:eastAsia="Courier New" w:hAnsi="Courier New"/>
          <w:b/>
          <w:bCs/>
          <w:color w:val="2a2a2a"/>
          <w:sz w:val="18"/>
          <w:szCs w:val="18"/>
        </w:rPr>
        <w:t xml:space="preserve">§1.2  </w:t>
      </w:r>
      <w:r>
        <w:rPr>
          <w:rFonts w:ascii="Garamond" w:cs="Garamond" w:eastAsia="Garamond" w:hAnsi="Garamond"/>
          <w:b w:val="false"/>
          <w:bCs w:val="false"/>
          <w:i/>
          <w:iCs/>
          <w:color w:val="1B2A4A"/>
          <w:sz w:val="22"/>
          <w:szCs w:val="22"/>
        </w:rPr>
        <w:t xml:space="preserve">Individual Sovereignty Floor</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pPr>
        <w:spacing w:after="60" w:before="200"/>
        <w:ind w:left="431"/>
        <w:jc w:val="left"/>
      </w:pPr>
      <w:r>
        <w:rPr>
          <w:rFonts w:ascii="Courier New" w:cs="Courier New" w:eastAsia="Courier New" w:hAnsi="Courier New"/>
          <w:b/>
          <w:bCs/>
          <w:color w:val="2a2a2a"/>
          <w:sz w:val="18"/>
          <w:szCs w:val="18"/>
        </w:rPr>
        <w:t xml:space="preserve">§1.3  </w:t>
      </w:r>
      <w:r>
        <w:rPr>
          <w:rFonts w:ascii="Garamond" w:cs="Garamond" w:eastAsia="Garamond" w:hAnsi="Garamond"/>
          <w:b w:val="false"/>
          <w:bCs w:val="false"/>
          <w:i/>
          <w:iCs/>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Torture and cruel, inhuman, or degrading treatment are absolutely prohibited. No person within the Republic's jurisdiction may be subjected to any such treatment. This right is non-derogable under §1.19.b.</w:t>
      </w:r>
    </w:p>
    <w:p>
      <w:pPr>
        <w:spacing w:after="60" w:before="200"/>
        <w:ind w:left="431"/>
        <w:jc w:val="left"/>
      </w:pPr>
      <w:r>
        <w:rPr>
          <w:rFonts w:ascii="Courier New" w:cs="Courier New" w:eastAsia="Courier New" w:hAnsi="Courier New"/>
          <w:b/>
          <w:bCs/>
          <w:color w:val="2a2a2a"/>
          <w:sz w:val="18"/>
          <w:szCs w:val="18"/>
        </w:rPr>
        <w:t xml:space="preserve">§1.4  </w:t>
      </w:r>
      <w:r>
        <w:rPr>
          <w:rFonts w:ascii="Garamond" w:cs="Garamond" w:eastAsia="Garamond" w:hAnsi="Garamond"/>
          <w:b w:val="false"/>
          <w:bCs w:val="false"/>
          <w:i/>
          <w:iCs/>
          <w:color w:val="1B2A4A"/>
          <w:sz w:val="22"/>
          <w:szCs w:val="22"/>
        </w:rPr>
        <w:t xml:space="preserve">Prohibition of Slavery and Forced Labor</w:t>
      </w:r>
    </w:p>
    <w:p>
      <w:pPr>
        <w:spacing w:after="120" w:before="0"/>
        <w:ind w:left="431"/>
        <w:jc w:val="both"/>
      </w:pPr>
      <w:r>
        <w:rPr>
          <w:rFonts w:ascii="Garamond" w:cs="Garamond" w:eastAsia="Garamond" w:hAnsi="Garamond"/>
          <w:b w:val="false"/>
          <w:bCs w:val="false"/>
          <w:i w:val="false"/>
          <w:iCs w:val="false"/>
          <w:color w:val="2a2a2a"/>
          <w:sz w:val="22"/>
          <w:szCs w:val="22"/>
        </w:rPr>
        <w:t xml:space="preserve">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§1.19.b.</w:t>
      </w:r>
    </w:p>
    <w:p>
      <w:pPr>
        <w:spacing w:after="60" w:before="200"/>
        <w:ind w:left="431"/>
        <w:jc w:val="left"/>
      </w:pPr>
      <w:r>
        <w:rPr>
          <w:rFonts w:ascii="Courier New" w:cs="Courier New" w:eastAsia="Courier New" w:hAnsi="Courier New"/>
          <w:b/>
          <w:bCs/>
          <w:color w:val="2a2a2a"/>
          <w:sz w:val="18"/>
          <w:szCs w:val="18"/>
        </w:rPr>
        <w:t xml:space="preserve">§1.5  </w:t>
      </w:r>
      <w:r>
        <w:rPr>
          <w:rFonts w:ascii="Garamond" w:cs="Garamond" w:eastAsia="Garamond" w:hAnsi="Garamond"/>
          <w:b w:val="false"/>
          <w:bCs w:val="false"/>
          <w:i/>
          <w:iCs/>
          <w:color w:val="1B2A4A"/>
          <w:sz w:val="22"/>
          <w:szCs w:val="22"/>
        </w:rPr>
        <w:t xml:space="preserve">Civil and Political Liberties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pPr>
        <w:spacing w:after="60" w:before="200"/>
        <w:ind w:left="431"/>
        <w:jc w:val="left"/>
      </w:pPr>
      <w:r>
        <w:rPr>
          <w:rFonts w:ascii="Courier New" w:cs="Courier New" w:eastAsia="Courier New" w:hAnsi="Courier New"/>
          <w:b/>
          <w:bCs/>
          <w:color w:val="2a2a2a"/>
          <w:sz w:val="18"/>
          <w:szCs w:val="18"/>
        </w:rPr>
        <w:t xml:space="preserve">§1.6  </w:t>
      </w:r>
      <w:r>
        <w:rPr>
          <w:rFonts w:ascii="Garamond" w:cs="Garamond" w:eastAsia="Garamond" w:hAnsi="Garamond"/>
          <w:b w:val="false"/>
          <w:bCs w:val="false"/>
          <w:i/>
          <w:iCs/>
          <w:color w:val="1B2A4A"/>
          <w:sz w:val="22"/>
          <w:szCs w:val="22"/>
        </w:rPr>
        <w:t xml:space="preserve">Equality and Non-Discrimination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pPr>
        <w:spacing w:after="60" w:before="200"/>
        <w:ind w:left="431"/>
        <w:jc w:val="left"/>
      </w:pPr>
      <w:r>
        <w:rPr>
          <w:rFonts w:ascii="Courier New" w:cs="Courier New" w:eastAsia="Courier New" w:hAnsi="Courier New"/>
          <w:b/>
          <w:bCs/>
          <w:color w:val="2a2a2a"/>
          <w:sz w:val="18"/>
          <w:szCs w:val="18"/>
        </w:rPr>
        <w:t xml:space="preserve">§1.7  </w:t>
      </w:r>
      <w:r>
        <w:rPr>
          <w:rFonts w:ascii="Garamond" w:cs="Garamond" w:eastAsia="Garamond" w:hAnsi="Garamond"/>
          <w:b w:val="false"/>
          <w:bCs w:val="false"/>
          <w:i/>
          <w:iCs/>
          <w:color w:val="1B2A4A"/>
          <w:sz w:val="22"/>
          <w:szCs w:val="22"/>
        </w:rPr>
        <w:t xml:space="preserve">Bodily Sovereignty and Privacy</w:t>
      </w:r>
    </w:p>
    <w:p>
      <w:pPr>
        <w:spacing w:after="120" w:before="0"/>
        <w:ind w:left="431"/>
        <w:jc w:val="both"/>
      </w:pPr>
      <w:r>
        <w:rPr>
          <w:rFonts w:ascii="Garamond" w:cs="Garamond" w:eastAsia="Garamond" w:hAnsi="Garamond"/>
          <w:b w:val="false"/>
          <w:bCs w:val="false"/>
          <w:i w:val="false"/>
          <w:iCs w:val="false"/>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pPr>
        <w:spacing w:after="60" w:before="200"/>
        <w:ind w:left="431"/>
        <w:jc w:val="left"/>
      </w:pPr>
      <w:r>
        <w:rPr>
          <w:rFonts w:ascii="Courier New" w:cs="Courier New" w:eastAsia="Courier New" w:hAnsi="Courier New"/>
          <w:b/>
          <w:bCs/>
          <w:color w:val="2a2a2a"/>
          <w:sz w:val="18"/>
          <w:szCs w:val="18"/>
        </w:rPr>
        <w:t xml:space="preserve">§1.8  </w:t>
      </w:r>
      <w:r>
        <w:rPr>
          <w:rFonts w:ascii="Garamond" w:cs="Garamond" w:eastAsia="Garamond" w:hAnsi="Garamond"/>
          <w:b w:val="false"/>
          <w:bCs w:val="false"/>
          <w:i/>
          <w:iCs/>
          <w:color w:val="1B2A4A"/>
          <w:sz w:val="22"/>
          <w:szCs w:val="22"/>
        </w:rPr>
        <w:t xml:space="preserve">Property and Security of the Home</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pPr>
        <w:spacing w:after="60" w:before="200"/>
        <w:ind w:left="431"/>
        <w:jc w:val="left"/>
      </w:pPr>
      <w:r>
        <w:rPr>
          <w:rFonts w:ascii="Courier New" w:cs="Courier New" w:eastAsia="Courier New" w:hAnsi="Courier New"/>
          <w:b/>
          <w:bCs/>
          <w:color w:val="2a2a2a"/>
          <w:sz w:val="18"/>
          <w:szCs w:val="18"/>
        </w:rPr>
        <w:t xml:space="preserve">§1.9  </w:t>
      </w:r>
      <w:r>
        <w:rPr>
          <w:rFonts w:ascii="Garamond" w:cs="Garamond" w:eastAsia="Garamond" w:hAnsi="Garamond"/>
          <w:b w:val="false"/>
          <w:bCs w:val="false"/>
          <w:i/>
          <w:iCs/>
          <w:color w:val="1B2A4A"/>
          <w:sz w:val="22"/>
          <w:szCs w:val="22"/>
        </w:rPr>
        <w:t xml:space="preserve">Democratic Participation and Family</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pPr>
        <w:spacing w:after="60" w:before="200"/>
        <w:ind w:left="431"/>
        <w:jc w:val="left"/>
      </w:pPr>
      <w:r>
        <w:rPr>
          <w:rFonts w:ascii="Courier New" w:cs="Courier New" w:eastAsia="Courier New" w:hAnsi="Courier New"/>
          <w:b/>
          <w:bCs/>
          <w:color w:val="2a2a2a"/>
          <w:sz w:val="18"/>
          <w:szCs w:val="18"/>
        </w:rPr>
        <w:t xml:space="preserve">§1.10  </w:t>
      </w:r>
      <w:r>
        <w:rPr>
          <w:rFonts w:ascii="Garamond" w:cs="Garamond" w:eastAsia="Garamond" w:hAnsi="Garamond"/>
          <w:b w:val="false"/>
          <w:bCs w:val="false"/>
          <w:i/>
          <w:iCs/>
          <w:color w:val="1B2A4A"/>
          <w:sz w:val="22"/>
          <w:szCs w:val="22"/>
        </w:rPr>
        <w:t xml:space="preserve">Right to Bear Arms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pPr>
        <w:spacing w:after="60" w:before="200"/>
        <w:ind w:left="431"/>
        <w:jc w:val="left"/>
      </w:pPr>
      <w:r>
        <w:rPr>
          <w:rFonts w:ascii="Courier New" w:cs="Courier New" w:eastAsia="Courier New" w:hAnsi="Courier New"/>
          <w:b/>
          <w:bCs/>
          <w:color w:val="2a2a2a"/>
          <w:sz w:val="18"/>
          <w:szCs w:val="18"/>
        </w:rPr>
        <w:t xml:space="preserve">§1.11  </w:t>
      </w:r>
      <w:r>
        <w:rPr>
          <w:rFonts w:ascii="Garamond" w:cs="Garamond" w:eastAsia="Garamond" w:hAnsi="Garamond"/>
          <w:b w:val="false"/>
          <w:bCs w:val="false"/>
          <w:i/>
          <w:iCs/>
          <w:color w:val="1B2A4A"/>
          <w:sz w:val="22"/>
          <w:szCs w:val="22"/>
        </w:rPr>
        <w:t xml:space="preserve">Habeas Corpus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pPr>
        <w:spacing w:after="60" w:before="200"/>
        <w:ind w:left="431"/>
        <w:jc w:val="left"/>
      </w:pPr>
      <w:r>
        <w:rPr>
          <w:rFonts w:ascii="Courier New" w:cs="Courier New" w:eastAsia="Courier New" w:hAnsi="Courier New"/>
          <w:b/>
          <w:bCs/>
          <w:color w:val="2a2a2a"/>
          <w:sz w:val="18"/>
          <w:szCs w:val="18"/>
        </w:rPr>
        <w:t xml:space="preserve">§1.12  </w:t>
      </w:r>
      <w:r>
        <w:rPr>
          <w:rFonts w:ascii="Garamond" w:cs="Garamond" w:eastAsia="Garamond" w:hAnsi="Garamond"/>
          <w:b w:val="false"/>
          <w:bCs w:val="false"/>
          <w:i/>
          <w:iCs/>
          <w:color w:val="1B2A4A"/>
          <w:sz w:val="22"/>
          <w:szCs w:val="22"/>
        </w:rPr>
        <w:t xml:space="preserve">Rights of the Accused and Fair Trial</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pPr>
        <w:spacing w:after="60" w:before="200"/>
        <w:ind w:left="431"/>
        <w:jc w:val="left"/>
      </w:pPr>
      <w:r>
        <w:rPr>
          <w:rFonts w:ascii="Courier New" w:cs="Courier New" w:eastAsia="Courier New" w:hAnsi="Courier New"/>
          <w:b/>
          <w:bCs/>
          <w:color w:val="2a2a2a"/>
          <w:sz w:val="18"/>
          <w:szCs w:val="18"/>
        </w:rPr>
        <w:t xml:space="preserve">§1.13  </w:t>
      </w:r>
      <w:r>
        <w:rPr>
          <w:rFonts w:ascii="Garamond" w:cs="Garamond" w:eastAsia="Garamond" w:hAnsi="Garamond"/>
          <w:b w:val="false"/>
          <w:bCs w:val="false"/>
          <w:i/>
          <w:iCs/>
          <w:color w:val="1B2A4A"/>
          <w:sz w:val="22"/>
          <w:szCs w:val="22"/>
        </w:rPr>
        <w:t xml:space="preserve">Right to a Public Trial</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pPr>
        <w:spacing w:after="60" w:before="200"/>
        <w:ind w:left="431"/>
        <w:jc w:val="left"/>
      </w:pPr>
      <w:r>
        <w:rPr>
          <w:rFonts w:ascii="Courier New" w:cs="Courier New" w:eastAsia="Courier New" w:hAnsi="Courier New"/>
          <w:b/>
          <w:bCs/>
          <w:color w:val="2a2a2a"/>
          <w:sz w:val="18"/>
          <w:szCs w:val="18"/>
        </w:rPr>
        <w:t xml:space="preserve">§1.14  </w:t>
      </w:r>
      <w:r>
        <w:rPr>
          <w:rFonts w:ascii="Garamond" w:cs="Garamond" w:eastAsia="Garamond" w:hAnsi="Garamond"/>
          <w:b w:val="false"/>
          <w:bCs w:val="false"/>
          <w:i/>
          <w:iCs/>
          <w:color w:val="1B2A4A"/>
          <w:sz w:val="22"/>
          <w:szCs w:val="22"/>
        </w:rPr>
        <w:t xml:space="preserve">Freedom from Retroactive Criminal Law</w:t>
      </w:r>
    </w:p>
    <w:p>
      <w:pPr>
        <w:spacing w:after="120" w:before="0"/>
        <w:ind w:left="431"/>
        <w:jc w:val="both"/>
      </w:pPr>
      <w:r>
        <w:rPr>
          <w:rFonts w:ascii="Garamond" w:cs="Garamond" w:eastAsia="Garamond" w:hAnsi="Garamond"/>
          <w:b w:val="false"/>
          <w:bCs w:val="false"/>
          <w:i w:val="false"/>
          <w:iCs w:val="false"/>
          <w:color w:val="2a2a2a"/>
          <w:sz w:val="22"/>
          <w:szCs w:val="22"/>
        </w:rPr>
        <w:t xml:space="preserve">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pPr>
        <w:spacing w:after="60" w:before="200"/>
        <w:ind w:left="431"/>
        <w:jc w:val="left"/>
      </w:pPr>
      <w:r>
        <w:rPr>
          <w:rFonts w:ascii="Courier New" w:cs="Courier New" w:eastAsia="Courier New" w:hAnsi="Courier New"/>
          <w:b/>
          <w:bCs/>
          <w:color w:val="2a2a2a"/>
          <w:sz w:val="18"/>
          <w:szCs w:val="18"/>
        </w:rPr>
        <w:t xml:space="preserve">§1.15  </w:t>
      </w:r>
      <w:r>
        <w:rPr>
          <w:rFonts w:ascii="Garamond" w:cs="Garamond" w:eastAsia="Garamond" w:hAnsi="Garamond"/>
          <w:b w:val="false"/>
          <w:bCs w:val="false"/>
          <w:i/>
          <w:iCs/>
          <w:color w:val="1B2A4A"/>
          <w:sz w:val="22"/>
          <w:szCs w:val="22"/>
        </w:rPr>
        <w:t xml:space="preserve">Double Jeopardy</w:t>
      </w:r>
    </w:p>
    <w:p>
      <w:pPr>
        <w:spacing w:after="120" w:before="0"/>
        <w:ind w:left="431"/>
        <w:jc w:val="both"/>
      </w:pPr>
      <w:r>
        <w:rPr>
          <w:rFonts w:ascii="Garamond" w:cs="Garamond" w:eastAsia="Garamond" w:hAnsi="Garamond"/>
          <w:b w:val="false"/>
          <w:bCs w:val="false"/>
          <w:i w:val="false"/>
          <w:iCs w:val="false"/>
          <w:color w:val="2a2a2a"/>
          <w:sz w:val="22"/>
          <w:szCs w:val="22"/>
        </w:rPr>
        <w:t xml:space="preserve">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pPr>
        <w:spacing w:after="60" w:before="200"/>
        <w:ind w:left="431"/>
        <w:jc w:val="left"/>
      </w:pPr>
      <w:r>
        <w:rPr>
          <w:rFonts w:ascii="Courier New" w:cs="Courier New" w:eastAsia="Courier New" w:hAnsi="Courier New"/>
          <w:b/>
          <w:bCs/>
          <w:color w:val="2a2a2a"/>
          <w:sz w:val="18"/>
          <w:szCs w:val="18"/>
        </w:rPr>
        <w:t xml:space="preserve">§1.16  </w:t>
      </w:r>
      <w:r>
        <w:rPr>
          <w:rFonts w:ascii="Garamond" w:cs="Garamond" w:eastAsia="Garamond" w:hAnsi="Garamond"/>
          <w:b w:val="false"/>
          <w:bCs w:val="false"/>
          <w:i/>
          <w:iCs/>
          <w:color w:val="1B2A4A"/>
          <w:sz w:val="22"/>
          <w:szCs w:val="22"/>
        </w:rPr>
        <w:t xml:space="preserve">Social Assistance Floor</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2a2a2a"/>
          <w:sz w:val="18"/>
          <w:szCs w:val="18"/>
        </w:rPr>
        <w:t xml:space="preserve">§1.17  </w:t>
      </w:r>
      <w:r>
        <w:rPr>
          <w:rFonts w:ascii="Garamond" w:cs="Garamond" w:eastAsia="Garamond" w:hAnsi="Garamond"/>
          <w:b w:val="false"/>
          <w:bCs w:val="false"/>
          <w:i/>
          <w:iCs/>
          <w:color w:val="1B2A4A"/>
          <w:sz w:val="22"/>
          <w:szCs w:val="22"/>
        </w:rPr>
        <w:t xml:space="preserve">Education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2a2a2a"/>
          <w:sz w:val="18"/>
          <w:szCs w:val="18"/>
        </w:rPr>
        <w:t xml:space="preserve">§1.18  </w:t>
      </w:r>
      <w:r>
        <w:rPr>
          <w:rFonts w:ascii="Garamond" w:cs="Garamond" w:eastAsia="Garamond" w:hAnsi="Garamond"/>
          <w:b w:val="false"/>
          <w:bCs w:val="false"/>
          <w:i/>
          <w:iCs/>
          <w:color w:val="1B2A4A"/>
          <w:sz w:val="22"/>
          <w:szCs w:val="22"/>
        </w:rPr>
        <w:t xml:space="preserve">Environmental Obligations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pPr>
        <w:spacing w:after="60" w:before="200"/>
        <w:ind w:left="431"/>
        <w:jc w:val="left"/>
      </w:pPr>
      <w:r>
        <w:rPr>
          <w:rFonts w:ascii="Courier New" w:cs="Courier New" w:eastAsia="Courier New" w:hAnsi="Courier New"/>
          <w:b/>
          <w:bCs/>
          <w:color w:val="2a2a2a"/>
          <w:sz w:val="18"/>
          <w:szCs w:val="18"/>
        </w:rPr>
        <w:t xml:space="preserve">§1.19  </w:t>
      </w:r>
      <w:r>
        <w:rPr>
          <w:rFonts w:ascii="Garamond" w:cs="Garamond" w:eastAsia="Garamond" w:hAnsi="Garamond"/>
          <w:b w:val="false"/>
          <w:bCs w:val="false"/>
          <w:i/>
          <w:iCs/>
          <w:color w:val="1B2A4A"/>
          <w:sz w:val="22"/>
          <w:szCs w:val="22"/>
        </w:rPr>
        <w:t xml:space="preserve">Emergency Derogation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No emergency — however severe — suspends the Individual Sovereignty Floor in full. Temporary derogation of certain rights is permitted only under the strict conditions of this section; the rights enumerated in §1.19.b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pPr>
        <w:spacing w:after="60" w:before="200"/>
        <w:ind w:left="431"/>
        <w:jc w:val="left"/>
      </w:pPr>
      <w:r>
        <w:rPr>
          <w:rFonts w:ascii="Courier New" w:cs="Courier New" w:eastAsia="Courier New" w:hAnsi="Courier New"/>
          <w:b/>
          <w:bCs/>
          <w:color w:val="2a2a2a"/>
          <w:sz w:val="18"/>
          <w:szCs w:val="18"/>
        </w:rPr>
        <w:t xml:space="preserve">§1.19.b  </w:t>
      </w:r>
      <w:r>
        <w:rPr>
          <w:rFonts w:ascii="Garamond" w:cs="Garamond" w:eastAsia="Garamond" w:hAnsi="Garamond"/>
          <w:b w:val="false"/>
          <w:bCs w:val="false"/>
          <w:i/>
          <w:iCs/>
          <w:color w:val="1B2A4A"/>
          <w:sz w:val="22"/>
          <w:szCs w:val="22"/>
        </w:rPr>
        <w:t xml:space="preserve">Non-Derogable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pPr>
        <w:spacing w:after="60" w:before="200"/>
        <w:ind w:left="431"/>
        <w:jc w:val="left"/>
      </w:pPr>
      <w:r>
        <w:rPr>
          <w:rFonts w:ascii="Courier New" w:cs="Courier New" w:eastAsia="Courier New" w:hAnsi="Courier New"/>
          <w:b/>
          <w:bCs/>
          <w:color w:val="2a2a2a"/>
          <w:sz w:val="18"/>
          <w:szCs w:val="18"/>
        </w:rPr>
        <w:t xml:space="preserve">§1.19.e  </w:t>
      </w:r>
      <w:r>
        <w:rPr>
          <w:rFonts w:ascii="Garamond" w:cs="Garamond" w:eastAsia="Garamond" w:hAnsi="Garamond"/>
          <w:b w:val="false"/>
          <w:bCs w:val="false"/>
          <w:i/>
          <w:iCs/>
          <w:color w:val="1B2A4A"/>
          <w:sz w:val="22"/>
          <w:szCs w:val="22"/>
        </w:rPr>
        <w:t xml:space="preserve">Emergency Declaration Lifecycle</w:t>
      </w:r>
    </w:p>
    <w:p>
      <w:pPr>
        <w:spacing w:after="120" w:before="0"/>
        <w:ind w:left="431"/>
        <w:jc w:val="both"/>
      </w:pPr>
      <w:r>
        <w:rPr>
          <w:rFonts w:ascii="Garamond" w:cs="Garamond" w:eastAsia="Garamond" w:hAnsi="Garamond"/>
          <w:b w:val="false"/>
          <w:bCs w:val="false"/>
          <w:i w:val="false"/>
          <w:iCs w:val="false"/>
          <w:color w:val="2a2a2a"/>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pPr>
        <w:spacing w:after="60" w:before="200"/>
        <w:ind w:left="431"/>
        <w:jc w:val="left"/>
      </w:pPr>
      <w:r>
        <w:rPr>
          <w:rFonts w:ascii="Courier New" w:cs="Courier New" w:eastAsia="Courier New" w:hAnsi="Courier New"/>
          <w:b/>
          <w:bCs/>
          <w:color w:val="2a2a2a"/>
          <w:sz w:val="18"/>
          <w:szCs w:val="18"/>
        </w:rPr>
        <w:t xml:space="preserve">§1.20  </w:t>
      </w:r>
      <w:r>
        <w:rPr>
          <w:rFonts w:ascii="Garamond" w:cs="Garamond" w:eastAsia="Garamond" w:hAnsi="Garamond"/>
          <w:b w:val="false"/>
          <w:bCs w:val="false"/>
          <w:i/>
          <w:iCs/>
          <w:color w:val="1B2A4A"/>
          <w:sz w:val="22"/>
          <w:szCs w:val="22"/>
        </w:rPr>
        <w:t xml:space="preserve">Right to Seek Asylum</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pPr>
        <w:spacing w:after="60" w:before="200"/>
        <w:ind w:left="431"/>
        <w:jc w:val="left"/>
      </w:pPr>
      <w:r>
        <w:rPr>
          <w:rFonts w:ascii="Courier New" w:cs="Courier New" w:eastAsia="Courier New" w:hAnsi="Courier New"/>
          <w:b/>
          <w:bCs/>
          <w:color w:val="2a2a2a"/>
          <w:sz w:val="18"/>
          <w:szCs w:val="18"/>
        </w:rPr>
        <w:t xml:space="preserve">§1.21  </w:t>
      </w:r>
      <w:r>
        <w:rPr>
          <w:rFonts w:ascii="Garamond" w:cs="Garamond" w:eastAsia="Garamond" w:hAnsi="Garamond"/>
          <w:b w:val="false"/>
          <w:bCs w:val="false"/>
          <w:i/>
          <w:iCs/>
          <w:color w:val="1B2A4A"/>
          <w:sz w:val="22"/>
          <w:szCs w:val="22"/>
        </w:rPr>
        <w:t xml:space="preserve">Non-Refoulement</w:t>
      </w:r>
    </w:p>
    <w:p>
      <w:pPr>
        <w:spacing w:after="120" w:before="0"/>
        <w:ind w:left="431"/>
        <w:jc w:val="both"/>
      </w:pPr>
      <w:r>
        <w:rPr>
          <w:rFonts w:ascii="Garamond" w:cs="Garamond" w:eastAsia="Garamond" w:hAnsi="Garamond"/>
          <w:b w:val="false"/>
          <w:bCs w:val="false"/>
          <w:i w:val="false"/>
          <w:iCs w:val="false"/>
          <w:color w:val="2a2a2a"/>
          <w:sz w:val="22"/>
          <w:szCs w:val="22"/>
        </w:rPr>
        <w:t xml:space="preserve">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II — The Dual Executive</w:t>
      </w:r>
    </w:p>
    <w:p>
      <w:pPr>
        <w:spacing w:after="60" w:before="200"/>
        <w:ind w:left="431"/>
        <w:jc w:val="left"/>
      </w:pPr>
      <w:r>
        <w:rPr>
          <w:rFonts w:ascii="Courier New" w:cs="Courier New" w:eastAsia="Courier New" w:hAnsi="Courier New"/>
          <w:b/>
          <w:bCs/>
          <w:color w:val="2a2a2a"/>
          <w:sz w:val="18"/>
          <w:szCs w:val="18"/>
        </w:rPr>
        <w:t xml:space="preserve">§2.1  </w:t>
      </w:r>
      <w:r>
        <w:rPr>
          <w:rFonts w:ascii="Garamond" w:cs="Garamond" w:eastAsia="Garamond" w:hAnsi="Garamond"/>
          <w:b w:val="false"/>
          <w:bCs w:val="false"/>
          <w:i/>
          <w:iCs/>
          <w:color w:val="1B2A4A"/>
          <w:sz w:val="22"/>
          <w:szCs w:val="22"/>
        </w:rPr>
        <w:t xml:space="preserve">The Legat Consul — Domain and Term</w:t>
      </w:r>
    </w:p>
    <w:p>
      <w:pPr>
        <w:spacing w:after="120" w:before="0"/>
        <w:ind w:left="431"/>
        <w:jc w:val="both"/>
      </w:pPr>
      <w:r>
        <w:rPr>
          <w:rFonts w:ascii="Garamond" w:cs="Garamond" w:eastAsia="Garamond" w:hAnsi="Garamond"/>
          <w:b w:val="false"/>
          <w:bCs w:val="false"/>
          <w:i w:val="false"/>
          <w:iCs w:val="false"/>
          <w:color w:val="2a2a2a"/>
          <w:sz w:val="22"/>
          <w:szCs w:val="22"/>
        </w:rPr>
        <w:t xml:space="preserve">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compact relationships with recognized indigenous nations under Article XVI;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pPr>
        <w:spacing w:after="60" w:before="200"/>
        <w:ind w:left="431"/>
        <w:jc w:val="left"/>
      </w:pPr>
      <w:r>
        <w:rPr>
          <w:rFonts w:ascii="Courier New" w:cs="Courier New" w:eastAsia="Courier New" w:hAnsi="Courier New"/>
          <w:b/>
          <w:bCs/>
          <w:color w:val="2a2a2a"/>
          <w:sz w:val="18"/>
          <w:szCs w:val="18"/>
        </w:rPr>
        <w:t xml:space="preserve">§2.2  </w:t>
      </w:r>
      <w:r>
        <w:rPr>
          <w:rFonts w:ascii="Garamond" w:cs="Garamond" w:eastAsia="Garamond" w:hAnsi="Garamond"/>
          <w:b w:val="false"/>
          <w:bCs w:val="false"/>
          <w:i/>
          <w:iCs/>
          <w:color w:val="1B2A4A"/>
          <w:sz w:val="22"/>
          <w:szCs w:val="22"/>
        </w:rPr>
        <w:t xml:space="preserve">Military Authorization Framework</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pPr>
        <w:spacing w:after="60" w:before="200"/>
        <w:ind w:left="431"/>
        <w:jc w:val="left"/>
      </w:pPr>
      <w:r>
        <w:rPr>
          <w:rFonts w:ascii="Courier New" w:cs="Courier New" w:eastAsia="Courier New" w:hAnsi="Courier New"/>
          <w:b/>
          <w:bCs/>
          <w:color w:val="2a2a2a"/>
          <w:sz w:val="18"/>
          <w:szCs w:val="18"/>
        </w:rPr>
        <w:t xml:space="preserve">§2.3  </w:t>
      </w:r>
      <w:r>
        <w:rPr>
          <w:rFonts w:ascii="Garamond" w:cs="Garamond" w:eastAsia="Garamond" w:hAnsi="Garamond"/>
          <w:b w:val="false"/>
          <w:bCs w:val="false"/>
          <w:i/>
          <w:iCs/>
          <w:color w:val="1B2A4A"/>
          <w:sz w:val="22"/>
          <w:szCs w:val="22"/>
        </w:rPr>
        <w:t xml:space="preserve">Consular Intelligence and Veto</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directs foreign intelligence. No intelligence operation may be conducted against Republic citizens within Republic territory on the Legat Consul's authority; such operations require independent judicial authorization.</w:t>
      </w:r>
    </w:p>
    <w:p>
      <w:pPr>
        <w:spacing w:after="60" w:before="200"/>
        <w:ind w:left="431"/>
        <w:jc w:val="left"/>
      </w:pPr>
      <w:r>
        <w:rPr>
          <w:rFonts w:ascii="Courier New" w:cs="Courier New" w:eastAsia="Courier New" w:hAnsi="Courier New"/>
          <w:b/>
          <w:bCs/>
          <w:color w:val="2a2a2a"/>
          <w:sz w:val="18"/>
          <w:szCs w:val="18"/>
        </w:rPr>
        <w:t xml:space="preserve">§2.3.a  </w:t>
      </w:r>
      <w:r>
        <w:rPr>
          <w:rFonts w:ascii="Garamond" w:cs="Garamond" w:eastAsia="Garamond" w:hAnsi="Garamond"/>
          <w:b w:val="false"/>
          <w:bCs w:val="false"/>
          <w:i/>
          <w:iCs/>
          <w:color w:val="1B2A4A"/>
          <w:sz w:val="22"/>
          <w:szCs w:val="22"/>
        </w:rPr>
        <w:t xml:space="preserve">Legat Consul Legislative Veto</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supermajority at any time during that session; where no override occurs, the bill lapses for that session.</w:t>
      </w:r>
    </w:p>
    <w:p>
      <w:pPr>
        <w:spacing w:after="60" w:before="200"/>
        <w:ind w:left="431"/>
        <w:jc w:val="left"/>
      </w:pPr>
      <w:r>
        <w:rPr>
          <w:rFonts w:ascii="Courier New" w:cs="Courier New" w:eastAsia="Courier New" w:hAnsi="Courier New"/>
          <w:b/>
          <w:bCs/>
          <w:color w:val="2a2a2a"/>
          <w:sz w:val="18"/>
          <w:szCs w:val="18"/>
        </w:rPr>
        <w:t xml:space="preserve">§2.4  </w:t>
      </w:r>
      <w:r>
        <w:rPr>
          <w:rFonts w:ascii="Garamond" w:cs="Garamond" w:eastAsia="Garamond" w:hAnsi="Garamond"/>
          <w:b w:val="false"/>
          <w:bCs w:val="false"/>
          <w:i/>
          <w:iCs/>
          <w:color w:val="1B2A4A"/>
          <w:sz w:val="22"/>
          <w:szCs w:val="22"/>
        </w:rPr>
        <w:t xml:space="preserve">Legat Consul International Agreements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candidates maintained by the Elections Panel under §9.12. The Legislature defines qualifications and confirmation procedures for each office by statute; acting appointments may be made pending confirmation for the period and under the conditions the Legislature defines.</w:t>
      </w:r>
    </w:p>
    <w:p>
      <w:pPr>
        <w:spacing w:after="60" w:before="200"/>
        <w:ind w:left="431"/>
        <w:jc w:val="left"/>
      </w:pPr>
      <w:r>
        <w:rPr>
          <w:rFonts w:ascii="Courier New" w:cs="Courier New" w:eastAsia="Courier New" w:hAnsi="Courier New"/>
          <w:b/>
          <w:bCs/>
          <w:color w:val="2a2a2a"/>
          <w:sz w:val="18"/>
          <w:szCs w:val="18"/>
        </w:rPr>
        <w:t xml:space="preserve">§2.5  </w:t>
      </w:r>
      <w:r>
        <w:rPr>
          <w:rFonts w:ascii="Garamond" w:cs="Garamond" w:eastAsia="Garamond" w:hAnsi="Garamond"/>
          <w:b w:val="false"/>
          <w:bCs w:val="false"/>
          <w:i/>
          <w:iCs/>
          <w:color w:val="1B2A4A"/>
          <w:sz w:val="22"/>
          <w:szCs w:val="22"/>
        </w:rPr>
        <w:t xml:space="preserve">The Civic Consul — Domain and Term</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serves at the confidence of the Assembly, subject to removal under §2.6. No person may serve more than 8 years in total as Civic Consul across all periods of service; this limit is cumulative and permanent regardless of interruption. The Civic Consul's domestic authority includes: all domestic policy and regulatory frameworks; the annual budget, which the Civic Consul prepares and submits to the Assembly for passage;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compact negotiations under Article XVI; the Civic Consul’s response is advisory. Where the Civic Consul is temporarily unable to exercise authority, the Civic Consul’s designated Acting Civic Consul, who must meet the eligibility requirements for the office of Civic Consul under this section, serves with authority limited to maintaining existing policy and emergency functions; where no such designation exists or the designated Acting Civic Consul is unavailable, the Assembly Speaker serves as Acting Civic Consul with the same authority limitation. Acting status ends when the Civic Consul resumes their duties or a new Civic Consul is confirmed by the Assembly.</w:t>
      </w:r>
    </w:p>
    <w:p>
      <w:pPr>
        <w:spacing w:after="60" w:before="200"/>
        <w:ind w:left="431"/>
        <w:jc w:val="left"/>
      </w:pPr>
      <w:r>
        <w:rPr>
          <w:rFonts w:ascii="Courier New" w:cs="Courier New" w:eastAsia="Courier New" w:hAnsi="Courier New"/>
          <w:b/>
          <w:bCs/>
          <w:color w:val="2a2a2a"/>
          <w:sz w:val="18"/>
          <w:szCs w:val="18"/>
        </w:rPr>
        <w:t xml:space="preserve">§2.6  </w:t>
      </w:r>
      <w:r>
        <w:rPr>
          <w:rFonts w:ascii="Garamond" w:cs="Garamond" w:eastAsia="Garamond" w:hAnsi="Garamond"/>
          <w:b w:val="false"/>
          <w:bCs w:val="false"/>
          <w:i/>
          <w:iCs/>
          <w:color w:val="1B2A4A"/>
          <w:sz w:val="22"/>
          <w:szCs w:val="22"/>
        </w:rPr>
        <w:t xml:space="preserve">Constructive Vote of No Confidence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Civic Consul is accountable to the Assembly. The Assembly may remove the Civic Consul only through a constructive vote of no confidence: a single vote that simultaneously removes the sitting Civic Consul and installs a named replacement, by 60 percent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w:t>
      </w:r>
    </w:p>
    <w:p>
      <w:pPr>
        <w:spacing w:after="60" w:before="200"/>
        <w:ind w:left="431"/>
        <w:jc w:val="left"/>
      </w:pPr>
      <w:r>
        <w:rPr>
          <w:rFonts w:ascii="Courier New" w:cs="Courier New" w:eastAsia="Courier New" w:hAnsi="Courier New"/>
          <w:b/>
          <w:bCs/>
          <w:color w:val="2a2a2a"/>
          <w:sz w:val="18"/>
          <w:szCs w:val="18"/>
        </w:rPr>
        <w:t xml:space="preserve">§2.6.a  </w:t>
      </w:r>
      <w:r>
        <w:rPr>
          <w:rFonts w:ascii="Garamond" w:cs="Garamond" w:eastAsia="Garamond" w:hAnsi="Garamond"/>
          <w:b w:val="false"/>
          <w:bCs w:val="false"/>
          <w:i/>
          <w:iCs/>
          <w:color w:val="1B2A4A"/>
          <w:sz w:val="22"/>
          <w:szCs w:val="22"/>
        </w:rPr>
        <w:t xml:space="preserve">Government Formation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designation falls to a serving Assembly member. The designation is published to the NRS.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Legat Consul nominates a serving Assembly member as Civic Consul within 21 days, published to the NRS; the Senate confirms by simple majority within 21 days of nomination; the confirmed appointee holds full Civic Consul authority and is subject to removal under §2.6. Where the Legat Consul does not nominate within 21 days or the Senate does not confirm within 21 days of nomination, the most senior Assembly member by continuous service who otherwise meets the requirements for Civic Consul assumes the role by constitutional operation, published to the NRS; this appointee holds full Civic Consul authority and is subject to removal under §2.6. Where two or more Assembly members have equal continuous service, the tiebreaker is determined by statute.</w:t>
      </w:r>
    </w:p>
    <w:p>
      <w:pPr>
        <w:spacing w:after="60" w:before="200"/>
        <w:ind w:left="431"/>
        <w:jc w:val="left"/>
      </w:pPr>
      <w:r>
        <w:rPr>
          <w:rFonts w:ascii="Courier New" w:cs="Courier New" w:eastAsia="Courier New" w:hAnsi="Courier New"/>
          <w:b/>
          <w:bCs/>
          <w:color w:val="2a2a2a"/>
          <w:sz w:val="18"/>
          <w:szCs w:val="18"/>
        </w:rPr>
        <w:t xml:space="preserve">§2.7  </w:t>
      </w:r>
      <w:r>
        <w:rPr>
          <w:rFonts w:ascii="Garamond" w:cs="Garamond" w:eastAsia="Garamond" w:hAnsi="Garamond"/>
          <w:b w:val="false"/>
          <w:bCs w:val="false"/>
          <w:i/>
          <w:iCs/>
          <w:color w:val="1B2A4A"/>
          <w:sz w:val="22"/>
          <w:szCs w:val="22"/>
        </w:rPr>
        <w:t xml:space="preserve">Civic Consul Legislative Instruments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Civic Consul may withhold assent by returning a bill within 10 business days of final passage with written grounds published to the NRS; the bill is tabled for one month regardless of any change in CC office. The Senate may override by 2/3 supermajority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pPr>
        <w:spacing w:after="60" w:before="200"/>
        <w:ind w:left="431"/>
        <w:jc w:val="left"/>
      </w:pPr>
      <w:r>
        <w:rPr>
          <w:rFonts w:ascii="Courier New" w:cs="Courier New" w:eastAsia="Courier New" w:hAnsi="Courier New"/>
          <w:b/>
          <w:bCs/>
          <w:color w:val="2a2a2a"/>
          <w:sz w:val="18"/>
          <w:szCs w:val="18"/>
        </w:rPr>
        <w:t xml:space="preserve">§2.8  </w:t>
      </w:r>
      <w:r>
        <w:rPr>
          <w:rFonts w:ascii="Garamond" w:cs="Garamond" w:eastAsia="Garamond" w:hAnsi="Garamond"/>
          <w:b w:val="false"/>
          <w:bCs w:val="false"/>
          <w:i/>
          <w:iCs/>
          <w:color w:val="1B2A4A"/>
          <w:sz w:val="22"/>
          <w:szCs w:val="22"/>
        </w:rPr>
        <w:t xml:space="preserve">Duty of Refusal</w:t>
      </w:r>
    </w:p>
    <w:p>
      <w:pPr>
        <w:spacing w:after="120" w:before="0"/>
        <w:ind w:left="431"/>
        <w:jc w:val="both"/>
      </w:pPr>
      <w:r>
        <w:rPr>
          <w:rFonts w:ascii="Garamond" w:cs="Garamond" w:eastAsia="Garamond" w:hAnsi="Garamond"/>
          <w:b w:val="false"/>
          <w:bCs w:val="false"/>
          <w:i w:val="false"/>
          <w:iCs w:val="false"/>
          <w:color w:val="2a2a2a"/>
          <w:sz w:val="22"/>
          <w:szCs w:val="22"/>
        </w:rPr>
        <w:t xml:space="preserve">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pPr>
        <w:spacing w:after="60" w:before="200"/>
        <w:ind w:left="431"/>
        <w:jc w:val="left"/>
      </w:pPr>
      <w:r>
        <w:rPr>
          <w:rFonts w:ascii="Courier New" w:cs="Courier New" w:eastAsia="Courier New" w:hAnsi="Courier New"/>
          <w:b/>
          <w:bCs/>
          <w:color w:val="2a2a2a"/>
          <w:sz w:val="18"/>
          <w:szCs w:val="18"/>
        </w:rPr>
        <w:t xml:space="preserve">§2.9  </w:t>
      </w:r>
      <w:r>
        <w:rPr>
          <w:rFonts w:ascii="Garamond" w:cs="Garamond" w:eastAsia="Garamond" w:hAnsi="Garamond"/>
          <w:b w:val="false"/>
          <w:bCs w:val="false"/>
          <w:i/>
          <w:iCs/>
          <w:color w:val="1B2A4A"/>
          <w:sz w:val="22"/>
          <w:szCs w:val="22"/>
        </w:rPr>
        <w:t xml:space="preserve">Legat Consul Succession and Incapacity</w:t>
      </w:r>
    </w:p>
    <w:p>
      <w:pPr>
        <w:spacing w:after="120" w:before="0"/>
        <w:ind w:left="431"/>
        <w:jc w:val="both"/>
      </w:pPr>
      <w:r>
        <w:rPr>
          <w:rFonts w:ascii="Garamond" w:cs="Garamond" w:eastAsia="Garamond" w:hAnsi="Garamond"/>
          <w:b w:val="false"/>
          <w:bCs w:val="false"/>
          <w:i w:val="false"/>
          <w:iCs w:val="false"/>
          <w:color w:val="2a2a2a"/>
          <w:sz w:val="22"/>
          <w:szCs w:val="22"/>
        </w:rPr>
        <w:t xml:space="preserve">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without vacating the Speaker's Senate seat by constitutional operation from that moment. Acting authority ends when the Legat Consul publishes a restoration declaration to the NRS.</w:t>
      </w:r>
    </w:p>
    <w:p>
      <w:pPr>
        <w:spacing w:after="60" w:before="200"/>
        <w:ind w:left="431"/>
        <w:jc w:val="left"/>
      </w:pPr>
      <w:r>
        <w:rPr>
          <w:rFonts w:ascii="Courier New" w:cs="Courier New" w:eastAsia="Courier New" w:hAnsi="Courier New"/>
          <w:b/>
          <w:bCs/>
          <w:color w:val="2a2a2a"/>
          <w:sz w:val="18"/>
          <w:szCs w:val="18"/>
        </w:rPr>
        <w:t xml:space="preserve">§2.10  </w:t>
      </w:r>
      <w:r>
        <w:rPr>
          <w:rFonts w:ascii="Garamond" w:cs="Garamond" w:eastAsia="Garamond" w:hAnsi="Garamond"/>
          <w:b w:val="false"/>
          <w:bCs w:val="false"/>
          <w:i/>
          <w:iCs/>
          <w:color w:val="1B2A4A"/>
          <w:sz w:val="22"/>
          <w:szCs w:val="22"/>
        </w:rPr>
        <w:t xml:space="preserve">Executive Transparency</w:t>
      </w:r>
    </w:p>
    <w:p>
      <w:pPr>
        <w:spacing w:after="120" w:before="0"/>
        <w:ind w:left="431"/>
        <w:jc w:val="both"/>
      </w:pPr>
      <w:r>
        <w:rPr>
          <w:rFonts w:ascii="Garamond" w:cs="Garamond" w:eastAsia="Garamond" w:hAnsi="Garamond"/>
          <w:b w:val="false"/>
          <w:bCs w:val="false"/>
          <w:i w:val="false"/>
          <w:iCs w:val="false"/>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pPr>
        <w:spacing w:after="60" w:before="200"/>
        <w:ind w:left="431"/>
        <w:jc w:val="left"/>
      </w:pPr>
      <w:r>
        <w:rPr>
          <w:rFonts w:ascii="Courier New" w:cs="Courier New" w:eastAsia="Courier New" w:hAnsi="Courier New"/>
          <w:b/>
          <w:bCs/>
          <w:color w:val="2a2a2a"/>
          <w:sz w:val="18"/>
          <w:szCs w:val="18"/>
        </w:rPr>
        <w:t xml:space="preserve">§2.11  </w:t>
      </w:r>
      <w:r>
        <w:rPr>
          <w:rFonts w:ascii="Garamond" w:cs="Garamond" w:eastAsia="Garamond" w:hAnsi="Garamond"/>
          <w:b w:val="false"/>
          <w:bCs w:val="false"/>
          <w:i/>
          <w:iCs/>
          <w:color w:val="1B2A4A"/>
          <w:sz w:val="22"/>
          <w:szCs w:val="22"/>
        </w:rPr>
        <w:t xml:space="preserve">Emergency Governance</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pPr>
        <w:spacing w:after="60" w:before="200"/>
        <w:ind w:left="431"/>
        <w:jc w:val="left"/>
      </w:pPr>
      <w:r>
        <w:rPr>
          <w:rFonts w:ascii="Courier New" w:cs="Courier New" w:eastAsia="Courier New" w:hAnsi="Courier New"/>
          <w:b/>
          <w:bCs/>
          <w:color w:val="2a2a2a"/>
          <w:sz w:val="18"/>
          <w:szCs w:val="18"/>
        </w:rPr>
        <w:t xml:space="preserve">§2.12  </w:t>
      </w:r>
      <w:r>
        <w:rPr>
          <w:rFonts w:ascii="Garamond" w:cs="Garamond" w:eastAsia="Garamond" w:hAnsi="Garamond"/>
          <w:b w:val="false"/>
          <w:bCs w:val="false"/>
          <w:i/>
          <w:iCs/>
          <w:color w:val="1B2A4A"/>
          <w:sz w:val="22"/>
          <w:szCs w:val="22"/>
        </w:rPr>
        <w:t xml:space="preserve">Clemency</w:t>
      </w:r>
    </w:p>
    <w:p>
      <w:pPr>
        <w:spacing w:after="120" w:before="0"/>
        <w:ind w:left="431"/>
        <w:jc w:val="both"/>
      </w:pPr>
      <w:r>
        <w:rPr>
          <w:rFonts w:ascii="Garamond" w:cs="Garamond" w:eastAsia="Garamond" w:hAnsi="Garamond"/>
          <w:b w:val="false"/>
          <w:bCs w:val="false"/>
          <w:i w:val="false"/>
          <w:iCs w:val="false"/>
          <w:color w:val="2a2a2a"/>
          <w:sz w:val="22"/>
          <w:szCs w:val="22"/>
        </w:rPr>
        <w:t xml:space="preserve">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pPr>
        <w:spacing w:after="60" w:before="200"/>
        <w:ind w:left="431"/>
        <w:jc w:val="left"/>
      </w:pPr>
      <w:r>
        <w:rPr>
          <w:rFonts w:ascii="Courier New" w:cs="Courier New" w:eastAsia="Courier New" w:hAnsi="Courier New"/>
          <w:b/>
          <w:bCs/>
          <w:color w:val="2a2a2a"/>
          <w:sz w:val="18"/>
          <w:szCs w:val="18"/>
        </w:rPr>
        <w:t xml:space="preserve">§2.13  </w:t>
      </w:r>
      <w:r>
        <w:rPr>
          <w:rFonts w:ascii="Garamond" w:cs="Garamond" w:eastAsia="Garamond" w:hAnsi="Garamond"/>
          <w:b w:val="false"/>
          <w:bCs w:val="false"/>
          <w:i/>
          <w:iCs/>
          <w:color w:val="1B2A4A"/>
          <w:sz w:val="22"/>
          <w:szCs w:val="22"/>
        </w:rPr>
        <w:t xml:space="preserve">Consular Removal</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§7.4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pPr>
        <w:spacing w:after="60" w:before="200"/>
        <w:ind w:left="431"/>
        <w:jc w:val="left"/>
      </w:pPr>
      <w:r>
        <w:rPr>
          <w:rFonts w:ascii="Courier New" w:cs="Courier New" w:eastAsia="Courier New" w:hAnsi="Courier New"/>
          <w:b/>
          <w:bCs/>
          <w:color w:val="2a2a2a"/>
          <w:sz w:val="18"/>
          <w:szCs w:val="18"/>
        </w:rPr>
        <w:t xml:space="preserve">§2.14  </w:t>
      </w:r>
      <w:r>
        <w:rPr>
          <w:rFonts w:ascii="Garamond" w:cs="Garamond" w:eastAsia="Garamond" w:hAnsi="Garamond"/>
          <w:b w:val="false"/>
          <w:bCs w:val="false"/>
          <w:i/>
          <w:iCs/>
          <w:color w:val="1B2A4A"/>
          <w:sz w:val="22"/>
          <w:szCs w:val="22"/>
        </w:rPr>
        <w:t xml:space="preserve">Council of Ministers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pPr>
        <w:spacing w:after="60" w:before="200"/>
        <w:ind w:left="431"/>
        <w:jc w:val="left"/>
      </w:pPr>
      <w:r>
        <w:rPr>
          <w:rFonts w:ascii="Courier New" w:cs="Courier New" w:eastAsia="Courier New" w:hAnsi="Courier New"/>
          <w:b/>
          <w:bCs/>
          <w:color w:val="2a2a2a"/>
          <w:sz w:val="18"/>
          <w:szCs w:val="18"/>
        </w:rPr>
        <w:t xml:space="preserve">§2.14.a  </w:t>
      </w:r>
      <w:r>
        <w:rPr>
          <w:rFonts w:ascii="Garamond" w:cs="Garamond" w:eastAsia="Garamond" w:hAnsi="Garamond"/>
          <w:b w:val="false"/>
          <w:bCs w:val="false"/>
          <w:i/>
          <w:iCs/>
          <w:color w:val="1B2A4A"/>
          <w:sz w:val="22"/>
          <w:szCs w:val="22"/>
        </w:rPr>
        <w:t xml:space="preserve">Cross-Domain Emergency Lead</w:t>
      </w:r>
    </w:p>
    <w:p>
      <w:pPr>
        <w:spacing w:after="120" w:before="0"/>
        <w:ind w:left="431"/>
        <w:jc w:val="both"/>
      </w:pPr>
      <w:r>
        <w:rPr>
          <w:rFonts w:ascii="Garamond" w:cs="Garamond" w:eastAsia="Garamond" w:hAnsi="Garamond"/>
          <w:b w:val="false"/>
          <w:bCs w:val="false"/>
          <w:i w:val="false"/>
          <w:iCs w:val="false"/>
          <w:color w:val="2a2a2a"/>
          <w:sz w:val="22"/>
          <w:szCs w:val="22"/>
        </w:rPr>
        <w:t xml:space="preserve">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pPr>
        <w:spacing w:after="60" w:before="200"/>
        <w:ind w:left="431"/>
        <w:jc w:val="left"/>
      </w:pPr>
      <w:r>
        <w:rPr>
          <w:rFonts w:ascii="Courier New" w:cs="Courier New" w:eastAsia="Courier New" w:hAnsi="Courier New"/>
          <w:b/>
          <w:bCs/>
          <w:color w:val="2a2a2a"/>
          <w:sz w:val="18"/>
          <w:szCs w:val="18"/>
        </w:rPr>
        <w:t xml:space="preserve">§2.16  </w:t>
      </w:r>
      <w:r>
        <w:rPr>
          <w:rFonts w:ascii="Garamond" w:cs="Garamond" w:eastAsia="Garamond" w:hAnsi="Garamond"/>
          <w:b w:val="false"/>
          <w:bCs w:val="false"/>
          <w:i/>
          <w:iCs/>
          <w:color w:val="1B2A4A"/>
          <w:sz w:val="22"/>
          <w:szCs w:val="22"/>
        </w:rPr>
        <w:t xml:space="preserve">Federal Prosecution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III — The Legislature</w:t>
      </w:r>
    </w:p>
    <w:p>
      <w:pPr>
        <w:spacing w:after="60" w:before="200"/>
        <w:ind w:left="431"/>
        <w:jc w:val="left"/>
      </w:pPr>
      <w:r>
        <w:rPr>
          <w:rFonts w:ascii="Courier New" w:cs="Courier New" w:eastAsia="Courier New" w:hAnsi="Courier New"/>
          <w:b/>
          <w:bCs/>
          <w:color w:val="2a2a2a"/>
          <w:sz w:val="18"/>
          <w:szCs w:val="18"/>
        </w:rPr>
        <w:t xml:space="preserve">§3.1  </w:t>
      </w:r>
      <w:r>
        <w:rPr>
          <w:rFonts w:ascii="Garamond" w:cs="Garamond" w:eastAsia="Garamond" w:hAnsi="Garamond"/>
          <w:b w:val="false"/>
          <w:bCs w:val="false"/>
          <w:i/>
          <w:iCs/>
          <w:color w:val="1B2A4A"/>
          <w:sz w:val="22"/>
          <w:szCs w:val="22"/>
        </w:rPr>
        <w:t xml:space="preserve">The Legislature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Neither chamber may indefinitely delay business assigned to it by this constitution.</w:t>
      </w:r>
    </w:p>
    <w:p>
      <w:pPr>
        <w:spacing w:after="60" w:before="200"/>
        <w:ind w:left="431"/>
        <w:jc w:val="left"/>
      </w:pPr>
      <w:r>
        <w:rPr>
          <w:rFonts w:ascii="Courier New" w:cs="Courier New" w:eastAsia="Courier New" w:hAnsi="Courier New"/>
          <w:b/>
          <w:bCs/>
          <w:color w:val="2a2a2a"/>
          <w:sz w:val="18"/>
          <w:szCs w:val="18"/>
        </w:rPr>
        <w:t xml:space="preserve">§3.2  </w:t>
      </w:r>
      <w:r>
        <w:rPr>
          <w:rFonts w:ascii="Garamond" w:cs="Garamond" w:eastAsia="Garamond" w:hAnsi="Garamond"/>
          <w:b w:val="false"/>
          <w:bCs w:val="false"/>
          <w:i/>
          <w:iCs/>
          <w:color w:val="1B2A4A"/>
          <w:sz w:val="22"/>
          <w:szCs w:val="22"/>
        </w:rPr>
        <w:t xml:space="preserve">The Assembly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Any Assembly member who resigns, is expelled, or is removed by state recall at any point during a term shall be deemed to have served that full term for purposes of the consecutive-term limit. All member financial interests are disclosed to the EM and published to the NRS.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 A State may establish by law a recall mechanism for its Assembly members;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pPr>
        <w:spacing w:after="60" w:before="200"/>
        <w:ind w:left="431"/>
        <w:jc w:val="left"/>
      </w:pPr>
      <w:r>
        <w:rPr>
          <w:rFonts w:ascii="Courier New" w:cs="Courier New" w:eastAsia="Courier New" w:hAnsi="Courier New"/>
          <w:b/>
          <w:bCs/>
          <w:color w:val="2a2a2a"/>
          <w:sz w:val="18"/>
          <w:szCs w:val="18"/>
        </w:rPr>
        <w:t xml:space="preserve">§3.3  </w:t>
      </w:r>
      <w:r>
        <w:rPr>
          <w:rFonts w:ascii="Garamond" w:cs="Garamond" w:eastAsia="Garamond" w:hAnsi="Garamond"/>
          <w:b w:val="false"/>
          <w:bCs w:val="false"/>
          <w:i/>
          <w:iCs/>
          <w:color w:val="1B2A4A"/>
          <w:sz w:val="22"/>
          <w:szCs w:val="22"/>
        </w:rPr>
        <w:t xml:space="preserve">Electoral Districts</w:t>
      </w:r>
    </w:p>
    <w:p>
      <w:pPr>
        <w:spacing w:after="120" w:before="0"/>
        <w:ind w:left="431"/>
        <w:jc w:val="both"/>
      </w:pPr>
      <w:r>
        <w:rPr>
          <w:rFonts w:ascii="Garamond" w:cs="Garamond" w:eastAsia="Garamond" w:hAnsi="Garamond"/>
          <w:b w:val="false"/>
          <w:bCs w:val="false"/>
          <w:i w:val="false"/>
          <w:iCs w:val="false"/>
          <w:color w:val="2a2a2a"/>
          <w:sz w:val="22"/>
          <w:szCs w:val="22"/>
        </w:rPr>
        <w:t xml:space="preserve">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pPr>
        <w:spacing w:after="60" w:before="200"/>
        <w:ind w:left="431"/>
        <w:jc w:val="left"/>
      </w:pPr>
      <w:r>
        <w:rPr>
          <w:rFonts w:ascii="Courier New" w:cs="Courier New" w:eastAsia="Courier New" w:hAnsi="Courier New"/>
          <w:b/>
          <w:bCs/>
          <w:color w:val="2a2a2a"/>
          <w:sz w:val="18"/>
          <w:szCs w:val="18"/>
        </w:rPr>
        <w:t xml:space="preserve">§3.4  </w:t>
      </w:r>
      <w:r>
        <w:rPr>
          <w:rFonts w:ascii="Garamond" w:cs="Garamond" w:eastAsia="Garamond" w:hAnsi="Garamond"/>
          <w:b w:val="false"/>
          <w:bCs w:val="false"/>
          <w:i/>
          <w:iCs/>
          <w:color w:val="1B2A4A"/>
          <w:sz w:val="22"/>
          <w:szCs w:val="22"/>
        </w:rPr>
        <w:t xml:space="preserve">Legislative Standards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Members must disclose all financial interests to the EM. The Legislature must establish a joint ethics committee with authority to sanction and refer members; removal requires 2/3 of the relevant chamber; under §9.1, the chamber may request an EM assessment to inform the proceeding.</w:t>
      </w:r>
    </w:p>
    <w:p>
      <w:pPr>
        <w:spacing w:after="60" w:before="200"/>
        <w:ind w:left="431"/>
        <w:jc w:val="left"/>
      </w:pPr>
      <w:r>
        <w:rPr>
          <w:rFonts w:ascii="Courier New" w:cs="Courier New" w:eastAsia="Courier New" w:hAnsi="Courier New"/>
          <w:b/>
          <w:bCs/>
          <w:color w:val="2a2a2a"/>
          <w:sz w:val="18"/>
          <w:szCs w:val="18"/>
        </w:rPr>
        <w:t xml:space="preserve">§3.5  </w:t>
      </w:r>
      <w:r>
        <w:rPr>
          <w:rFonts w:ascii="Garamond" w:cs="Garamond" w:eastAsia="Garamond" w:hAnsi="Garamond"/>
          <w:b w:val="false"/>
          <w:bCs w:val="false"/>
          <w:i/>
          <w:iCs/>
          <w:color w:val="1B2A4A"/>
          <w:sz w:val="22"/>
          <w:szCs w:val="22"/>
        </w:rPr>
        <w:t xml:space="preserve">The Senate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Any senator who resigns, is expelled, or is removed by state recall at any point during a term shall be deemed to have served that full term for purposes of the consecutive-term limit.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law a recall mechanism for its senators;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pPr>
        <w:spacing w:after="60" w:before="200"/>
        <w:ind w:left="431"/>
        <w:jc w:val="left"/>
      </w:pPr>
      <w:r>
        <w:rPr>
          <w:rFonts w:ascii="Courier New" w:cs="Courier New" w:eastAsia="Courier New" w:hAnsi="Courier New"/>
          <w:b/>
          <w:bCs/>
          <w:color w:val="2a2a2a"/>
          <w:sz w:val="18"/>
          <w:szCs w:val="18"/>
        </w:rPr>
        <w:t xml:space="preserve">§3.6  </w:t>
      </w:r>
      <w:r>
        <w:rPr>
          <w:rFonts w:ascii="Garamond" w:cs="Garamond" w:eastAsia="Garamond" w:hAnsi="Garamond"/>
          <w:b w:val="false"/>
          <w:bCs w:val="false"/>
          <w:i/>
          <w:iCs/>
          <w:color w:val="1B2A4A"/>
          <w:sz w:val="22"/>
          <w:szCs w:val="22"/>
        </w:rPr>
        <w:t xml:space="preserve">Treaty and Trade Agreement Ratification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pPr>
        <w:spacing w:after="60" w:before="200"/>
        <w:ind w:left="431"/>
        <w:jc w:val="left"/>
      </w:pPr>
      <w:r>
        <w:rPr>
          <w:rFonts w:ascii="Courier New" w:cs="Courier New" w:eastAsia="Courier New" w:hAnsi="Courier New"/>
          <w:b/>
          <w:bCs/>
          <w:color w:val="2a2a2a"/>
          <w:sz w:val="18"/>
          <w:szCs w:val="18"/>
        </w:rPr>
        <w:t xml:space="preserve">§3.6.a  </w:t>
      </w:r>
      <w:r>
        <w:rPr>
          <w:rFonts w:ascii="Garamond" w:cs="Garamond" w:eastAsia="Garamond" w:hAnsi="Garamond"/>
          <w:b w:val="false"/>
          <w:bCs w:val="false"/>
          <w:i/>
          <w:iCs/>
          <w:color w:val="1B2A4A"/>
          <w:sz w:val="22"/>
          <w:szCs w:val="22"/>
        </w:rPr>
        <w:t xml:space="preserve">Classification and Dispute Resolution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pPr>
        <w:spacing w:after="60" w:before="200"/>
        <w:ind w:left="431"/>
        <w:jc w:val="left"/>
      </w:pPr>
      <w:r>
        <w:rPr>
          <w:rFonts w:ascii="Courier New" w:cs="Courier New" w:eastAsia="Courier New" w:hAnsi="Courier New"/>
          <w:b/>
          <w:bCs/>
          <w:color w:val="2a2a2a"/>
          <w:sz w:val="18"/>
          <w:szCs w:val="18"/>
        </w:rPr>
        <w:t xml:space="preserve">§3.7  </w:t>
      </w:r>
      <w:r>
        <w:rPr>
          <w:rFonts w:ascii="Garamond" w:cs="Garamond" w:eastAsia="Garamond" w:hAnsi="Garamond"/>
          <w:b w:val="false"/>
          <w:bCs w:val="false"/>
          <w:i/>
          <w:iCs/>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i w:val="false"/>
          <w:iCs w:val="false"/>
          <w:color w:val="2a2a2a"/>
          <w:sz w:val="22"/>
          <w:szCs w:val="22"/>
        </w:rPr>
        <w:t xml:space="preserve">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pPr>
        <w:spacing w:after="60" w:before="200"/>
        <w:ind w:left="431"/>
        <w:jc w:val="left"/>
      </w:pPr>
      <w:r>
        <w:rPr>
          <w:rFonts w:ascii="Courier New" w:cs="Courier New" w:eastAsia="Courier New" w:hAnsi="Courier New"/>
          <w:b/>
          <w:bCs/>
          <w:color w:val="2a2a2a"/>
          <w:sz w:val="18"/>
          <w:szCs w:val="18"/>
        </w:rPr>
        <w:t xml:space="preserve">§3.8  </w:t>
      </w:r>
      <w:r>
        <w:rPr>
          <w:rFonts w:ascii="Garamond" w:cs="Garamond" w:eastAsia="Garamond" w:hAnsi="Garamond"/>
          <w:b w:val="false"/>
          <w:bCs w:val="false"/>
          <w:i/>
          <w:iCs/>
          <w:color w:val="1B2A4A"/>
          <w:sz w:val="22"/>
          <w:szCs w:val="22"/>
        </w:rPr>
        <w:t xml:space="preserve">Legislative Oversight</w:t>
      </w:r>
    </w:p>
    <w:p>
      <w:pPr>
        <w:spacing w:after="120" w:before="0"/>
        <w:ind w:left="431"/>
        <w:jc w:val="both"/>
      </w:pPr>
      <w:r>
        <w:rPr>
          <w:rFonts w:ascii="Garamond" w:cs="Garamond" w:eastAsia="Garamond" w:hAnsi="Garamond"/>
          <w:b w:val="false"/>
          <w:bCs w:val="false"/>
          <w:i w:val="false"/>
          <w:iCs w:val="false"/>
          <w:color w:val="2a2a2a"/>
          <w:sz w:val="22"/>
          <w:szCs w:val="22"/>
        </w:rPr>
        <w:t xml:space="preserve">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but does not extend to criminal conduct or acts the EM has assessed as constitutional breaches.</w:t>
      </w:r>
    </w:p>
    <w:p>
      <w:pPr>
        <w:spacing w:after="60" w:before="200"/>
        <w:ind w:left="431"/>
        <w:jc w:val="left"/>
      </w:pPr>
      <w:r>
        <w:rPr>
          <w:rFonts w:ascii="Courier New" w:cs="Courier New" w:eastAsia="Courier New" w:hAnsi="Courier New"/>
          <w:b/>
          <w:bCs/>
          <w:color w:val="2a2a2a"/>
          <w:sz w:val="18"/>
          <w:szCs w:val="18"/>
        </w:rPr>
        <w:t xml:space="preserve">§3.9  </w:t>
      </w:r>
      <w:r>
        <w:rPr>
          <w:rFonts w:ascii="Garamond" w:cs="Garamond" w:eastAsia="Garamond" w:hAnsi="Garamond"/>
          <w:b w:val="false"/>
          <w:bCs w:val="false"/>
          <w:i/>
          <w:iCs/>
          <w:color w:val="1B2A4A"/>
          <w:sz w:val="22"/>
          <w:szCs w:val="22"/>
        </w:rPr>
        <w:t xml:space="preserve">Independent Statutory Agencies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pPr>
        <w:spacing w:after="60" w:before="200"/>
        <w:ind w:left="431"/>
        <w:jc w:val="left"/>
      </w:pPr>
      <w:r>
        <w:rPr>
          <w:rFonts w:ascii="Courier New" w:cs="Courier New" w:eastAsia="Courier New" w:hAnsi="Courier New"/>
          <w:b/>
          <w:bCs/>
          <w:color w:val="2a2a2a"/>
          <w:sz w:val="18"/>
          <w:szCs w:val="18"/>
        </w:rPr>
        <w:t xml:space="preserve">§3.10  </w:t>
      </w:r>
      <w:r>
        <w:rPr>
          <w:rFonts w:ascii="Garamond" w:cs="Garamond" w:eastAsia="Garamond" w:hAnsi="Garamond"/>
          <w:b w:val="false"/>
          <w:bCs w:val="false"/>
          <w:i/>
          <w:iCs/>
          <w:color w:val="1B2A4A"/>
          <w:sz w:val="22"/>
          <w:szCs w:val="22"/>
        </w:rPr>
        <w:t xml:space="preserve">Impeachment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pPr>
        <w:spacing w:after="60" w:before="200"/>
        <w:ind w:left="431"/>
        <w:jc w:val="left"/>
      </w:pPr>
      <w:r>
        <w:rPr>
          <w:rFonts w:ascii="Courier New" w:cs="Courier New" w:eastAsia="Courier New" w:hAnsi="Courier New"/>
          <w:b/>
          <w:bCs/>
          <w:color w:val="2a2a2a"/>
          <w:sz w:val="18"/>
          <w:szCs w:val="18"/>
        </w:rPr>
        <w:t xml:space="preserve">§3.11  </w:t>
      </w:r>
      <w:r>
        <w:rPr>
          <w:rFonts w:ascii="Garamond" w:cs="Garamond" w:eastAsia="Garamond" w:hAnsi="Garamond"/>
          <w:b w:val="false"/>
          <w:bCs w:val="false"/>
          <w:i/>
          <w:iCs/>
          <w:color w:val="1B2A4A"/>
          <w:sz w:val="22"/>
          <w:szCs w:val="22"/>
        </w:rPr>
        <w:t xml:space="preserve">Inviolability of Electoral Mandates</w:t>
      </w:r>
    </w:p>
    <w:p>
      <w:pPr>
        <w:spacing w:after="120" w:before="0"/>
        <w:ind w:left="431"/>
        <w:jc w:val="both"/>
      </w:pPr>
      <w:r>
        <w:rPr>
          <w:rFonts w:ascii="Garamond" w:cs="Garamond" w:eastAsia="Garamond" w:hAnsi="Garamond"/>
          <w:b w:val="false"/>
          <w:bCs w:val="false"/>
          <w:i w:val="false"/>
          <w:iCs w:val="false"/>
          <w:color w:val="2a2a2a"/>
          <w:sz w:val="22"/>
          <w:szCs w:val="22"/>
        </w:rPr>
        <w:t xml:space="preserve">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impeachment and removal under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pPr>
        <w:spacing w:after="60" w:before="200"/>
        <w:ind w:left="431"/>
        <w:jc w:val="left"/>
      </w:pPr>
      <w:r>
        <w:rPr>
          <w:rFonts w:ascii="Courier New" w:cs="Courier New" w:eastAsia="Courier New" w:hAnsi="Courier New"/>
          <w:b/>
          <w:bCs/>
          <w:color w:val="2a2a2a"/>
          <w:sz w:val="18"/>
          <w:szCs w:val="18"/>
        </w:rPr>
        <w:t xml:space="preserve">§3.12  </w:t>
      </w:r>
      <w:r>
        <w:rPr>
          <w:rFonts w:ascii="Garamond" w:cs="Garamond" w:eastAsia="Garamond" w:hAnsi="Garamond"/>
          <w:b w:val="false"/>
          <w:bCs w:val="false"/>
          <w:i/>
          <w:iCs/>
          <w:color w:val="1B2A4A"/>
          <w:sz w:val="22"/>
          <w:szCs w:val="22"/>
        </w:rPr>
        <w:t xml:space="preserve">Disqualifying Offense</w:t>
      </w:r>
    </w:p>
    <w:p>
      <w:pPr>
        <w:spacing w:after="120" w:before="0"/>
        <w:ind w:left="431"/>
        <w:jc w:val="both"/>
      </w:pPr>
      <w:r>
        <w:rPr>
          <w:rFonts w:ascii="Garamond" w:cs="Garamond" w:eastAsia="Garamond" w:hAnsi="Garamond"/>
          <w:b w:val="false"/>
          <w:bCs w:val="false"/>
          <w:i w:val="false"/>
          <w:iCs w:val="false"/>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under appeal at the time a relevant constitutional determination is made, the conviction stands for constitutional purposes unless and until it is reversed by a court of competent jurisdiction.</w:t>
      </w:r>
    </w:p>
    <w:p>
      <w:pPr>
        <w:spacing w:after="60" w:before="200"/>
        <w:ind w:left="431"/>
        <w:jc w:val="left"/>
      </w:pPr>
      <w:r>
        <w:rPr>
          <w:rFonts w:ascii="Courier New" w:cs="Courier New" w:eastAsia="Courier New" w:hAnsi="Courier New"/>
          <w:b/>
          <w:bCs/>
          <w:color w:val="2a2a2a"/>
          <w:sz w:val="18"/>
          <w:szCs w:val="18"/>
        </w:rPr>
        <w:t xml:space="preserve">§3.13  </w:t>
      </w:r>
      <w:r>
        <w:rPr>
          <w:rFonts w:ascii="Garamond" w:cs="Garamond" w:eastAsia="Garamond" w:hAnsi="Garamond"/>
          <w:b w:val="false"/>
          <w:bCs w:val="false"/>
          <w:i/>
          <w:iCs/>
          <w:color w:val="1B2A4A"/>
          <w:sz w:val="22"/>
          <w:szCs w:val="22"/>
        </w:rPr>
        <w:t xml:space="preserve">Continuity of Constitutionally Mandated Offices</w:t>
      </w:r>
    </w:p>
    <w:p>
      <w:pPr>
        <w:spacing w:after="120" w:before="0"/>
        <w:ind w:left="431"/>
        <w:jc w:val="both"/>
      </w:pPr>
      <w:r>
        <w:rPr>
          <w:rFonts w:ascii="Garamond" w:cs="Garamond" w:eastAsia="Garamond" w:hAnsi="Garamond"/>
          <w:b w:val="false"/>
          <w:bCs w:val="false"/>
          <w:i w:val="false"/>
          <w:iCs w:val="false"/>
          <w:color w:val="2a2a2a"/>
          <w:sz w:val="22"/>
          <w:szCs w:val="22"/>
        </w:rPr>
        <w:t xml:space="preserve">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pPr>
        <w:spacing w:after="60" w:before="200"/>
        <w:ind w:left="431"/>
        <w:jc w:val="left"/>
      </w:pPr>
      <w:r>
        <w:rPr>
          <w:rFonts w:ascii="Courier New" w:cs="Courier New" w:eastAsia="Courier New" w:hAnsi="Courier New"/>
          <w:b/>
          <w:bCs/>
          <w:color w:val="2a2a2a"/>
          <w:sz w:val="18"/>
          <w:szCs w:val="18"/>
        </w:rPr>
        <w:t xml:space="preserve">§3.14  </w:t>
      </w:r>
      <w:r>
        <w:rPr>
          <w:rFonts w:ascii="Garamond" w:cs="Garamond" w:eastAsia="Garamond" w:hAnsi="Garamond"/>
          <w:b w:val="false"/>
          <w:bCs w:val="false"/>
          <w:i/>
          <w:iCs/>
          <w:color w:val="1B2A4A"/>
          <w:sz w:val="22"/>
          <w:szCs w:val="22"/>
        </w:rPr>
        <w:t xml:space="preserve">Federal Legislative Competence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pPr>
        <w:spacing w:after="60" w:before="200"/>
        <w:ind w:left="431"/>
        <w:jc w:val="left"/>
      </w:pPr>
      <w:r>
        <w:rPr>
          <w:rFonts w:ascii="Courier New" w:cs="Courier New" w:eastAsia="Courier New" w:hAnsi="Courier New"/>
          <w:b/>
          <w:bCs/>
          <w:color w:val="2a2a2a"/>
          <w:sz w:val="18"/>
          <w:szCs w:val="18"/>
        </w:rPr>
        <w:t xml:space="preserve">§3.15  </w:t>
      </w:r>
      <w:r>
        <w:rPr>
          <w:rFonts w:ascii="Garamond" w:cs="Garamond" w:eastAsia="Garamond" w:hAnsi="Garamond"/>
          <w:b w:val="false"/>
          <w:bCs w:val="false"/>
          <w:i/>
          <w:iCs/>
          <w:color w:val="1B2A4A"/>
          <w:sz w:val="22"/>
          <w:szCs w:val="22"/>
        </w:rPr>
        <w:t xml:space="preserve">Delegation of Authority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IV — The Judicial Architecture</w:t>
      </w:r>
    </w:p>
    <w:p>
      <w:pPr>
        <w:spacing w:after="60" w:before="200"/>
        <w:ind w:left="431"/>
        <w:jc w:val="left"/>
      </w:pPr>
      <w:r>
        <w:rPr>
          <w:rFonts w:ascii="Courier New" w:cs="Courier New" w:eastAsia="Courier New" w:hAnsi="Courier New"/>
          <w:b/>
          <w:bCs/>
          <w:color w:val="2a2a2a"/>
          <w:sz w:val="18"/>
          <w:szCs w:val="18"/>
        </w:rPr>
        <w:t xml:space="preserve">§4.1  </w:t>
      </w:r>
      <w:r>
        <w:rPr>
          <w:rFonts w:ascii="Garamond" w:cs="Garamond" w:eastAsia="Garamond" w:hAnsi="Garamond"/>
          <w:b w:val="false"/>
          <w:bCs w:val="false"/>
          <w:i/>
          <w:iCs/>
          <w:color w:val="1B2A4A"/>
          <w:sz w:val="22"/>
          <w:szCs w:val="22"/>
        </w:rPr>
        <w:t xml:space="preserve">Court Structure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pPr>
        <w:spacing w:after="60" w:before="200"/>
        <w:ind w:left="431"/>
        <w:jc w:val="left"/>
      </w:pPr>
      <w:r>
        <w:rPr>
          <w:rFonts w:ascii="Courier New" w:cs="Courier New" w:eastAsia="Courier New" w:hAnsi="Courier New"/>
          <w:b/>
          <w:bCs/>
          <w:color w:val="2a2a2a"/>
          <w:sz w:val="18"/>
          <w:szCs w:val="18"/>
        </w:rPr>
        <w:t xml:space="preserve">§4.2  </w:t>
      </w:r>
      <w:r>
        <w:rPr>
          <w:rFonts w:ascii="Garamond" w:cs="Garamond" w:eastAsia="Garamond" w:hAnsi="Garamond"/>
          <w:b w:val="false"/>
          <w:bCs w:val="false"/>
          <w:i/>
          <w:iCs/>
          <w:color w:val="1B2A4A"/>
          <w:sz w:val="22"/>
          <w:szCs w:val="22"/>
        </w:rPr>
        <w:t xml:space="preserve">Judicial Appointments and Independence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Any citizen meeting the eligibility criteria established in §9.4.b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pPr>
        <w:spacing w:after="60" w:before="200"/>
        <w:ind w:left="431"/>
        <w:jc w:val="left"/>
      </w:pPr>
      <w:r>
        <w:rPr>
          <w:rFonts w:ascii="Courier New" w:cs="Courier New" w:eastAsia="Courier New" w:hAnsi="Courier New"/>
          <w:b/>
          <w:bCs/>
          <w:color w:val="2a2a2a"/>
          <w:sz w:val="18"/>
          <w:szCs w:val="18"/>
        </w:rPr>
        <w:t xml:space="preserve">§4.3  </w:t>
      </w:r>
      <w:r>
        <w:rPr>
          <w:rFonts w:ascii="Garamond" w:cs="Garamond" w:eastAsia="Garamond" w:hAnsi="Garamond"/>
          <w:b w:val="false"/>
          <w:bCs w:val="false"/>
          <w:i/>
          <w:iCs/>
          <w:color w:val="1B2A4A"/>
          <w:sz w:val="22"/>
          <w:szCs w:val="22"/>
        </w:rPr>
        <w:t xml:space="preserve">The Supreme Court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pPr>
        <w:spacing w:after="60" w:before="200"/>
        <w:ind w:left="431"/>
        <w:jc w:val="left"/>
      </w:pPr>
      <w:r>
        <w:rPr>
          <w:rFonts w:ascii="Courier New" w:cs="Courier New" w:eastAsia="Courier New" w:hAnsi="Courier New"/>
          <w:b/>
          <w:bCs/>
          <w:color w:val="2a2a2a"/>
          <w:sz w:val="18"/>
          <w:szCs w:val="18"/>
        </w:rPr>
        <w:t xml:space="preserve">§4.3.b  </w:t>
      </w:r>
      <w:r>
        <w:rPr>
          <w:rFonts w:ascii="Garamond" w:cs="Garamond" w:eastAsia="Garamond" w:hAnsi="Garamond"/>
          <w:b w:val="false"/>
          <w:bCs w:val="false"/>
          <w:i/>
          <w:iCs/>
          <w:color w:val="1B2A4A"/>
          <w:sz w:val="22"/>
          <w:szCs w:val="22"/>
        </w:rPr>
        <w:t xml:space="preserve">Supreme Court Justice Removal</w:t>
      </w:r>
    </w:p>
    <w:p>
      <w:pPr>
        <w:spacing w:after="120" w:before="0"/>
        <w:ind w:left="431"/>
        <w:jc w:val="both"/>
      </w:pPr>
      <w:r>
        <w:rPr>
          <w:rFonts w:ascii="Garamond" w:cs="Garamond" w:eastAsia="Garamond" w:hAnsi="Garamond"/>
          <w:b w:val="false"/>
          <w:bCs w:val="false"/>
          <w:i w:val="false"/>
          <w:iCs w:val="false"/>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of SC judicial judgment is absolute and may not itself be invoked as grounds for removal. Upon removal, the most senior Appellate Court judge auto-designates as Temporary Associate Justice under §4.4 until the vacancy is filled.</w:t>
      </w:r>
    </w:p>
    <w:p>
      <w:pPr>
        <w:spacing w:after="60" w:before="200"/>
        <w:ind w:left="431"/>
        <w:jc w:val="left"/>
      </w:pPr>
      <w:r>
        <w:rPr>
          <w:rFonts w:ascii="Courier New" w:cs="Courier New" w:eastAsia="Courier New" w:hAnsi="Courier New"/>
          <w:b/>
          <w:bCs/>
          <w:color w:val="2a2a2a"/>
          <w:sz w:val="18"/>
          <w:szCs w:val="18"/>
        </w:rPr>
        <w:t xml:space="preserve">§4.4  </w:t>
      </w:r>
      <w:r>
        <w:rPr>
          <w:rFonts w:ascii="Garamond" w:cs="Garamond" w:eastAsia="Garamond" w:hAnsi="Garamond"/>
          <w:b w:val="false"/>
          <w:bCs w:val="false"/>
          <w:i/>
          <w:iCs/>
          <w:color w:val="1B2A4A"/>
          <w:sz w:val="22"/>
          <w:szCs w:val="22"/>
        </w:rPr>
        <w:t xml:space="preserve">Supreme Court Selection</w:t>
      </w:r>
    </w:p>
    <w:p>
      <w:pPr>
        <w:spacing w:after="120" w:before="0"/>
        <w:ind w:left="431"/>
        <w:jc w:val="both"/>
      </w:pPr>
      <w:r>
        <w:rPr>
          <w:rFonts w:ascii="Garamond" w:cs="Garamond" w:eastAsia="Garamond" w:hAnsi="Garamond"/>
          <w:b w:val="false"/>
          <w:bCs w:val="false"/>
          <w:i w:val="false"/>
          <w:iCs w:val="false"/>
          <w:color w:val="2a2a2a"/>
          <w:sz w:val="22"/>
          <w:szCs w:val="22"/>
        </w:rPr>
        <w:t xml:space="preserve">SC justices are nominated by the Civic Consul from the Judicial Pool maintained by the Elections Panel under §9.12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§4.4.a.</w:t>
      </w:r>
    </w:p>
    <w:p>
      <w:pPr>
        <w:spacing w:after="60" w:before="200"/>
        <w:ind w:left="431"/>
        <w:jc w:val="left"/>
      </w:pPr>
      <w:r>
        <w:rPr>
          <w:rFonts w:ascii="Courier New" w:cs="Courier New" w:eastAsia="Courier New" w:hAnsi="Courier New"/>
          <w:b/>
          <w:bCs/>
          <w:color w:val="2a2a2a"/>
          <w:sz w:val="18"/>
          <w:szCs w:val="18"/>
        </w:rPr>
        <w:t xml:space="preserve">§4.4.a  </w:t>
      </w:r>
      <w:r>
        <w:rPr>
          <w:rFonts w:ascii="Garamond" w:cs="Garamond" w:eastAsia="Garamond" w:hAnsi="Garamond"/>
          <w:b w:val="false"/>
          <w:bCs w:val="false"/>
          <w:i/>
          <w:iCs/>
          <w:color w:val="1B2A4A"/>
          <w:sz w:val="22"/>
          <w:szCs w:val="22"/>
        </w:rPr>
        <w:t xml:space="preserve">Senate Bypass — Public Confirmation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LM has assessed and reported a Senate breach under §4.4, the Civic Consul may — with 2/3 Assembly consent — place the serving Temporary Associate Justice on the next federal electoral period ballot for public confirmation. Confirmation requires 60% of votes cast under §7.4;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pPr>
        <w:spacing w:after="60" w:before="200"/>
        <w:ind w:left="431"/>
        <w:jc w:val="left"/>
      </w:pPr>
      <w:r>
        <w:rPr>
          <w:rFonts w:ascii="Courier New" w:cs="Courier New" w:eastAsia="Courier New" w:hAnsi="Courier New"/>
          <w:b/>
          <w:bCs/>
          <w:color w:val="2a2a2a"/>
          <w:sz w:val="18"/>
          <w:szCs w:val="18"/>
        </w:rPr>
        <w:t xml:space="preserve">§4.5  </w:t>
      </w:r>
      <w:r>
        <w:rPr>
          <w:rFonts w:ascii="Garamond" w:cs="Garamond" w:eastAsia="Garamond" w:hAnsi="Garamond"/>
          <w:b w:val="false"/>
          <w:bCs w:val="false"/>
          <w:i/>
          <w:iCs/>
          <w:color w:val="1B2A4A"/>
          <w:sz w:val="22"/>
          <w:szCs w:val="22"/>
        </w:rPr>
        <w:t xml:space="preserve">Judicial Review and Scope</w:t>
      </w:r>
    </w:p>
    <w:p>
      <w:pPr>
        <w:spacing w:after="120" w:before="0"/>
        <w:ind w:left="431"/>
        <w:jc w:val="both"/>
      </w:pPr>
      <w:r>
        <w:rPr>
          <w:rFonts w:ascii="Garamond" w:cs="Garamond" w:eastAsia="Garamond" w:hAnsi="Garamond"/>
          <w:b w:val="false"/>
          <w:bCs w:val="false"/>
          <w:i w:val="false"/>
          <w:iCs w:val="false"/>
          <w:color w:val="2a2a2a"/>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disputes between States, between a State and the federal government, and constitutional challenges to federal statutes; disputes between the Legat Consul and Civic Consul concerning their respective constitutional domains under §2.1; constitutional challenges involving constitutionally independent institutions where their independence protections make inferior court review structurally inappropriate; emergency rights claims brought directly under §16.5; and disputes over the consistency of ratified amendments with entrenched provisions under §17.3.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 The SC’s failure to rule within any constitutionally required period produces no substantive constitutional outcome by operation of that failure; the petitioning party may reinitiate under any procedure applicable to the underlying matter.</w:t>
      </w:r>
    </w:p>
    <w:p>
      <w:pPr>
        <w:spacing w:after="60" w:before="200"/>
        <w:ind w:left="431"/>
        <w:jc w:val="left"/>
      </w:pPr>
      <w:r>
        <w:rPr>
          <w:rFonts w:ascii="Courier New" w:cs="Courier New" w:eastAsia="Courier New" w:hAnsi="Courier New"/>
          <w:b/>
          <w:bCs/>
          <w:color w:val="2a2a2a"/>
          <w:sz w:val="18"/>
          <w:szCs w:val="18"/>
        </w:rPr>
        <w:t xml:space="preserve">§4.6  </w:t>
      </w:r>
      <w:r>
        <w:rPr>
          <w:rFonts w:ascii="Garamond" w:cs="Garamond" w:eastAsia="Garamond" w:hAnsi="Garamond"/>
          <w:b w:val="false"/>
          <w:bCs w:val="false"/>
          <w:i/>
          <w:iCs/>
          <w:color w:val="1B2A4A"/>
          <w:sz w:val="22"/>
          <w:szCs w:val="22"/>
        </w:rPr>
        <w:t xml:space="preserve">Judgment Recognition</w:t>
      </w:r>
    </w:p>
    <w:p>
      <w:pPr>
        <w:spacing w:after="120" w:before="0"/>
        <w:ind w:left="431"/>
        <w:jc w:val="both"/>
      </w:pPr>
      <w:r>
        <w:rPr>
          <w:rFonts w:ascii="Garamond" w:cs="Garamond" w:eastAsia="Garamond" w:hAnsi="Garamond"/>
          <w:b w:val="false"/>
          <w:bCs w:val="false"/>
          <w:i w:val="false"/>
          <w:iCs w:val="false"/>
          <w:color w:val="2a2a2a"/>
          <w:sz w:val="22"/>
          <w:szCs w:val="22"/>
        </w:rPr>
        <w:t xml:space="preserve">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 — Citizenship and National Identity</w:t>
      </w:r>
    </w:p>
    <w:p>
      <w:pPr>
        <w:spacing w:after="60" w:before="200"/>
        <w:ind w:left="431"/>
        <w:jc w:val="left"/>
      </w:pPr>
      <w:r>
        <w:rPr>
          <w:rFonts w:ascii="Courier New" w:cs="Courier New" w:eastAsia="Courier New" w:hAnsi="Courier New"/>
          <w:b/>
          <w:bCs/>
          <w:color w:val="2a2a2a"/>
          <w:sz w:val="18"/>
          <w:szCs w:val="18"/>
        </w:rPr>
        <w:t xml:space="preserve">§5.1  </w:t>
      </w:r>
      <w:r>
        <w:rPr>
          <w:rFonts w:ascii="Garamond" w:cs="Garamond" w:eastAsia="Garamond" w:hAnsi="Garamond"/>
          <w:b w:val="false"/>
          <w:bCs w:val="false"/>
          <w:i/>
          <w:iCs/>
          <w:color w:val="1B2A4A"/>
          <w:sz w:val="22"/>
          <w:szCs w:val="22"/>
        </w:rPr>
        <w:t xml:space="preserve">Citizenship</w:t>
      </w:r>
    </w:p>
    <w:p>
      <w:pPr>
        <w:spacing w:after="120" w:before="0"/>
        <w:ind w:left="431"/>
        <w:jc w:val="both"/>
      </w:pPr>
      <w:r>
        <w:rPr>
          <w:rFonts w:ascii="Garamond" w:cs="Garamond" w:eastAsia="Garamond" w:hAnsi="Garamond"/>
          <w:b w:val="false"/>
          <w:bCs w:val="false"/>
          <w:i w:val="false"/>
          <w:iCs w:val="false"/>
          <w:color w:val="2a2a2a"/>
          <w:sz w:val="22"/>
          <w:szCs w:val="22"/>
        </w:rPr>
        <w:t xml:space="preserve">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pPr>
        <w:spacing w:after="60" w:before="200"/>
        <w:ind w:left="431"/>
        <w:jc w:val="left"/>
      </w:pPr>
      <w:r>
        <w:rPr>
          <w:rFonts w:ascii="Courier New" w:cs="Courier New" w:eastAsia="Courier New" w:hAnsi="Courier New"/>
          <w:b/>
          <w:bCs/>
          <w:color w:val="2a2a2a"/>
          <w:sz w:val="18"/>
          <w:szCs w:val="18"/>
        </w:rPr>
        <w:t xml:space="preserve">§5.2  </w:t>
      </w:r>
      <w:r>
        <w:rPr>
          <w:rFonts w:ascii="Garamond" w:cs="Garamond" w:eastAsia="Garamond" w:hAnsi="Garamond"/>
          <w:b w:val="false"/>
          <w:bCs w:val="false"/>
          <w:i/>
          <w:iCs/>
          <w:color w:val="1B2A4A"/>
          <w:sz w:val="22"/>
          <w:szCs w:val="22"/>
        </w:rPr>
        <w:t xml:space="preserve">Legal Resident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pPr>
        <w:spacing w:after="60" w:before="200"/>
        <w:ind w:left="431"/>
        <w:jc w:val="left"/>
      </w:pPr>
      <w:r>
        <w:rPr>
          <w:rFonts w:ascii="Courier New" w:cs="Courier New" w:eastAsia="Courier New" w:hAnsi="Courier New"/>
          <w:b/>
          <w:bCs/>
          <w:color w:val="2a2a2a"/>
          <w:sz w:val="18"/>
          <w:szCs w:val="18"/>
        </w:rPr>
        <w:t xml:space="preserve">§5.3  </w:t>
      </w:r>
      <w:r>
        <w:rPr>
          <w:rFonts w:ascii="Garamond" w:cs="Garamond" w:eastAsia="Garamond" w:hAnsi="Garamond"/>
          <w:b w:val="false"/>
          <w:bCs w:val="false"/>
          <w:i/>
          <w:iCs/>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VI — Immigration and Residency</w:t>
      </w:r>
    </w:p>
    <w:p>
      <w:pPr>
        <w:spacing w:after="60" w:before="200"/>
        <w:ind w:left="431"/>
        <w:jc w:val="left"/>
      </w:pPr>
      <w:r>
        <w:rPr>
          <w:rFonts w:ascii="Courier New" w:cs="Courier New" w:eastAsia="Courier New" w:hAnsi="Courier New"/>
          <w:b/>
          <w:bCs/>
          <w:color w:val="2a2a2a"/>
          <w:sz w:val="18"/>
          <w:szCs w:val="18"/>
        </w:rPr>
        <w:t xml:space="preserve">§6.1  </w:t>
      </w:r>
      <w:r>
        <w:rPr>
          <w:rFonts w:ascii="Garamond" w:cs="Garamond" w:eastAsia="Garamond" w:hAnsi="Garamond"/>
          <w:b w:val="false"/>
          <w:bCs w:val="false"/>
          <w:i/>
          <w:iCs/>
          <w:color w:val="1B2A4A"/>
          <w:sz w:val="22"/>
          <w:szCs w:val="22"/>
        </w:rPr>
        <w:t xml:space="preserve">The Two-Stage Immigration System</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pPr>
        <w:spacing w:after="60" w:before="200"/>
        <w:ind w:left="431"/>
        <w:jc w:val="left"/>
      </w:pPr>
      <w:r>
        <w:rPr>
          <w:rFonts w:ascii="Courier New" w:cs="Courier New" w:eastAsia="Courier New" w:hAnsi="Courier New"/>
          <w:b/>
          <w:bCs/>
          <w:color w:val="2a2a2a"/>
          <w:sz w:val="18"/>
          <w:szCs w:val="18"/>
        </w:rPr>
        <w:t xml:space="preserve">§6.2  </w:t>
      </w:r>
      <w:r>
        <w:rPr>
          <w:rFonts w:ascii="Garamond" w:cs="Garamond" w:eastAsia="Garamond" w:hAnsi="Garamond"/>
          <w:b w:val="false"/>
          <w:bCs w:val="false"/>
          <w:i/>
          <w:iCs/>
          <w:color w:val="1B2A4A"/>
          <w:sz w:val="22"/>
          <w:szCs w:val="22"/>
        </w:rPr>
        <w:t xml:space="preserve">Enforcement, Removal, and Appeals</w:t>
      </w:r>
    </w:p>
    <w:p>
      <w:pPr>
        <w:spacing w:after="120" w:before="0"/>
        <w:ind w:left="431"/>
        <w:jc w:val="both"/>
      </w:pPr>
      <w:r>
        <w:rPr>
          <w:rFonts w:ascii="Garamond" w:cs="Garamond" w:eastAsia="Garamond" w:hAnsi="Garamond"/>
          <w:b w:val="false"/>
          <w:bCs w:val="false"/>
          <w:i w:val="false"/>
          <w:iCs w:val="false"/>
          <w:color w:val="2a2a2a"/>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pPr>
        <w:spacing w:after="60" w:before="200"/>
        <w:ind w:left="431"/>
        <w:jc w:val="left"/>
      </w:pPr>
      <w:r>
        <w:rPr>
          <w:rFonts w:ascii="Courier New" w:cs="Courier New" w:eastAsia="Courier New" w:hAnsi="Courier New"/>
          <w:b/>
          <w:bCs/>
          <w:color w:val="2a2a2a"/>
          <w:sz w:val="18"/>
          <w:szCs w:val="18"/>
        </w:rPr>
        <w:t xml:space="preserve">§6.3  </w:t>
      </w:r>
      <w:r>
        <w:rPr>
          <w:rFonts w:ascii="Garamond" w:cs="Garamond" w:eastAsia="Garamond" w:hAnsi="Garamond"/>
          <w:b w:val="false"/>
          <w:bCs w:val="false"/>
          <w:i/>
          <w:iCs/>
          <w:color w:val="1B2A4A"/>
          <w:sz w:val="22"/>
          <w:szCs w:val="22"/>
        </w:rPr>
        <w:t xml:space="preserve">Asylum and Protection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 An unaccompanied minor arriving in the Republic is an 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pPr>
        <w:spacing w:after="60" w:before="200"/>
        <w:ind w:left="431"/>
        <w:jc w:val="left"/>
      </w:pPr>
      <w:r>
        <w:rPr>
          <w:rFonts w:ascii="Courier New" w:cs="Courier New" w:eastAsia="Courier New" w:hAnsi="Courier New"/>
          <w:b/>
          <w:bCs/>
          <w:color w:val="2a2a2a"/>
          <w:sz w:val="18"/>
          <w:szCs w:val="18"/>
        </w:rPr>
        <w:t xml:space="preserve">§6.3.b  </w:t>
      </w:r>
      <w:r>
        <w:rPr>
          <w:rFonts w:ascii="Garamond" w:cs="Garamond" w:eastAsia="Garamond" w:hAnsi="Garamond"/>
          <w:b w:val="false"/>
          <w:bCs w:val="false"/>
          <w:i/>
          <w:iCs/>
          <w:color w:val="1B2A4A"/>
          <w:sz w:val="22"/>
          <w:szCs w:val="22"/>
        </w:rPr>
        <w:t xml:space="preserve">Unresolvable and Security Cases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judicial review by the court with active jurisdiction over the case.</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VII — Elections</w:t>
      </w:r>
    </w:p>
    <w:p>
      <w:pPr>
        <w:spacing w:after="60" w:before="200"/>
        <w:ind w:left="431"/>
        <w:jc w:val="left"/>
      </w:pPr>
      <w:r>
        <w:rPr>
          <w:rFonts w:ascii="Courier New" w:cs="Courier New" w:eastAsia="Courier New" w:hAnsi="Courier New"/>
          <w:b/>
          <w:bCs/>
          <w:color w:val="2a2a2a"/>
          <w:sz w:val="18"/>
          <w:szCs w:val="18"/>
        </w:rPr>
        <w:t xml:space="preserve">§7.1  </w:t>
      </w:r>
      <w:r>
        <w:rPr>
          <w:rFonts w:ascii="Garamond" w:cs="Garamond" w:eastAsia="Garamond" w:hAnsi="Garamond"/>
          <w:b w:val="false"/>
          <w:bCs w:val="false"/>
          <w:i/>
          <w:iCs/>
          <w:color w:val="1B2A4A"/>
          <w:sz w:val="22"/>
          <w:szCs w:val="22"/>
        </w:rPr>
        <w:t xml:space="preserve">The Right to Vote</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pPr>
        <w:spacing w:after="60" w:before="200"/>
        <w:ind w:left="431"/>
        <w:jc w:val="left"/>
      </w:pPr>
      <w:r>
        <w:rPr>
          <w:rFonts w:ascii="Courier New" w:cs="Courier New" w:eastAsia="Courier New" w:hAnsi="Courier New"/>
          <w:b/>
          <w:bCs/>
          <w:color w:val="2a2a2a"/>
          <w:sz w:val="18"/>
          <w:szCs w:val="18"/>
        </w:rPr>
        <w:t xml:space="preserve">§7.2  </w:t>
      </w:r>
      <w:r>
        <w:rPr>
          <w:rFonts w:ascii="Garamond" w:cs="Garamond" w:eastAsia="Garamond" w:hAnsi="Garamond"/>
          <w:b w:val="false"/>
          <w:bCs w:val="false"/>
          <w:i/>
          <w:iCs/>
          <w:color w:val="1B2A4A"/>
          <w:sz w:val="22"/>
          <w:szCs w:val="22"/>
        </w:rPr>
        <w:t xml:space="preserve">Consular Election System</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is elected through two concurrent requirements: a national RCV majority and a State plurality qualification. A candidate wins outright by satisfying both. Where a candidate's national RCV majority reaches or exceeds 60% of votes cast,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 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pPr>
        <w:spacing w:after="60" w:before="200"/>
        <w:ind w:left="431"/>
        <w:jc w:val="left"/>
      </w:pPr>
      <w:r>
        <w:rPr>
          <w:rFonts w:ascii="Courier New" w:cs="Courier New" w:eastAsia="Courier New" w:hAnsi="Courier New"/>
          <w:b/>
          <w:bCs/>
          <w:color w:val="2a2a2a"/>
          <w:sz w:val="18"/>
          <w:szCs w:val="18"/>
        </w:rPr>
        <w:t xml:space="preserve">§7.3  </w:t>
      </w:r>
      <w:r>
        <w:rPr>
          <w:rFonts w:ascii="Garamond" w:cs="Garamond" w:eastAsia="Garamond" w:hAnsi="Garamond"/>
          <w:b w:val="false"/>
          <w:bCs w:val="false"/>
          <w:i/>
          <w:iCs/>
          <w:color w:val="1B2A4A"/>
          <w:sz w:val="22"/>
          <w:szCs w:val="22"/>
        </w:rPr>
        <w:t xml:space="preserve">Federal Elections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pPr>
        <w:spacing w:after="60" w:before="200"/>
        <w:ind w:left="431"/>
        <w:jc w:val="left"/>
      </w:pPr>
      <w:r>
        <w:rPr>
          <w:rFonts w:ascii="Courier New" w:cs="Courier New" w:eastAsia="Courier New" w:hAnsi="Courier New"/>
          <w:b/>
          <w:bCs/>
          <w:color w:val="2a2a2a"/>
          <w:sz w:val="18"/>
          <w:szCs w:val="18"/>
        </w:rPr>
        <w:t xml:space="preserve">§7.3.a  </w:t>
      </w:r>
      <w:r>
        <w:rPr>
          <w:rFonts w:ascii="Garamond" w:cs="Garamond" w:eastAsia="Garamond" w:hAnsi="Garamond"/>
          <w:b w:val="false"/>
          <w:bCs w:val="false"/>
          <w:i/>
          <w:iCs/>
          <w:color w:val="1B2A4A"/>
          <w:sz w:val="22"/>
          <w:szCs w:val="22"/>
        </w:rPr>
        <w:t xml:space="preserve">Special Elections and Postponements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seeking expedited judicial review of the Elections Panel’s finding; the applicable court and expedited process are defined by statute. No further postponement may be granted without a new Elections Panel finding of impossibility and a new 2/3 legislative determination.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VIII — Electoral Finance and Campaign Conduct</w:t>
      </w:r>
    </w:p>
    <w:p>
      <w:pPr>
        <w:spacing w:after="60" w:before="200"/>
        <w:ind w:left="431"/>
        <w:jc w:val="left"/>
      </w:pPr>
      <w:r>
        <w:rPr>
          <w:rFonts w:ascii="Courier New" w:cs="Courier New" w:eastAsia="Courier New" w:hAnsi="Courier New"/>
          <w:b/>
          <w:bCs/>
          <w:color w:val="2a2a2a"/>
          <w:sz w:val="18"/>
          <w:szCs w:val="18"/>
        </w:rPr>
        <w:t xml:space="preserve">§8.1  </w:t>
      </w:r>
      <w:r>
        <w:rPr>
          <w:rFonts w:ascii="Garamond" w:cs="Garamond" w:eastAsia="Garamond" w:hAnsi="Garamond"/>
          <w:b w:val="false"/>
          <w:bCs w:val="false"/>
          <w:i/>
          <w:iCs/>
          <w:color w:val="1B2A4A"/>
          <w:sz w:val="22"/>
          <w:szCs w:val="22"/>
        </w:rPr>
        <w:t xml:space="preserve">Electoral Finance</w:t>
      </w:r>
    </w:p>
    <w:p>
      <w:pPr>
        <w:spacing w:after="120" w:before="0"/>
        <w:ind w:left="431"/>
        <w:jc w:val="both"/>
      </w:pPr>
      <w:r>
        <w:rPr>
          <w:rFonts w:ascii="Garamond" w:cs="Garamond" w:eastAsia="Garamond" w:hAnsi="Garamond"/>
          <w:b w:val="false"/>
          <w:bCs w:val="false"/>
          <w:i w:val="false"/>
          <w:iCs w:val="false"/>
          <w:color w:val="2a2a2a"/>
          <w:sz w:val="22"/>
          <w:szCs w:val="22"/>
        </w:rPr>
        <w:t xml:space="preserve">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pPr>
        <w:spacing w:after="60" w:before="200"/>
        <w:ind w:left="431"/>
        <w:jc w:val="left"/>
      </w:pPr>
      <w:r>
        <w:rPr>
          <w:rFonts w:ascii="Courier New" w:cs="Courier New" w:eastAsia="Courier New" w:hAnsi="Courier New"/>
          <w:b/>
          <w:bCs/>
          <w:color w:val="2a2a2a"/>
          <w:sz w:val="18"/>
          <w:szCs w:val="18"/>
        </w:rPr>
        <w:t xml:space="preserve">§8.2  </w:t>
      </w:r>
      <w:r>
        <w:rPr>
          <w:rFonts w:ascii="Garamond" w:cs="Garamond" w:eastAsia="Garamond" w:hAnsi="Garamond"/>
          <w:b w:val="false"/>
          <w:bCs w:val="false"/>
          <w:i/>
          <w:iCs/>
          <w:color w:val="1B2A4A"/>
          <w:sz w:val="22"/>
          <w:szCs w:val="22"/>
        </w:rPr>
        <w:t xml:space="preserve">Campaign Conduct</w:t>
      </w:r>
    </w:p>
    <w:p>
      <w:pPr>
        <w:spacing w:after="120" w:before="0"/>
        <w:ind w:left="431"/>
        <w:jc w:val="both"/>
      </w:pPr>
      <w:r>
        <w:rPr>
          <w:rFonts w:ascii="Garamond" w:cs="Garamond" w:eastAsia="Garamond" w:hAnsi="Garamond"/>
          <w:b w:val="false"/>
          <w:bCs w:val="false"/>
          <w:i w:val="false"/>
          <w:iCs w:val="false"/>
          <w:color w:val="2a2a2a"/>
          <w:sz w:val="22"/>
          <w:szCs w:val="22"/>
        </w:rPr>
        <w:t xml:space="preserve">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Fabricated or deceptively edited communications about other candidates are a constitutional violation; the Elections Panel publishes findings of violation to the NRS and candidates found in violation are subject to sanctions defined by statute.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pPr>
        <w:spacing w:after="60" w:before="200"/>
        <w:ind w:left="431"/>
        <w:jc w:val="left"/>
      </w:pPr>
      <w:r>
        <w:rPr>
          <w:rFonts w:ascii="Courier New" w:cs="Courier New" w:eastAsia="Courier New" w:hAnsi="Courier New"/>
          <w:b/>
          <w:bCs/>
          <w:color w:val="2a2a2a"/>
          <w:sz w:val="18"/>
          <w:szCs w:val="18"/>
        </w:rPr>
        <w:t xml:space="preserve">§8.3  </w:t>
      </w:r>
      <w:r>
        <w:rPr>
          <w:rFonts w:ascii="Garamond" w:cs="Garamond" w:eastAsia="Garamond" w:hAnsi="Garamond"/>
          <w:b w:val="false"/>
          <w:bCs w:val="false"/>
          <w:i/>
          <w:iCs/>
          <w:color w:val="1B2A4A"/>
          <w:sz w:val="22"/>
          <w:szCs w:val="22"/>
        </w:rPr>
        <w:t xml:space="preserve">Public Spectrum Access for Campaigns</w:t>
      </w:r>
    </w:p>
    <w:p>
      <w:pPr>
        <w:spacing w:after="120" w:before="0"/>
        <w:ind w:left="431"/>
        <w:jc w:val="both"/>
      </w:pPr>
      <w:r>
        <w:rPr>
          <w:rFonts w:ascii="Garamond" w:cs="Garamond" w:eastAsia="Garamond" w:hAnsi="Garamond"/>
          <w:b w:val="false"/>
          <w:bCs w:val="false"/>
          <w:i w:val="false"/>
          <w:iCs w:val="false"/>
          <w:color w:val="2a2a2a"/>
          <w:sz w:val="22"/>
          <w:szCs w:val="22"/>
        </w:rPr>
        <w:t xml:space="preserve">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IX — The Monitors</w:t>
      </w:r>
    </w:p>
    <w:p>
      <w:pPr>
        <w:spacing w:after="60" w:before="200"/>
        <w:ind w:left="431"/>
        <w:jc w:val="left"/>
      </w:pPr>
      <w:r>
        <w:rPr>
          <w:rFonts w:ascii="Courier New" w:cs="Courier New" w:eastAsia="Courier New" w:hAnsi="Courier New"/>
          <w:b/>
          <w:bCs/>
          <w:color w:val="2a2a2a"/>
          <w:sz w:val="18"/>
          <w:szCs w:val="18"/>
        </w:rPr>
        <w:t xml:space="preserve">§9.1  </w:t>
      </w:r>
      <w:r>
        <w:rPr>
          <w:rFonts w:ascii="Garamond" w:cs="Garamond" w:eastAsia="Garamond" w:hAnsi="Garamond"/>
          <w:b w:val="false"/>
          <w:bCs w:val="false"/>
          <w:i/>
          <w:iCs/>
          <w:color w:val="1B2A4A"/>
          <w:sz w:val="22"/>
          <w:szCs w:val="22"/>
        </w:rPr>
        <w:t xml:space="preserve">Three Monitors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pPr>
        <w:spacing w:after="60" w:before="200"/>
        <w:ind w:left="431"/>
        <w:jc w:val="left"/>
      </w:pPr>
      <w:r>
        <w:rPr>
          <w:rFonts w:ascii="Courier New" w:cs="Courier New" w:eastAsia="Courier New" w:hAnsi="Courier New"/>
          <w:b/>
          <w:bCs/>
          <w:color w:val="2a2a2a"/>
          <w:sz w:val="18"/>
          <w:szCs w:val="18"/>
        </w:rPr>
        <w:t xml:space="preserve">§9.1.a  </w:t>
      </w:r>
      <w:r>
        <w:rPr>
          <w:rFonts w:ascii="Garamond" w:cs="Garamond" w:eastAsia="Garamond" w:hAnsi="Garamond"/>
          <w:b w:val="false"/>
          <w:bCs w:val="false"/>
          <w:i/>
          <w:iCs/>
          <w:color w:val="1B2A4A"/>
          <w:sz w:val="22"/>
          <w:szCs w:val="22"/>
        </w:rPr>
        <w:t xml:space="preserve">The Legislative Monitor</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pPr>
        <w:spacing w:after="60" w:before="200"/>
        <w:ind w:left="431"/>
        <w:jc w:val="left"/>
      </w:pPr>
      <w:r>
        <w:rPr>
          <w:rFonts w:ascii="Courier New" w:cs="Courier New" w:eastAsia="Courier New" w:hAnsi="Courier New"/>
          <w:b/>
          <w:bCs/>
          <w:color w:val="2a2a2a"/>
          <w:sz w:val="18"/>
          <w:szCs w:val="18"/>
        </w:rPr>
        <w:t xml:space="preserve">§9.1.b  </w:t>
      </w:r>
      <w:r>
        <w:rPr>
          <w:rFonts w:ascii="Garamond" w:cs="Garamond" w:eastAsia="Garamond" w:hAnsi="Garamond"/>
          <w:b w:val="false"/>
          <w:bCs w:val="false"/>
          <w:i/>
          <w:iCs/>
          <w:color w:val="1B2A4A"/>
          <w:sz w:val="22"/>
          <w:szCs w:val="22"/>
        </w:rPr>
        <w:t xml:space="preserve">The Executive Monitor</w:t>
      </w:r>
    </w:p>
    <w:p>
      <w:pPr>
        <w:spacing w:after="120" w:before="0"/>
        <w:ind w:left="431"/>
        <w:jc w:val="both"/>
      </w:pPr>
      <w:r>
        <w:rPr>
          <w:rFonts w:ascii="Garamond" w:cs="Garamond" w:eastAsia="Garamond" w:hAnsi="Garamond"/>
          <w:b w:val="false"/>
          <w:bCs w:val="false"/>
          <w:i w:val="false"/>
          <w:iCs w:val="false"/>
          <w:color w:val="2a2a2a"/>
          <w:sz w:val="22"/>
          <w:szCs w:val="22"/>
        </w:rPr>
        <w:t xml:space="preserve">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pPr>
        <w:spacing w:after="60" w:before="200"/>
        <w:ind w:left="431"/>
        <w:jc w:val="left"/>
      </w:pPr>
      <w:r>
        <w:rPr>
          <w:rFonts w:ascii="Courier New" w:cs="Courier New" w:eastAsia="Courier New" w:hAnsi="Courier New"/>
          <w:b/>
          <w:bCs/>
          <w:color w:val="2a2a2a"/>
          <w:sz w:val="18"/>
          <w:szCs w:val="18"/>
        </w:rPr>
        <w:t xml:space="preserve">§9.1.c  </w:t>
      </w:r>
      <w:r>
        <w:rPr>
          <w:rFonts w:ascii="Garamond" w:cs="Garamond" w:eastAsia="Garamond" w:hAnsi="Garamond"/>
          <w:b w:val="false"/>
          <w:bCs w:val="false"/>
          <w:i/>
          <w:iCs/>
          <w:color w:val="1B2A4A"/>
          <w:sz w:val="22"/>
          <w:szCs w:val="22"/>
        </w:rPr>
        <w:t xml:space="preserve">The Judicial Monitor</w:t>
      </w:r>
    </w:p>
    <w:p>
      <w:pPr>
        <w:spacing w:after="120" w:before="0"/>
        <w:ind w:left="431"/>
        <w:jc w:val="both"/>
      </w:pPr>
      <w:r>
        <w:rPr>
          <w:rFonts w:ascii="Garamond" w:cs="Garamond" w:eastAsia="Garamond" w:hAnsi="Garamond"/>
          <w:b w:val="false"/>
          <w:bCs w:val="false"/>
          <w:i w:val="false"/>
          <w:iCs w:val="false"/>
          <w:color w:val="2a2a2a"/>
          <w:sz w:val="22"/>
          <w:szCs w:val="22"/>
        </w:rPr>
        <w:t xml:space="preserve">The JM audits the courts for judicial scope and independence, and conducts annual audits of the Elections Panel for electoral integrity compliance, including the administration of the Judicial Pool and all constitutional pools. The JM reviews compliance with compact agreements under Article XVI and Associated Community compact agreements under Article XX. The JM administers all constitutional lottery draws and candidate certification functions.</w:t>
      </w:r>
    </w:p>
    <w:p>
      <w:pPr>
        <w:spacing w:after="60" w:before="200"/>
        <w:ind w:left="431"/>
        <w:jc w:val="left"/>
      </w:pPr>
      <w:r>
        <w:rPr>
          <w:rFonts w:ascii="Courier New" w:cs="Courier New" w:eastAsia="Courier New" w:hAnsi="Courier New"/>
          <w:b/>
          <w:bCs/>
          <w:color w:val="2a2a2a"/>
          <w:sz w:val="18"/>
          <w:szCs w:val="18"/>
        </w:rPr>
        <w:t xml:space="preserve">§9.1.d  </w:t>
      </w:r>
      <w:r>
        <w:rPr>
          <w:rFonts w:ascii="Garamond" w:cs="Garamond" w:eastAsia="Garamond" w:hAnsi="Garamond"/>
          <w:b w:val="false"/>
          <w:bCs w:val="false"/>
          <w:i/>
          <w:iCs/>
          <w:color w:val="1B2A4A"/>
          <w:sz w:val="22"/>
          <w:szCs w:val="22"/>
        </w:rPr>
        <w:t xml:space="preserve">Monitor General Term Expiry and Incapacity</w:t>
      </w:r>
    </w:p>
    <w:p>
      <w:pPr>
        <w:spacing w:after="120" w:before="0"/>
        <w:ind w:left="431"/>
        <w:jc w:val="both"/>
      </w:pPr>
      <w:r>
        <w:rPr>
          <w:rFonts w:ascii="Garamond" w:cs="Garamond" w:eastAsia="Garamond" w:hAnsi="Garamond"/>
          <w:b w:val="false"/>
          <w:bCs w:val="false"/>
          <w:i w:val="false"/>
          <w:iCs w:val="false"/>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pPr>
        <w:spacing w:after="60" w:before="200"/>
        <w:ind w:left="431"/>
        <w:jc w:val="left"/>
      </w:pPr>
      <w:r>
        <w:rPr>
          <w:rFonts w:ascii="Courier New" w:cs="Courier New" w:eastAsia="Courier New" w:hAnsi="Courier New"/>
          <w:b/>
          <w:bCs/>
          <w:color w:val="2a2a2a"/>
          <w:sz w:val="18"/>
          <w:szCs w:val="18"/>
        </w:rPr>
        <w:t xml:space="preserve">§9.2  </w:t>
      </w:r>
      <w:r>
        <w:rPr>
          <w:rFonts w:ascii="Garamond" w:cs="Garamond" w:eastAsia="Garamond" w:hAnsi="Garamond"/>
          <w:b w:val="false"/>
          <w:bCs w:val="false"/>
          <w:i/>
          <w:iCs/>
          <w:color w:val="1B2A4A"/>
          <w:sz w:val="22"/>
          <w:szCs w:val="22"/>
        </w:rPr>
        <w:t xml:space="preserve">Selection and Independence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pPr>
        <w:spacing w:after="60" w:before="200"/>
        <w:ind w:left="431"/>
        <w:jc w:val="left"/>
      </w:pPr>
      <w:r>
        <w:rPr>
          <w:rFonts w:ascii="Courier New" w:cs="Courier New" w:eastAsia="Courier New" w:hAnsi="Courier New"/>
          <w:b/>
          <w:bCs/>
          <w:color w:val="2a2a2a"/>
          <w:sz w:val="18"/>
          <w:szCs w:val="18"/>
        </w:rPr>
        <w:t xml:space="preserve">§9.3  </w:t>
      </w:r>
      <w:r>
        <w:rPr>
          <w:rFonts w:ascii="Garamond" w:cs="Garamond" w:eastAsia="Garamond" w:hAnsi="Garamond"/>
          <w:b w:val="false"/>
          <w:bCs w:val="false"/>
          <w:i/>
          <w:iCs/>
          <w:color w:val="1B2A4A"/>
          <w:sz w:val="22"/>
          <w:szCs w:val="22"/>
        </w:rPr>
        <w:t xml:space="preserve">Monitor General Selection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§9.12 from the JM Candidate Pool under §9.4.a. No two Monitor General terms may begin within 18 months of each other. The confirmed successor assumes full authority at the precise moment the incumbent’s term concludes.</w:t>
      </w:r>
    </w:p>
    <w:p>
      <w:pPr>
        <w:spacing w:after="60" w:before="200"/>
        <w:ind w:left="431"/>
        <w:jc w:val="left"/>
      </w:pPr>
      <w:r>
        <w:rPr>
          <w:rFonts w:ascii="Courier New" w:cs="Courier New" w:eastAsia="Courier New" w:hAnsi="Courier New"/>
          <w:b/>
          <w:bCs/>
          <w:color w:val="2a2a2a"/>
          <w:sz w:val="18"/>
          <w:szCs w:val="18"/>
        </w:rPr>
        <w:t xml:space="preserve">§9.4  </w:t>
      </w:r>
      <w:r>
        <w:rPr>
          <w:rFonts w:ascii="Garamond" w:cs="Garamond" w:eastAsia="Garamond" w:hAnsi="Garamond"/>
          <w:b w:val="false"/>
          <w:bCs w:val="false"/>
          <w:i/>
          <w:iCs/>
          <w:color w:val="1B2A4A"/>
          <w:sz w:val="22"/>
          <w:szCs w:val="22"/>
        </w:rPr>
        <w:t xml:space="preserve">Judicial Monitor Audit and Lottery Administration Mandate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JMC conducts the lottery in a public session; the outgoing JM Monitor General does not participate. The pool is publicly accessible at all times.</w:t>
      </w:r>
    </w:p>
    <w:p>
      <w:pPr>
        <w:spacing w:after="60" w:before="200"/>
        <w:ind w:left="431"/>
        <w:jc w:val="left"/>
      </w:pPr>
      <w:r>
        <w:rPr>
          <w:rFonts w:ascii="Courier New" w:cs="Courier New" w:eastAsia="Courier New" w:hAnsi="Courier New"/>
          <w:b/>
          <w:bCs/>
          <w:color w:val="2a2a2a"/>
          <w:sz w:val="18"/>
          <w:szCs w:val="18"/>
        </w:rPr>
        <w:t xml:space="preserve">§9.4.b  </w:t>
      </w:r>
      <w:r>
        <w:rPr>
          <w:rFonts w:ascii="Garamond" w:cs="Garamond" w:eastAsia="Garamond" w:hAnsi="Garamond"/>
          <w:b w:val="false"/>
          <w:bCs w:val="false"/>
          <w:i/>
          <w:iCs/>
          <w:color w:val="1B2A4A"/>
          <w:sz w:val="22"/>
          <w:szCs w:val="22"/>
        </w:rPr>
        <w:t xml:space="preserve">Judicial Pool — Eligibility Criteria</w:t>
      </w:r>
    </w:p>
    <w:p>
      <w:pPr>
        <w:spacing w:after="120" w:before="0"/>
        <w:ind w:left="431"/>
        <w:jc w:val="both"/>
      </w:pPr>
      <w:r>
        <w:rPr>
          <w:rFonts w:ascii="Garamond" w:cs="Garamond" w:eastAsia="Garamond" w:hAnsi="Garamond"/>
          <w:b w:val="false"/>
          <w:bCs w:val="false"/>
          <w:i w:val="false"/>
          <w:iCs w:val="false"/>
          <w:color w:val="2a2a2a"/>
          <w:sz w:val="22"/>
          <w:szCs w:val="22"/>
        </w:rPr>
        <w:t xml:space="preserve">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pPr>
        <w:spacing w:after="60" w:before="200"/>
        <w:ind w:left="431"/>
        <w:jc w:val="left"/>
      </w:pPr>
      <w:r>
        <w:rPr>
          <w:rFonts w:ascii="Courier New" w:cs="Courier New" w:eastAsia="Courier New" w:hAnsi="Courier New"/>
          <w:b/>
          <w:bCs/>
          <w:color w:val="2a2a2a"/>
          <w:sz w:val="18"/>
          <w:szCs w:val="18"/>
        </w:rPr>
        <w:t xml:space="preserve">§9.6  </w:t>
      </w:r>
      <w:r>
        <w:rPr>
          <w:rFonts w:ascii="Garamond" w:cs="Garamond" w:eastAsia="Garamond" w:hAnsi="Garamond"/>
          <w:b w:val="false"/>
          <w:bCs w:val="false"/>
          <w:i/>
          <w:iCs/>
          <w:color w:val="1B2A4A"/>
          <w:sz w:val="22"/>
          <w:szCs w:val="22"/>
        </w:rPr>
        <w:t xml:space="preserve">Monitor Operations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pPr>
        <w:spacing w:after="60" w:before="200"/>
        <w:ind w:left="431"/>
        <w:jc w:val="left"/>
      </w:pPr>
      <w:r>
        <w:rPr>
          <w:rFonts w:ascii="Courier New" w:cs="Courier New" w:eastAsia="Courier New" w:hAnsi="Courier New"/>
          <w:b/>
          <w:bCs/>
          <w:color w:val="2a2a2a"/>
          <w:sz w:val="18"/>
          <w:szCs w:val="18"/>
        </w:rPr>
        <w:t xml:space="preserve">§9.10  </w:t>
      </w:r>
      <w:r>
        <w:rPr>
          <w:rFonts w:ascii="Garamond" w:cs="Garamond" w:eastAsia="Garamond" w:hAnsi="Garamond"/>
          <w:b w:val="false"/>
          <w:bCs w:val="false"/>
          <w:i/>
          <w:iCs/>
          <w:color w:val="1B2A4A"/>
          <w:sz w:val="22"/>
          <w:szCs w:val="22"/>
        </w:rPr>
        <w:t xml:space="preserve">Monitor Minimum Funding Guarantee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pPr>
        <w:spacing w:after="60" w:before="200"/>
        <w:ind w:left="431"/>
        <w:jc w:val="left"/>
      </w:pPr>
      <w:r>
        <w:rPr>
          <w:rFonts w:ascii="Courier New" w:cs="Courier New" w:eastAsia="Courier New" w:hAnsi="Courier New"/>
          <w:b/>
          <w:bCs/>
          <w:color w:val="2a2a2a"/>
          <w:sz w:val="18"/>
          <w:szCs w:val="18"/>
        </w:rPr>
        <w:t xml:space="preserve">§9.11  </w:t>
      </w:r>
      <w:r>
        <w:rPr>
          <w:rFonts w:ascii="Garamond" w:cs="Garamond" w:eastAsia="Garamond" w:hAnsi="Garamond"/>
          <w:b w:val="false"/>
          <w:bCs w:val="false"/>
          <w:i/>
          <w:iCs/>
          <w:color w:val="1B2A4A"/>
          <w:sz w:val="22"/>
          <w:szCs w:val="22"/>
        </w:rPr>
        <w:t xml:space="preserve">Joint Monitor Council</w:t>
      </w:r>
    </w:p>
    <w:p>
      <w:pPr>
        <w:spacing w:after="120" w:before="0"/>
        <w:ind w:left="431"/>
        <w:jc w:val="both"/>
      </w:pPr>
      <w:r>
        <w:rPr>
          <w:rFonts w:ascii="Garamond" w:cs="Garamond" w:eastAsia="Garamond" w:hAnsi="Garamond"/>
          <w:b w:val="false"/>
          <w:bCs w:val="false"/>
          <w:i w:val="false"/>
          <w:iCs w:val="false"/>
          <w:color w:val="2a2a2a"/>
          <w:sz w:val="22"/>
          <w:szCs w:val="22"/>
        </w:rPr>
        <w:t xml:space="preserve">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pPr>
        <w:spacing w:after="60" w:before="200"/>
        <w:ind w:left="431"/>
        <w:jc w:val="left"/>
      </w:pPr>
      <w:r>
        <w:rPr>
          <w:rFonts w:ascii="Courier New" w:cs="Courier New" w:eastAsia="Courier New" w:hAnsi="Courier New"/>
          <w:b/>
          <w:bCs/>
          <w:color w:val="2a2a2a"/>
          <w:sz w:val="18"/>
          <w:szCs w:val="18"/>
        </w:rPr>
        <w:t xml:space="preserve">§9.11.a  </w:t>
      </w:r>
      <w:r>
        <w:rPr>
          <w:rFonts w:ascii="Garamond" w:cs="Garamond" w:eastAsia="Garamond" w:hAnsi="Garamond"/>
          <w:b w:val="false"/>
          <w:bCs w:val="false"/>
          <w:i/>
          <w:iCs/>
          <w:color w:val="1B2A4A"/>
          <w:sz w:val="22"/>
          <w:szCs w:val="22"/>
        </w:rPr>
        <w:t xml:space="preserve">Institutional Compromise Protocol</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pPr>
        <w:spacing w:after="60" w:before="200"/>
        <w:ind w:left="431"/>
        <w:jc w:val="left"/>
      </w:pPr>
      <w:r>
        <w:rPr>
          <w:rFonts w:ascii="Courier New" w:cs="Courier New" w:eastAsia="Courier New" w:hAnsi="Courier New"/>
          <w:b/>
          <w:bCs/>
          <w:color w:val="2a2a2a"/>
          <w:sz w:val="18"/>
          <w:szCs w:val="18"/>
        </w:rPr>
        <w:t xml:space="preserve">§9.12  </w:t>
      </w:r>
      <w:r>
        <w:rPr>
          <w:rFonts w:ascii="Garamond" w:cs="Garamond" w:eastAsia="Garamond" w:hAnsi="Garamond"/>
          <w:b w:val="false"/>
          <w:bCs w:val="false"/>
          <w:i/>
          <w:iCs/>
          <w:color w:val="1B2A4A"/>
          <w:sz w:val="22"/>
          <w:szCs w:val="22"/>
        </w:rPr>
        <w:t xml:space="preserve">Constitutional Pool Framework</w:t>
      </w:r>
    </w:p>
    <w:p>
      <w:pPr>
        <w:spacing w:after="120" w:before="0"/>
        <w:ind w:left="431"/>
        <w:jc w:val="both"/>
      </w:pPr>
      <w:r>
        <w:rPr>
          <w:rFonts w:ascii="Garamond" w:cs="Garamond" w:eastAsia="Garamond" w:hAnsi="Garamond"/>
          <w:b w:val="false"/>
          <w:bCs w:val="false"/>
          <w:i w:val="false"/>
          <w:iCs w:val="false"/>
          <w:color w:val="2a2a2a"/>
          <w:sz w:val="22"/>
          <w:szCs w:val="22"/>
        </w:rPr>
        <w:t xml:space="preserve">The Elections Panel maintains all constitutional candidate registries and pools, including the Judicial Pool, and administers public access to their records via the NRS. Each pool is subject to ongoing Monitor audit; findings are published to the NRS. Any applicant excluded may appeal to the SC within 14 days on the sole ground that the qualification requirements were misapplied.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this fallback applies only to judicial and Monitor pools. Eligibility criteria for all pools are strictly objective — years of practice or service, office status, and financial interests as defined by this Constitution or by statute.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applicant may appeal to the courts within 30 days of NRS publication on the sole ground that stated grounds do not correspond to an established eligibility criterion; the applicable court and process are defined by statute. Changes to eligibility criteria apply prospectively only and do not affect persons already entered in a constitutional pool or registry under the criteria applicable at the time of their entry.</w:t>
      </w:r>
    </w:p>
    <w:p>
      <w:pPr>
        <w:spacing w:after="60" w:before="200"/>
        <w:ind w:left="431"/>
        <w:jc w:val="left"/>
      </w:pPr>
      <w:r>
        <w:rPr>
          <w:rFonts w:ascii="Courier New" w:cs="Courier New" w:eastAsia="Courier New" w:hAnsi="Courier New"/>
          <w:b/>
          <w:bCs/>
          <w:color w:val="2a2a2a"/>
          <w:sz w:val="18"/>
          <w:szCs w:val="18"/>
        </w:rPr>
        <w:t xml:space="preserve">§9.14  </w:t>
      </w:r>
      <w:r>
        <w:rPr>
          <w:rFonts w:ascii="Garamond" w:cs="Garamond" w:eastAsia="Garamond" w:hAnsi="Garamond"/>
          <w:b w:val="false"/>
          <w:bCs w:val="false"/>
          <w:i/>
          <w:iCs/>
          <w:color w:val="1B2A4A"/>
          <w:sz w:val="22"/>
          <w:szCs w:val="22"/>
        </w:rPr>
        <w:t xml:space="preserve">Constitutional Officer Removal — Standard Track</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section governs for-cause removal of all constitutionally confirmed independent officers except Supreme Court justices under §4.3.b and elected executives. Monitor Generals are subject to for-cause removal under this section; the Judicial Track is additionally available for Monitor Generals where two of the three Monitors jointly assess and report for-cause grounds.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applicable period, the removal proceeding lapses for that session and may be reinitiated under this section. The Legislature defines enumerated removal categories for each constitutionally confirmed office by statute.</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 — The National Record System</w:t>
      </w:r>
    </w:p>
    <w:p>
      <w:pPr>
        <w:spacing w:after="60" w:before="200"/>
        <w:ind w:left="431"/>
        <w:jc w:val="left"/>
      </w:pPr>
      <w:r>
        <w:rPr>
          <w:rFonts w:ascii="Courier New" w:cs="Courier New" w:eastAsia="Courier New" w:hAnsi="Courier New"/>
          <w:b/>
          <w:bCs/>
          <w:color w:val="2a2a2a"/>
          <w:sz w:val="18"/>
          <w:szCs w:val="18"/>
        </w:rPr>
        <w:t xml:space="preserve">§10.1  </w:t>
      </w:r>
      <w:r>
        <w:rPr>
          <w:rFonts w:ascii="Garamond" w:cs="Garamond" w:eastAsia="Garamond" w:hAnsi="Garamond"/>
          <w:b w:val="false"/>
          <w:bCs w:val="false"/>
          <w:i/>
          <w:iCs/>
          <w:color w:val="1B2A4A"/>
          <w:sz w:val="22"/>
          <w:szCs w:val="22"/>
        </w:rPr>
        <w:t xml:space="preserve">National Record System</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 Funding for the NRS may not fall below the prior year’s level without a 2/3 vote of both chambers.</w:t>
      </w:r>
    </w:p>
    <w:p>
      <w:pPr>
        <w:spacing w:after="60" w:before="200"/>
        <w:ind w:left="431"/>
        <w:jc w:val="left"/>
      </w:pPr>
      <w:r>
        <w:rPr>
          <w:rFonts w:ascii="Courier New" w:cs="Courier New" w:eastAsia="Courier New" w:hAnsi="Courier New"/>
          <w:b/>
          <w:bCs/>
          <w:color w:val="2a2a2a"/>
          <w:sz w:val="18"/>
          <w:szCs w:val="18"/>
        </w:rPr>
        <w:t xml:space="preserve">§10.3  </w:t>
      </w:r>
      <w:r>
        <w:rPr>
          <w:rFonts w:ascii="Garamond" w:cs="Garamond" w:eastAsia="Garamond" w:hAnsi="Garamond"/>
          <w:b w:val="false"/>
          <w:bCs w:val="false"/>
          <w:i/>
          <w:iCs/>
          <w:color w:val="1B2A4A"/>
          <w:sz w:val="22"/>
          <w:szCs w:val="22"/>
        </w:rPr>
        <w:t xml:space="preserve">Classification Criteria</w:t>
      </w:r>
    </w:p>
    <w:p>
      <w:pPr>
        <w:spacing w:after="120" w:before="0"/>
        <w:ind w:left="431"/>
        <w:jc w:val="both"/>
      </w:pPr>
      <w:r>
        <w:rPr>
          <w:rFonts w:ascii="Garamond" w:cs="Garamond" w:eastAsia="Garamond" w:hAnsi="Garamond"/>
          <w:b w:val="false"/>
          <w:bCs w:val="false"/>
          <w:i w:val="false"/>
          <w:iCs w:val="false"/>
          <w:color w:val="2a2a2a"/>
          <w:sz w:val="22"/>
          <w:szCs w:val="22"/>
        </w:rPr>
        <w:t xml:space="preserve">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 — NRS Panel and Elections Panel</w:t>
      </w:r>
    </w:p>
    <w:p>
      <w:pPr>
        <w:spacing w:after="60" w:before="200"/>
        <w:ind w:left="431"/>
        <w:jc w:val="left"/>
      </w:pPr>
      <w:r>
        <w:rPr>
          <w:rFonts w:ascii="Courier New" w:cs="Courier New" w:eastAsia="Courier New" w:hAnsi="Courier New"/>
          <w:b/>
          <w:bCs/>
          <w:color w:val="2a2a2a"/>
          <w:sz w:val="18"/>
          <w:szCs w:val="18"/>
        </w:rPr>
        <w:t xml:space="preserve">§11.1  </w:t>
      </w:r>
      <w:r>
        <w:rPr>
          <w:rFonts w:ascii="Garamond" w:cs="Garamond" w:eastAsia="Garamond" w:hAnsi="Garamond"/>
          <w:b w:val="false"/>
          <w:bCs w:val="false"/>
          <w:i/>
          <w:iCs/>
          <w:color w:val="1B2A4A"/>
          <w:sz w:val="22"/>
          <w:szCs w:val="22"/>
        </w:rPr>
        <w:t xml:space="preserve">NRS Panel and Elections Panel</w:t>
      </w:r>
    </w:p>
    <w:p>
      <w:pPr>
        <w:spacing w:after="120" w:before="0"/>
        <w:ind w:left="431"/>
        <w:jc w:val="both"/>
      </w:pPr>
      <w:r>
        <w:rPr>
          <w:rFonts w:ascii="Garamond" w:cs="Garamond" w:eastAsia="Garamond" w:hAnsi="Garamond"/>
          <w:b w:val="false"/>
          <w:bCs w:val="false"/>
          <w:i w:val="false"/>
          <w:iCs w:val="false"/>
          <w:color w:val="2a2a2a"/>
          <w:sz w:val="22"/>
          <w:szCs w:val="22"/>
        </w:rPr>
        <w:t xml:space="preserve">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§7.3.a.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pPr>
        <w:spacing w:after="60" w:before="200"/>
        <w:ind w:left="431"/>
        <w:jc w:val="left"/>
      </w:pPr>
      <w:r>
        <w:rPr>
          <w:rFonts w:ascii="Courier New" w:cs="Courier New" w:eastAsia="Courier New" w:hAnsi="Courier New"/>
          <w:b/>
          <w:bCs/>
          <w:color w:val="2a2a2a"/>
          <w:sz w:val="18"/>
          <w:szCs w:val="18"/>
        </w:rPr>
        <w:t xml:space="preserve">§11.2  </w:t>
      </w:r>
      <w:r>
        <w:rPr>
          <w:rFonts w:ascii="Garamond" w:cs="Garamond" w:eastAsia="Garamond" w:hAnsi="Garamond"/>
          <w:b w:val="false"/>
          <w:bCs w:val="false"/>
          <w:i/>
          <w:iCs/>
          <w:color w:val="1B2A4A"/>
          <w:sz w:val="22"/>
          <w:szCs w:val="22"/>
        </w:rPr>
        <w:t xml:space="preserve">NVS Properties and Voting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pPr>
        <w:spacing w:after="60" w:before="200"/>
        <w:ind w:left="431"/>
        <w:jc w:val="left"/>
      </w:pPr>
      <w:r>
        <w:rPr>
          <w:rFonts w:ascii="Courier New" w:cs="Courier New" w:eastAsia="Courier New" w:hAnsi="Courier New"/>
          <w:b/>
          <w:bCs/>
          <w:color w:val="2a2a2a"/>
          <w:sz w:val="18"/>
          <w:szCs w:val="18"/>
        </w:rPr>
        <w:t xml:space="preserve">§11.3  </w:t>
      </w:r>
      <w:r>
        <w:rPr>
          <w:rFonts w:ascii="Garamond" w:cs="Garamond" w:eastAsia="Garamond" w:hAnsi="Garamond"/>
          <w:b w:val="false"/>
          <w:bCs w:val="false"/>
          <w:i/>
          <w:iCs/>
          <w:color w:val="1B2A4A"/>
          <w:sz w:val="22"/>
          <w:szCs w:val="22"/>
        </w:rPr>
        <w:t xml:space="preserve">State Election Non-Compliance</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that State for that electoral period only; State administration resumes automatically at the conclusion of that period. The State may petition the SC for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XII — Social State and Economic Rights</w:t>
      </w:r>
    </w:p>
    <w:p>
      <w:pPr>
        <w:spacing w:after="60" w:before="200"/>
        <w:ind w:left="431"/>
        <w:jc w:val="left"/>
      </w:pPr>
      <w:r>
        <w:rPr>
          <w:rFonts w:ascii="Courier New" w:cs="Courier New" w:eastAsia="Courier New" w:hAnsi="Courier New"/>
          <w:b/>
          <w:bCs/>
          <w:color w:val="2a2a2a"/>
          <w:sz w:val="18"/>
          <w:szCs w:val="18"/>
        </w:rPr>
        <w:t xml:space="preserve">§12.1  </w:t>
      </w:r>
      <w:r>
        <w:rPr>
          <w:rFonts w:ascii="Garamond" w:cs="Garamond" w:eastAsia="Garamond" w:hAnsi="Garamond"/>
          <w:b w:val="false"/>
          <w:bCs w:val="false"/>
          <w:i/>
          <w:iCs/>
          <w:color w:val="1B2A4A"/>
          <w:sz w:val="22"/>
          <w:szCs w:val="22"/>
        </w:rPr>
        <w:t xml:space="preserve">The Social State and Monetary Authority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pPr>
        <w:spacing w:after="60" w:before="200"/>
        <w:ind w:left="431"/>
        <w:jc w:val="left"/>
      </w:pPr>
      <w:r>
        <w:rPr>
          <w:rFonts w:ascii="Courier New" w:cs="Courier New" w:eastAsia="Courier New" w:hAnsi="Courier New"/>
          <w:b/>
          <w:bCs/>
          <w:color w:val="2a2a2a"/>
          <w:sz w:val="18"/>
          <w:szCs w:val="18"/>
        </w:rPr>
        <w:t xml:space="preserve">§12.1.a  </w:t>
      </w:r>
      <w:r>
        <w:rPr>
          <w:rFonts w:ascii="Garamond" w:cs="Garamond" w:eastAsia="Garamond" w:hAnsi="Garamond"/>
          <w:b w:val="false"/>
          <w:bCs w:val="false"/>
          <w:i/>
          <w:iCs/>
          <w:color w:val="1B2A4A"/>
          <w:sz w:val="22"/>
          <w:szCs w:val="22"/>
        </w:rPr>
        <w:t xml:space="preserve">The Monetary Authority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pPr>
        <w:spacing w:after="60" w:before="200"/>
        <w:ind w:left="431"/>
        <w:jc w:val="left"/>
      </w:pPr>
      <w:r>
        <w:rPr>
          <w:rFonts w:ascii="Courier New" w:cs="Courier New" w:eastAsia="Courier New" w:hAnsi="Courier New"/>
          <w:b/>
          <w:bCs/>
          <w:color w:val="2a2a2a"/>
          <w:sz w:val="18"/>
          <w:szCs w:val="18"/>
        </w:rPr>
        <w:t xml:space="preserve">§12.2  </w:t>
      </w:r>
      <w:r>
        <w:rPr>
          <w:rFonts w:ascii="Garamond" w:cs="Garamond" w:eastAsia="Garamond" w:hAnsi="Garamond"/>
          <w:b w:val="false"/>
          <w:bCs w:val="false"/>
          <w:i/>
          <w:iCs/>
          <w:color w:val="1B2A4A"/>
          <w:sz w:val="22"/>
          <w:szCs w:val="22"/>
        </w:rPr>
        <w:t xml:space="preserve">Fiscal Accountability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judicial operations, active defense authorizations under §14.2, and social state continuity under §12.1;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pPr>
        <w:spacing w:after="60" w:before="200"/>
        <w:ind w:left="431"/>
        <w:jc w:val="left"/>
      </w:pPr>
      <w:r>
        <w:rPr>
          <w:rFonts w:ascii="Courier New" w:cs="Courier New" w:eastAsia="Courier New" w:hAnsi="Courier New"/>
          <w:b/>
          <w:bCs/>
          <w:color w:val="2a2a2a"/>
          <w:sz w:val="18"/>
          <w:szCs w:val="18"/>
        </w:rPr>
        <w:t xml:space="preserve">§12.3  </w:t>
      </w:r>
      <w:r>
        <w:rPr>
          <w:rFonts w:ascii="Garamond" w:cs="Garamond" w:eastAsia="Garamond" w:hAnsi="Garamond"/>
          <w:b w:val="false"/>
          <w:bCs w:val="false"/>
          <w:i/>
          <w:iCs/>
          <w:color w:val="1B2A4A"/>
          <w:sz w:val="22"/>
          <w:szCs w:val="22"/>
        </w:rPr>
        <w:t xml:space="preserve">Taxing Power and National Revenue Fund</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has exclusive authority to levy taxes, duties, and tariffs by statute; no other body may impose a tax, duty, or levy of any kind.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pPr>
        <w:spacing w:after="60" w:before="200"/>
        <w:ind w:left="431"/>
        <w:jc w:val="left"/>
      </w:pPr>
      <w:r>
        <w:rPr>
          <w:rFonts w:ascii="Courier New" w:cs="Courier New" w:eastAsia="Courier New" w:hAnsi="Courier New"/>
          <w:b/>
          <w:bCs/>
          <w:color w:val="2a2a2a"/>
          <w:sz w:val="18"/>
          <w:szCs w:val="18"/>
        </w:rPr>
        <w:t xml:space="preserve">§12.4  </w:t>
      </w:r>
      <w:r>
        <w:rPr>
          <w:rFonts w:ascii="Garamond" w:cs="Garamond" w:eastAsia="Garamond" w:hAnsi="Garamond"/>
          <w:b w:val="false"/>
          <w:bCs w:val="false"/>
          <w:i/>
          <w:iCs/>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i w:val="false"/>
          <w:iCs w:val="false"/>
          <w:color w:val="2a2a2a"/>
          <w:sz w:val="22"/>
          <w:szCs w:val="22"/>
        </w:rPr>
        <w:t xml:space="preserve">All constitutional officers must disclose all financial interests, holdings, income sources, and liabilities to the EM within the period defined by statute after taking office and annually thereafter; disclosure records are published to the NRS. Any officer with a direct financial interest in a decision within their authority must recuse themselves; recusal is self-executing. Any decision made without required recusal is voidable; the relevant chamber may void the decision by simple majority within 90 days of an EM finding of conflict. Constitutional officers may not, for a period defined by statute after leaving office — which may not be less than two years — engage in any activity that monetizes or draws on non-public information, relationships, or access accumulated during service; the EM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 EM and deposited with the relevant treasury. All records created in the exercise of official functions are public records and may not be retained, destroyed, or removed by departing officers. The EM investigates alleged violations and publishes findings to the NRS; where findings warrant further action, the EM refers to the appropriate authority.</w:t>
      </w:r>
    </w:p>
    <w:p>
      <w:pPr>
        <w:spacing w:after="60" w:before="200"/>
        <w:ind w:left="431"/>
        <w:jc w:val="left"/>
      </w:pPr>
      <w:r>
        <w:rPr>
          <w:rFonts w:ascii="Courier New" w:cs="Courier New" w:eastAsia="Courier New" w:hAnsi="Courier New"/>
          <w:b/>
          <w:bCs/>
          <w:color w:val="2a2a2a"/>
          <w:sz w:val="18"/>
          <w:szCs w:val="18"/>
        </w:rPr>
        <w:t xml:space="preserve">§12.4.a  </w:t>
      </w:r>
      <w:r>
        <w:rPr>
          <w:rFonts w:ascii="Garamond" w:cs="Garamond" w:eastAsia="Garamond" w:hAnsi="Garamond"/>
          <w:b w:val="false"/>
          <w:bCs w:val="false"/>
          <w:i/>
          <w:iCs/>
          <w:color w:val="1B2A4A"/>
          <w:sz w:val="22"/>
          <w:szCs w:val="22"/>
        </w:rPr>
        <w:t xml:space="preserve">Codes of Conduct and Recusal</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§9.14.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pPr>
        <w:spacing w:after="60" w:before="200"/>
        <w:ind w:left="431"/>
        <w:jc w:val="left"/>
      </w:pPr>
      <w:r>
        <w:rPr>
          <w:rFonts w:ascii="Courier New" w:cs="Courier New" w:eastAsia="Courier New" w:hAnsi="Courier New"/>
          <w:b/>
          <w:bCs/>
          <w:color w:val="2a2a2a"/>
          <w:sz w:val="18"/>
          <w:szCs w:val="18"/>
        </w:rPr>
        <w:t xml:space="preserve">§12.5  </w:t>
      </w:r>
      <w:r>
        <w:rPr>
          <w:rFonts w:ascii="Garamond" w:cs="Garamond" w:eastAsia="Garamond" w:hAnsi="Garamond"/>
          <w:b w:val="false"/>
          <w:bCs w:val="false"/>
          <w:i/>
          <w:iCs/>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pPr>
        <w:spacing w:after="60" w:before="200"/>
        <w:ind w:left="431"/>
        <w:jc w:val="left"/>
      </w:pPr>
      <w:r>
        <w:rPr>
          <w:rFonts w:ascii="Courier New" w:cs="Courier New" w:eastAsia="Courier New" w:hAnsi="Courier New"/>
          <w:b/>
          <w:bCs/>
          <w:color w:val="2a2a2a"/>
          <w:sz w:val="18"/>
          <w:szCs w:val="18"/>
        </w:rPr>
        <w:t xml:space="preserve">§12.6  </w:t>
      </w:r>
      <w:r>
        <w:rPr>
          <w:rFonts w:ascii="Garamond" w:cs="Garamond" w:eastAsia="Garamond" w:hAnsi="Garamond"/>
          <w:b w:val="false"/>
          <w:bCs w:val="false"/>
          <w:i/>
          <w:iCs/>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i w:val="false"/>
          <w:iCs w:val="false"/>
          <w:color w:val="2a2a2a"/>
          <w:sz w:val="22"/>
          <w:szCs w:val="22"/>
        </w:rPr>
        <w:t xml:space="preserve">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pPr>
        <w:spacing w:after="60" w:before="200"/>
        <w:ind w:left="431"/>
        <w:jc w:val="left"/>
      </w:pPr>
      <w:r>
        <w:rPr>
          <w:rFonts w:ascii="Courier New" w:cs="Courier New" w:eastAsia="Courier New" w:hAnsi="Courier New"/>
          <w:b/>
          <w:bCs/>
          <w:color w:val="2a2a2a"/>
          <w:sz w:val="18"/>
          <w:szCs w:val="18"/>
        </w:rPr>
        <w:t xml:space="preserve">§12.7  </w:t>
      </w:r>
      <w:r>
        <w:rPr>
          <w:rFonts w:ascii="Garamond" w:cs="Garamond" w:eastAsia="Garamond" w:hAnsi="Garamond"/>
          <w:b w:val="false"/>
          <w:bCs w:val="false"/>
          <w:i/>
          <w:iCs/>
          <w:color w:val="1B2A4A"/>
          <w:sz w:val="22"/>
          <w:szCs w:val="22"/>
        </w:rPr>
        <w:t xml:space="preserve">Internal Commerce</w:t>
      </w:r>
    </w:p>
    <w:p>
      <w:pPr>
        <w:spacing w:after="120" w:before="0"/>
        <w:ind w:left="431"/>
        <w:jc w:val="both"/>
      </w:pPr>
      <w:r>
        <w:rPr>
          <w:rFonts w:ascii="Garamond" w:cs="Garamond" w:eastAsia="Garamond" w:hAnsi="Garamond"/>
          <w:b w:val="false"/>
          <w:bCs w:val="false"/>
          <w:i w:val="false"/>
          <w:iCs w:val="false"/>
          <w:color w:val="2a2a2a"/>
          <w:sz w:val="22"/>
          <w:szCs w:val="22"/>
        </w:rPr>
        <w:t xml:space="preserve">No State or Territory may impose requirements on goods, services, or economic activity originating in another State or Territory that are more burdensome than those applied to its own. The Legislature may establish uniform internal commerce standards by statute.</w:t>
      </w:r>
    </w:p>
    <w:p>
      <w:pPr>
        <w:spacing w:after="60" w:before="200"/>
        <w:ind w:left="431"/>
        <w:jc w:val="left"/>
      </w:pPr>
      <w:r>
        <w:rPr>
          <w:rFonts w:ascii="Courier New" w:cs="Courier New" w:eastAsia="Courier New" w:hAnsi="Courier New"/>
          <w:b/>
          <w:bCs/>
          <w:color w:val="2a2a2a"/>
          <w:sz w:val="18"/>
          <w:szCs w:val="18"/>
        </w:rPr>
        <w:t xml:space="preserve">§12.8  </w:t>
      </w:r>
      <w:r>
        <w:rPr>
          <w:rFonts w:ascii="Garamond" w:cs="Garamond" w:eastAsia="Garamond" w:hAnsi="Garamond"/>
          <w:b w:val="false"/>
          <w:bCs w:val="false"/>
          <w:i/>
          <w:iCs/>
          <w:color w:val="1B2A4A"/>
          <w:sz w:val="22"/>
          <w:szCs w:val="22"/>
        </w:rPr>
        <w:t xml:space="preserve">Fiscal Equalization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 Following an EM finding that the mechanism has failed, the Monetary Authority must submit a remedy plan to the Civic Consul and the Speaker of each chamber within 30 days, published to the NRS.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XIII — Direct Democracy</w:t>
      </w:r>
    </w:p>
    <w:p>
      <w:pPr>
        <w:spacing w:after="60" w:before="200"/>
        <w:ind w:left="431"/>
        <w:jc w:val="left"/>
      </w:pPr>
      <w:r>
        <w:rPr>
          <w:rFonts w:ascii="Courier New" w:cs="Courier New" w:eastAsia="Courier New" w:hAnsi="Courier New"/>
          <w:b/>
          <w:bCs/>
          <w:color w:val="2a2a2a"/>
          <w:sz w:val="18"/>
          <w:szCs w:val="18"/>
        </w:rPr>
        <w:t xml:space="preserve">§13.1  </w:t>
      </w:r>
      <w:r>
        <w:rPr>
          <w:rFonts w:ascii="Garamond" w:cs="Garamond" w:eastAsia="Garamond" w:hAnsi="Garamond"/>
          <w:b w:val="false"/>
          <w:bCs w:val="false"/>
          <w:i/>
          <w:iCs/>
          <w:color w:val="1B2A4A"/>
          <w:sz w:val="22"/>
          <w:szCs w:val="22"/>
        </w:rPr>
        <w:t xml:space="preserve">Optional Referendum</w:t>
      </w:r>
    </w:p>
    <w:p>
      <w:pPr>
        <w:spacing w:after="120" w:before="0"/>
        <w:ind w:left="431"/>
        <w:jc w:val="both"/>
      </w:pPr>
      <w:r>
        <w:rPr>
          <w:rFonts w:ascii="Garamond" w:cs="Garamond" w:eastAsia="Garamond" w:hAnsi="Garamond"/>
          <w:b w:val="false"/>
          <w:bCs w:val="false"/>
          <w:i w:val="false"/>
          <w:iCs w:val="false"/>
          <w:color w:val="2a2a2a"/>
          <w:sz w:val="22"/>
          <w:szCs w:val="22"/>
        </w:rPr>
        <w:t xml:space="preserve">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 A failed referendum may not be re-initiated on the same or substantially similar grounds; the Legislature may re-enact a repealed law, which is again subject to referendum.</w:t>
      </w:r>
    </w:p>
    <w:p>
      <w:pPr>
        <w:spacing w:after="60" w:before="200"/>
        <w:ind w:left="431"/>
        <w:jc w:val="left"/>
      </w:pPr>
      <w:r>
        <w:rPr>
          <w:rFonts w:ascii="Courier New" w:cs="Courier New" w:eastAsia="Courier New" w:hAnsi="Courier New"/>
          <w:b/>
          <w:bCs/>
          <w:color w:val="2a2a2a"/>
          <w:sz w:val="18"/>
          <w:szCs w:val="18"/>
        </w:rPr>
        <w:t xml:space="preserve">§13.2  </w:t>
      </w:r>
      <w:r>
        <w:rPr>
          <w:rFonts w:ascii="Garamond" w:cs="Garamond" w:eastAsia="Garamond" w:hAnsi="Garamond"/>
          <w:b w:val="false"/>
          <w:bCs w:val="false"/>
          <w:i/>
          <w:iCs/>
          <w:color w:val="1B2A4A"/>
          <w:sz w:val="22"/>
          <w:szCs w:val="22"/>
        </w:rPr>
        <w:t xml:space="preserve">Citizen Legislative Initiative</w:t>
      </w:r>
    </w:p>
    <w:p>
      <w:pPr>
        <w:spacing w:after="120" w:before="0"/>
        <w:ind w:left="431"/>
        <w:jc w:val="both"/>
      </w:pPr>
      <w:r>
        <w:rPr>
          <w:rFonts w:ascii="Garamond" w:cs="Garamond" w:eastAsia="Garamond" w:hAnsi="Garamond"/>
          <w:b w:val="false"/>
          <w:bCs w:val="false"/>
          <w:i w:val="false"/>
          <w:iCs w:val="false"/>
          <w:color w:val="2a2a2a"/>
          <w:sz w:val="22"/>
          <w:szCs w:val="22"/>
        </w:rPr>
        <w:t xml:space="preserve">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pPr>
        <w:spacing w:after="60" w:before="200"/>
        <w:ind w:left="431"/>
        <w:jc w:val="left"/>
      </w:pPr>
      <w:r>
        <w:rPr>
          <w:rFonts w:ascii="Courier New" w:cs="Courier New" w:eastAsia="Courier New" w:hAnsi="Courier New"/>
          <w:b/>
          <w:bCs/>
          <w:color w:val="2a2a2a"/>
          <w:sz w:val="18"/>
          <w:szCs w:val="18"/>
        </w:rPr>
        <w:t xml:space="preserve">§7.4  </w:t>
      </w:r>
      <w:r>
        <w:rPr>
          <w:rFonts w:ascii="Garamond" w:cs="Garamond" w:eastAsia="Garamond" w:hAnsi="Garamond"/>
          <w:b w:val="false"/>
          <w:bCs w:val="false"/>
          <w:i/>
          <w:iCs/>
          <w:color w:val="1B2A4A"/>
          <w:sz w:val="22"/>
          <w:szCs w:val="22"/>
        </w:rPr>
        <w:t xml:space="preserve">Electoral Supermajority Threshold</w:t>
      </w:r>
    </w:p>
    <w:p>
      <w:pPr>
        <w:spacing w:after="120" w:before="0"/>
        <w:ind w:left="431"/>
        <w:jc w:val="both"/>
      </w:pPr>
      <w:r>
        <w:rPr>
          <w:rFonts w:ascii="Garamond" w:cs="Garamond" w:eastAsia="Garamond" w:hAnsi="Garamond"/>
          <w:b w:val="false"/>
          <w:bCs w:val="false"/>
          <w:i w:val="false"/>
          <w:iCs w:val="false"/>
          <w:color w:val="2a2a2a"/>
          <w:sz w:val="22"/>
          <w:szCs w:val="22"/>
        </w:rPr>
        <w:t xml:space="preserve">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§9.14.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XIV — Military Authorization and Accountability</w:t>
      </w:r>
    </w:p>
    <w:p>
      <w:pPr>
        <w:spacing w:after="60" w:before="200"/>
        <w:ind w:left="431"/>
        <w:jc w:val="left"/>
      </w:pPr>
      <w:r>
        <w:rPr>
          <w:rFonts w:ascii="Courier New" w:cs="Courier New" w:eastAsia="Courier New" w:hAnsi="Courier New"/>
          <w:b/>
          <w:bCs/>
          <w:color w:val="2a2a2a"/>
          <w:sz w:val="18"/>
          <w:szCs w:val="18"/>
        </w:rPr>
        <w:t xml:space="preserve">§14.1  </w:t>
      </w:r>
      <w:r>
        <w:rPr>
          <w:rFonts w:ascii="Garamond" w:cs="Garamond" w:eastAsia="Garamond" w:hAnsi="Garamond"/>
          <w:b w:val="false"/>
          <w:bCs w:val="false"/>
          <w:i/>
          <w:iCs/>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i w:val="false"/>
          <w:iCs w:val="false"/>
          <w:color w:val="2a2a2a"/>
          <w:sz w:val="22"/>
          <w:szCs w:val="22"/>
        </w:rPr>
        <w:t xml:space="preserve">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pPr>
        <w:spacing w:after="60" w:before="200"/>
        <w:ind w:left="431"/>
        <w:jc w:val="left"/>
      </w:pPr>
      <w:r>
        <w:rPr>
          <w:rFonts w:ascii="Courier New" w:cs="Courier New" w:eastAsia="Courier New" w:hAnsi="Courier New"/>
          <w:b/>
          <w:bCs/>
          <w:color w:val="2a2a2a"/>
          <w:sz w:val="18"/>
          <w:szCs w:val="18"/>
        </w:rPr>
        <w:t xml:space="preserve">§14.2  </w:t>
      </w:r>
      <w:r>
        <w:rPr>
          <w:rFonts w:ascii="Garamond" w:cs="Garamond" w:eastAsia="Garamond" w:hAnsi="Garamond"/>
          <w:b w:val="false"/>
          <w:bCs w:val="false"/>
          <w:i/>
          <w:iCs/>
          <w:color w:val="1B2A4A"/>
          <w:sz w:val="22"/>
          <w:szCs w:val="22"/>
        </w:rPr>
        <w:t xml:space="preserve">Defense Authorization and Allocation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Military expenditure requires legislative authorization under §14.1 and budget passage under §2.5;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pPr>
        <w:spacing w:after="60" w:before="200"/>
        <w:ind w:left="431"/>
        <w:jc w:val="left"/>
      </w:pPr>
      <w:r>
        <w:rPr>
          <w:rFonts w:ascii="Courier New" w:cs="Courier New" w:eastAsia="Courier New" w:hAnsi="Courier New"/>
          <w:b/>
          <w:bCs/>
          <w:color w:val="2a2a2a"/>
          <w:sz w:val="18"/>
          <w:szCs w:val="18"/>
        </w:rPr>
        <w:t xml:space="preserve">§14.3  </w:t>
      </w:r>
      <w:r>
        <w:rPr>
          <w:rFonts w:ascii="Garamond" w:cs="Garamond" w:eastAsia="Garamond" w:hAnsi="Garamond"/>
          <w:b w:val="false"/>
          <w:bCs w:val="false"/>
          <w:i/>
          <w:iCs/>
          <w:color w:val="1B2A4A"/>
          <w:sz w:val="22"/>
          <w:szCs w:val="22"/>
        </w:rPr>
        <w:t xml:space="preserve">Military Accountability</w:t>
      </w:r>
    </w:p>
    <w:p>
      <w:pPr>
        <w:spacing w:after="120" w:before="0"/>
        <w:ind w:left="431"/>
        <w:jc w:val="both"/>
      </w:pPr>
      <w:r>
        <w:rPr>
          <w:rFonts w:ascii="Garamond" w:cs="Garamond" w:eastAsia="Garamond" w:hAnsi="Garamond"/>
          <w:b w:val="false"/>
          <w:bCs w:val="false"/>
          <w:i w:val="false"/>
          <w:iCs w:val="false"/>
          <w:color w:val="2a2a2a"/>
          <w:sz w:val="22"/>
          <w:szCs w:val="22"/>
        </w:rPr>
        <w:t xml:space="preserve">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pPr>
        <w:spacing w:after="60" w:before="200"/>
        <w:ind w:left="431"/>
        <w:jc w:val="left"/>
      </w:pPr>
      <w:r>
        <w:rPr>
          <w:rFonts w:ascii="Courier New" w:cs="Courier New" w:eastAsia="Courier New" w:hAnsi="Courier New"/>
          <w:b/>
          <w:bCs/>
          <w:color w:val="2a2a2a"/>
          <w:sz w:val="18"/>
          <w:szCs w:val="18"/>
        </w:rPr>
        <w:t xml:space="preserve">§14.4  </w:t>
      </w:r>
      <w:r>
        <w:rPr>
          <w:rFonts w:ascii="Garamond" w:cs="Garamond" w:eastAsia="Garamond" w:hAnsi="Garamond"/>
          <w:b w:val="false"/>
          <w:bCs w:val="false"/>
          <w:i/>
          <w:iCs/>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authorization, and the action proceeds under the ordinary terms of this Article from that point. Absent an affirmative vote within the 30-day period, §14.2’s expiration and wind-down provisions apply.</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 — Territorial Structure and Statehood</w:t>
      </w:r>
    </w:p>
    <w:p>
      <w:pPr>
        <w:spacing w:after="60" w:before="200"/>
        <w:ind w:left="431"/>
        <w:jc w:val="left"/>
      </w:pPr>
      <w:r>
        <w:rPr>
          <w:rFonts w:ascii="Courier New" w:cs="Courier New" w:eastAsia="Courier New" w:hAnsi="Courier New"/>
          <w:b/>
          <w:bCs/>
          <w:color w:val="2a2a2a"/>
          <w:sz w:val="18"/>
          <w:szCs w:val="18"/>
        </w:rPr>
        <w:t xml:space="preserve">§15.1  </w:t>
      </w:r>
      <w:r>
        <w:rPr>
          <w:rFonts w:ascii="Garamond" w:cs="Garamond" w:eastAsia="Garamond" w:hAnsi="Garamond"/>
          <w:b w:val="false"/>
          <w:bCs w:val="false"/>
          <w:i/>
          <w:iCs/>
          <w:color w:val="1B2A4A"/>
          <w:sz w:val="22"/>
          <w:szCs w:val="22"/>
        </w:rPr>
        <w:t xml:space="preserve">Territorial Compact</w:t>
      </w:r>
    </w:p>
    <w:p>
      <w:pPr>
        <w:spacing w:after="120" w:before="0"/>
        <w:ind w:left="431"/>
        <w:jc w:val="both"/>
      </w:pPr>
      <w:r>
        <w:rPr>
          <w:rFonts w:ascii="Garamond" w:cs="Garamond" w:eastAsia="Garamond" w:hAnsi="Garamond"/>
          <w:b w:val="false"/>
          <w:bCs w:val="false"/>
          <w:i w:val="false"/>
          <w:iCs w:val="false"/>
          <w:color w:val="2a2a2a"/>
          <w:sz w:val="22"/>
          <w:szCs w:val="22"/>
        </w:rPr>
        <w:t xml:space="preserve">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color w:val="2a2a2a"/>
          <w:sz w:val="18"/>
          <w:szCs w:val="18"/>
        </w:rPr>
        <w:t xml:space="preserve">§15.2  </w:t>
      </w:r>
      <w:r>
        <w:rPr>
          <w:rFonts w:ascii="Garamond" w:cs="Garamond" w:eastAsia="Garamond" w:hAnsi="Garamond"/>
          <w:b w:val="false"/>
          <w:bCs w:val="false"/>
          <w:i/>
          <w:iCs/>
          <w:color w:val="1B2A4A"/>
          <w:sz w:val="22"/>
          <w:szCs w:val="22"/>
        </w:rPr>
        <w:t xml:space="preserve">The Statehood Audit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pPr>
        <w:spacing w:after="60" w:before="200"/>
        <w:ind w:left="431"/>
        <w:jc w:val="left"/>
      </w:pPr>
      <w:r>
        <w:rPr>
          <w:rFonts w:ascii="Courier New" w:cs="Courier New" w:eastAsia="Courier New" w:hAnsi="Courier New"/>
          <w:b/>
          <w:bCs/>
          <w:color w:val="2a2a2a"/>
          <w:sz w:val="18"/>
          <w:szCs w:val="18"/>
        </w:rPr>
        <w:t xml:space="preserve">§15.3  </w:t>
      </w:r>
      <w:r>
        <w:rPr>
          <w:rFonts w:ascii="Garamond" w:cs="Garamond" w:eastAsia="Garamond" w:hAnsi="Garamond"/>
          <w:b w:val="false"/>
          <w:bCs w:val="false"/>
          <w:i/>
          <w:iCs/>
          <w:color w:val="1B2A4A"/>
          <w:sz w:val="22"/>
          <w:szCs w:val="22"/>
        </w:rPr>
        <w:t xml:space="preserve">Mandatory Devolution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two paths: a two-year federal remediation commission, or Provisional status.
A State in Provisional status retains its existing governing structure and continues under the Statehood Audit cycle; passing the Statehood Audit restores full Statehood immediately, with no additional vote required. Where Provisional status continues for one year without a passed audit, citizens vote, administered by the Elections Panel under Article XI, on the principle of pursuing devolution, on the same terms as §15.4’s voluntary process. An affirmative vote proceeds through negotiation and Senate ratification under §15.4; absent an affirmative vote, the State continues in Provisional status under this section.
Sitting senators complete their current elected terms — Senate seats are not vacated — but no new Senate elections may be held while a State remains in Provisional status or after devolution takes effect, until Statehood is restored; existing Assembly members complete their current terms; Article I rights and social state protections continue without interruption.
Within 30 days of a State entering Provisional status, the affected State may petition the courts on the sole ground that the audit findings are factually insufficient to establish three consecutive failures; the court reviews only the factual basis; process and timeline are defined by statute.</w:t>
      </w:r>
    </w:p>
    <w:p>
      <w:pPr>
        <w:spacing w:after="60" w:before="200"/>
        <w:ind w:left="431"/>
        <w:jc w:val="left"/>
      </w:pPr>
      <w:r>
        <w:rPr>
          <w:rFonts w:ascii="Courier New" w:cs="Courier New" w:eastAsia="Courier New" w:hAnsi="Courier New"/>
          <w:b/>
          <w:bCs/>
          <w:color w:val="2a2a2a"/>
          <w:sz w:val="18"/>
          <w:szCs w:val="18"/>
        </w:rPr>
        <w:t xml:space="preserve">§15.4  </w:t>
      </w:r>
      <w:r>
        <w:rPr>
          <w:rFonts w:ascii="Garamond" w:cs="Garamond" w:eastAsia="Garamond" w:hAnsi="Garamond"/>
          <w:b w:val="false"/>
          <w:bCs w:val="false"/>
          <w:i/>
          <w:iCs/>
          <w:color w:val="1B2A4A"/>
          <w:sz w:val="22"/>
          <w:szCs w:val="22"/>
        </w:rPr>
        <w:t xml:space="preserve">Voluntary Devolution and Merger</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Senate approval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pPr>
        <w:spacing w:after="60" w:before="200"/>
        <w:ind w:left="431"/>
        <w:jc w:val="left"/>
      </w:pPr>
      <w:r>
        <w:rPr>
          <w:rFonts w:ascii="Courier New" w:cs="Courier New" w:eastAsia="Courier New" w:hAnsi="Courier New"/>
          <w:b/>
          <w:bCs/>
          <w:color w:val="2a2a2a"/>
          <w:sz w:val="18"/>
          <w:szCs w:val="18"/>
        </w:rPr>
        <w:t xml:space="preserve">§15.5  </w:t>
      </w:r>
      <w:r>
        <w:rPr>
          <w:rFonts w:ascii="Garamond" w:cs="Garamond" w:eastAsia="Garamond" w:hAnsi="Garamond"/>
          <w:b w:val="false"/>
          <w:bCs w:val="false"/>
          <w:i/>
          <w:iCs/>
          <w:color w:val="1B2A4A"/>
          <w:sz w:val="22"/>
          <w:szCs w:val="22"/>
        </w:rPr>
        <w:t xml:space="preserve">Re-Qualification Pathway</w:t>
      </w:r>
    </w:p>
    <w:p>
      <w:pPr>
        <w:spacing w:after="120" w:before="0"/>
        <w:ind w:left="431"/>
        <w:jc w:val="both"/>
      </w:pPr>
      <w:r>
        <w:rPr>
          <w:rFonts w:ascii="Garamond" w:cs="Garamond" w:eastAsia="Garamond" w:hAnsi="Garamond"/>
          <w:b w:val="false"/>
          <w:bCs w:val="false"/>
          <w:i w:val="false"/>
          <w:iCs w:val="false"/>
          <w:color w:val="2a2a2a"/>
          <w:sz w:val="22"/>
          <w:szCs w:val="22"/>
        </w:rPr>
        <w:t xml:space="preserve">A Territory resulting from mandatory or voluntary devolution enters the Statehood re-qualification pathway under §15.2 immediately upon the effective date of devolution. No additional political vote is required to begin the pathway. Where a defined geographic subdivision of the Territory separately achieves Statehood under §15.2 or merges with an existing State under §15.4, the remainder continues under this section without interruption or loss of any progress already accrued toward re-qualification.</w:t>
      </w:r>
    </w:p>
    <w:p>
      <w:pPr>
        <w:spacing w:after="60" w:before="200"/>
        <w:ind w:left="431"/>
        <w:jc w:val="left"/>
      </w:pPr>
      <w:r>
        <w:rPr>
          <w:rFonts w:ascii="Courier New" w:cs="Courier New" w:eastAsia="Courier New" w:hAnsi="Courier New"/>
          <w:b/>
          <w:bCs/>
          <w:color w:val="2a2a2a"/>
          <w:sz w:val="18"/>
          <w:szCs w:val="18"/>
        </w:rPr>
        <w:t xml:space="preserve">§15.6  </w:t>
      </w:r>
      <w:r>
        <w:rPr>
          <w:rFonts w:ascii="Garamond" w:cs="Garamond" w:eastAsia="Garamond" w:hAnsi="Garamond"/>
          <w:b w:val="false"/>
          <w:bCs w:val="false"/>
          <w:i/>
          <w:iCs/>
          <w:color w:val="1B2A4A"/>
          <w:sz w:val="22"/>
          <w:szCs w:val="22"/>
        </w:rPr>
        <w:t xml:space="preserve">Voluntary Incorporation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§1.19.b before that ratification vote; published JM findings must be given due consideration. Any person with standing may challenge the incorporation before the SC on the ground that the entity systematically violates §1.19.b.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pPr>
        <w:spacing w:after="60" w:before="200"/>
        <w:ind w:left="431"/>
        <w:jc w:val="left"/>
      </w:pPr>
      <w:r>
        <w:rPr>
          <w:rFonts w:ascii="Courier New" w:cs="Courier New" w:eastAsia="Courier New" w:hAnsi="Courier New"/>
          <w:b/>
          <w:bCs/>
          <w:color w:val="2a2a2a"/>
          <w:sz w:val="18"/>
          <w:szCs w:val="18"/>
        </w:rPr>
        <w:t xml:space="preserve">§15.7  </w:t>
      </w:r>
      <w:r>
        <w:rPr>
          <w:rFonts w:ascii="Garamond" w:cs="Garamond" w:eastAsia="Garamond" w:hAnsi="Garamond"/>
          <w:b w:val="false"/>
          <w:bCs w:val="false"/>
          <w:i/>
          <w:iCs/>
          <w:color w:val="1B2A4A"/>
          <w:sz w:val="22"/>
          <w:szCs w:val="22"/>
        </w:rPr>
        <w:t xml:space="preserve">State Immutability and Territorial Integrity</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pPr>
        <w:spacing w:after="60" w:before="200"/>
        <w:ind w:left="431"/>
        <w:jc w:val="left"/>
      </w:pPr>
      <w:r>
        <w:rPr>
          <w:rFonts w:ascii="Courier New" w:cs="Courier New" w:eastAsia="Courier New" w:hAnsi="Courier New"/>
          <w:b/>
          <w:bCs/>
          <w:color w:val="2a2a2a"/>
          <w:sz w:val="18"/>
          <w:szCs w:val="18"/>
        </w:rPr>
        <w:t xml:space="preserve">§15.8  </w:t>
      </w:r>
      <w:r>
        <w:rPr>
          <w:rFonts w:ascii="Garamond" w:cs="Garamond" w:eastAsia="Garamond" w:hAnsi="Garamond"/>
          <w:b w:val="false"/>
          <w:bCs w:val="false"/>
          <w:i/>
          <w:iCs/>
          <w:color w:val="1B2A4A"/>
          <w:sz w:val="22"/>
          <w:szCs w:val="22"/>
        </w:rPr>
        <w:t xml:space="preserve">Local Government</w:t>
      </w:r>
    </w:p>
    <w:p>
      <w:pPr>
        <w:spacing w:after="120" w:before="0"/>
        <w:ind w:left="431"/>
        <w:jc w:val="both"/>
      </w:pPr>
      <w:r>
        <w:rPr>
          <w:rFonts w:ascii="Garamond" w:cs="Garamond" w:eastAsia="Garamond" w:hAnsi="Garamond"/>
          <w:b w:val="false"/>
          <w:bCs w:val="false"/>
          <w:i w:val="false"/>
          <w:iCs w:val="false"/>
          <w:color w:val="2a2a2a"/>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pPr>
        <w:spacing w:after="60" w:before="200"/>
        <w:ind w:left="431"/>
        <w:jc w:val="left"/>
      </w:pPr>
      <w:r>
        <w:rPr>
          <w:rFonts w:ascii="Courier New" w:cs="Courier New" w:eastAsia="Courier New" w:hAnsi="Courier New"/>
          <w:b/>
          <w:bCs/>
          <w:color w:val="2a2a2a"/>
          <w:sz w:val="18"/>
          <w:szCs w:val="18"/>
        </w:rPr>
        <w:t xml:space="preserve">§15.9  </w:t>
      </w:r>
      <w:r>
        <w:rPr>
          <w:rFonts w:ascii="Garamond" w:cs="Garamond" w:eastAsia="Garamond" w:hAnsi="Garamond"/>
          <w:b w:val="false"/>
          <w:bCs w:val="false"/>
          <w:i/>
          <w:iCs/>
          <w:color w:val="1B2A4A"/>
          <w:sz w:val="22"/>
          <w:szCs w:val="22"/>
        </w:rPr>
        <w:t xml:space="preserve">Voluntary State Independence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 may seek independence from the Republic through a two-stage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election is irrevocable from the moment of publication. The Republic may not prefer, discourage, or offer inducements toward any independence petition or referendum; the Republic must provide factual information about the process upon request. Stage Two requires both chambers to hold a concurrent ratification vote within 90 days of NRS publication; Assembly members elected from districts within the petitioning State and senators whose allocation derives from the petitioning State's population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XVI — Indigenous Sovereignty</w:t>
      </w:r>
    </w:p>
    <w:p>
      <w:pPr>
        <w:spacing w:after="60" w:before="200"/>
        <w:ind w:left="431"/>
        <w:jc w:val="left"/>
      </w:pPr>
      <w:r>
        <w:rPr>
          <w:rFonts w:ascii="Courier New" w:cs="Courier New" w:eastAsia="Courier New" w:hAnsi="Courier New"/>
          <w:b/>
          <w:bCs/>
          <w:color w:val="2a2a2a"/>
          <w:sz w:val="18"/>
          <w:szCs w:val="18"/>
        </w:rPr>
        <w:t xml:space="preserve">§16.1  </w:t>
      </w:r>
      <w:r>
        <w:rPr>
          <w:rFonts w:ascii="Garamond" w:cs="Garamond" w:eastAsia="Garamond" w:hAnsi="Garamond"/>
          <w:b w:val="false"/>
          <w:bCs w:val="false"/>
          <w:i/>
          <w:iCs/>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i w:val="false"/>
          <w:iCs w:val="false"/>
          <w:color w:val="2a2a2a"/>
          <w:sz w:val="22"/>
          <w:szCs w:val="22"/>
        </w:rPr>
        <w:t xml:space="preserve">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pPr>
        <w:spacing w:after="60" w:before="200"/>
        <w:ind w:left="431"/>
        <w:jc w:val="left"/>
      </w:pPr>
      <w:r>
        <w:rPr>
          <w:rFonts w:ascii="Courier New" w:cs="Courier New" w:eastAsia="Courier New" w:hAnsi="Courier New"/>
          <w:b/>
          <w:bCs/>
          <w:color w:val="2a2a2a"/>
          <w:sz w:val="18"/>
          <w:szCs w:val="18"/>
        </w:rPr>
        <w:t xml:space="preserve">§16.2  </w:t>
      </w:r>
      <w:r>
        <w:rPr>
          <w:rFonts w:ascii="Garamond" w:cs="Garamond" w:eastAsia="Garamond" w:hAnsi="Garamond"/>
          <w:b w:val="false"/>
          <w:bCs w:val="false"/>
          <w:i/>
          <w:iCs/>
          <w:color w:val="1B2A4A"/>
          <w:sz w:val="22"/>
          <w:szCs w:val="22"/>
        </w:rPr>
        <w:t xml:space="preserve">Compact Formation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color w:val="2a2a2a"/>
          <w:sz w:val="18"/>
          <w:szCs w:val="18"/>
        </w:rPr>
        <w:t xml:space="preserve">§16.3  </w:t>
      </w:r>
      <w:r>
        <w:rPr>
          <w:rFonts w:ascii="Garamond" w:cs="Garamond" w:eastAsia="Garamond" w:hAnsi="Garamond"/>
          <w:b w:val="false"/>
          <w:bCs w:val="false"/>
          <w:i/>
          <w:iCs/>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i w:val="false"/>
          <w:iCs w:val="false"/>
          <w:color w:val="2a2a2a"/>
          <w:sz w:val="22"/>
          <w:szCs w:val="22"/>
        </w:rPr>
        <w:t xml:space="preserve">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pPr>
        <w:spacing w:after="60" w:before="200"/>
        <w:ind w:left="431"/>
        <w:jc w:val="left"/>
      </w:pPr>
      <w:r>
        <w:rPr>
          <w:rFonts w:ascii="Courier New" w:cs="Courier New" w:eastAsia="Courier New" w:hAnsi="Courier New"/>
          <w:b/>
          <w:bCs/>
          <w:color w:val="2a2a2a"/>
          <w:sz w:val="18"/>
          <w:szCs w:val="18"/>
        </w:rPr>
        <w:t xml:space="preserve">§16.4  </w:t>
      </w:r>
      <w:r>
        <w:rPr>
          <w:rFonts w:ascii="Garamond" w:cs="Garamond" w:eastAsia="Garamond" w:hAnsi="Garamond"/>
          <w:b w:val="false"/>
          <w:bCs w:val="false"/>
          <w:i/>
          <w:iCs/>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i w:val="false"/>
          <w:iCs w:val="false"/>
          <w:color w:val="2a2a2a"/>
          <w:sz w:val="22"/>
          <w:szCs w:val="22"/>
        </w:rPr>
        <w:t xml:space="preserve">Each compact establishes a working mechanism for implementation and day-to-day administration in a form the parties agree. The Legat Consul designates a ministerial counterpart within the Legat Consul’s office for each compact or treaty relationship recognized under this Article; this designation is published to the NRS. Disputes not resolved through the compact’s working mechanism are referred to independent adjudication on terms the compact specifies. The compact’s arbitration mechanism is the final forum for disputes between the Republic and the Nation arising from compact administration, including constitutional questions of compact interpretation; neither party may seek review of an arbitration determination in the Republic’s courts.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For Territorial Integration, the compact ends upon ratification of the incorporation agreement under §15.6. For Full Sovereign Independence, the compact ends upon ratification of the independence treaty under §16.7, or upon the provisional framework taking effect under §16.7.a if no treaty is concluded.</w:t>
      </w:r>
    </w:p>
    <w:p>
      <w:pPr>
        <w:spacing w:after="60" w:before="200"/>
        <w:ind w:left="431"/>
        <w:jc w:val="left"/>
      </w:pPr>
      <w:r>
        <w:rPr>
          <w:rFonts w:ascii="Courier New" w:cs="Courier New" w:eastAsia="Courier New" w:hAnsi="Courier New"/>
          <w:b/>
          <w:bCs/>
          <w:color w:val="2a2a2a"/>
          <w:sz w:val="18"/>
          <w:szCs w:val="18"/>
        </w:rPr>
        <w:t xml:space="preserve">§16.5  </w:t>
      </w:r>
      <w:r>
        <w:rPr>
          <w:rFonts w:ascii="Garamond" w:cs="Garamond" w:eastAsia="Garamond" w:hAnsi="Garamond"/>
          <w:b w:val="false"/>
          <w:bCs w:val="false"/>
          <w:i/>
          <w:iCs/>
          <w:color w:val="1B2A4A"/>
          <w:sz w:val="22"/>
          <w:szCs w:val="22"/>
        </w:rPr>
        <w:t xml:space="preserve">Federal Obligations and Emergency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holds affirmative obligations to compact territories: federal education funding, healthcare access, infrastructure investment, and emergency response. These obligations are enforceable by the Nation through the compact’s dispute resolution mechanism. Any resident of compact territory who believes an Article I right has been violated may bring an Emergency Rights Writ directly to the SC, bypassing all lower courts and the compact’s dispute resolution mechanism; the SC must rule within 7 days under its original jurisdiction in §4.5; the extension and interim protective order provisions of §4.5 apply. Indigenous Nation membership and Republic citizenship are compatible and independent statuses; dual status is the constitutional default.</w:t>
      </w:r>
    </w:p>
    <w:p>
      <w:pPr>
        <w:spacing w:after="60" w:before="200"/>
        <w:ind w:left="431"/>
        <w:jc w:val="left"/>
      </w:pPr>
      <w:r>
        <w:rPr>
          <w:rFonts w:ascii="Courier New" w:cs="Courier New" w:eastAsia="Courier New" w:hAnsi="Courier New"/>
          <w:b/>
          <w:bCs/>
          <w:color w:val="2a2a2a"/>
          <w:sz w:val="18"/>
          <w:szCs w:val="18"/>
        </w:rPr>
        <w:t xml:space="preserve">§16.6  </w:t>
      </w:r>
      <w:r>
        <w:rPr>
          <w:rFonts w:ascii="Garamond" w:cs="Garamond" w:eastAsia="Garamond" w:hAnsi="Garamond"/>
          <w:b w:val="false"/>
          <w:bCs w:val="false"/>
          <w:i/>
          <w:iCs/>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i w:val="false"/>
          <w:iCs w:val="false"/>
          <w:color w:val="2a2a2a"/>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the ministerial counterpart designated under §16.4 administers the treaty’s institutional functions on an interim basis. A treaty alone does not constitute a compact under this Article; the protections specific to compacts under §16.3 and §16.4 apply only where the Nation holds a compact, and a Nation whose relationship with the Republic rests solely on a predecessor treaty may petition for a compact under §16.2 at any time, on the same terms as a Nation with no prior treaty.</w:t>
      </w:r>
    </w:p>
    <w:p>
      <w:pPr>
        <w:spacing w:after="60" w:before="200"/>
        <w:ind w:left="431"/>
        <w:jc w:val="left"/>
      </w:pPr>
      <w:r>
        <w:rPr>
          <w:rFonts w:ascii="Courier New" w:cs="Courier New" w:eastAsia="Courier New" w:hAnsi="Courier New"/>
          <w:b/>
          <w:bCs/>
          <w:color w:val="2a2a2a"/>
          <w:sz w:val="18"/>
          <w:szCs w:val="18"/>
        </w:rPr>
        <w:t xml:space="preserve">§16.7  </w:t>
      </w:r>
      <w:r>
        <w:rPr>
          <w:rFonts w:ascii="Garamond" w:cs="Garamond" w:eastAsia="Garamond" w:hAnsi="Garamond"/>
          <w:b w:val="false"/>
          <w:bCs w:val="false"/>
          <w:i/>
          <w:iCs/>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An indigenous nation recognized under this Article holds the constitutional right to initiate a status transition through its own democratic or traditional governance process. Three status options are available: (a) Continued Status — the Nation’s existing compact or treaty relationship under this Article continues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the Legislature ratifies the treaty by 2/3 of both chambers.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color w:val="2a2a2a"/>
          <w:sz w:val="18"/>
          <w:szCs w:val="18"/>
        </w:rPr>
        <w:t xml:space="preserve">§16.7.a  </w:t>
      </w:r>
      <w:r>
        <w:rPr>
          <w:rFonts w:ascii="Garamond" w:cs="Garamond" w:eastAsia="Garamond" w:hAnsi="Garamond"/>
          <w:b w:val="false"/>
          <w:bCs w:val="false"/>
          <w:i/>
          <w:iCs/>
          <w:color w:val="1B2A4A"/>
          <w:sz w:val="22"/>
          <w:szCs w:val="22"/>
        </w:rPr>
        <w:t xml:space="preserve">Status Election Process</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An election of Territorial Integration constitutes the principle step required by §15.6; once published, the Nation and the Legislature proceed directly to negotiation of the incorporation agreement under §15.6, which the Legislature ratifies by 2/3 of both chambers. A status election is irrevocable — a Nation that elects Territorial Integration or Full Sovereign Independence may not subsequently return to Article XVI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status has no special pathway back to it;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Article XVI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nations of their rights under §16.7.</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XVII — Constitutional Amendments</w:t>
      </w:r>
    </w:p>
    <w:p>
      <w:pPr>
        <w:spacing w:after="60" w:before="200"/>
        <w:ind w:left="431"/>
        <w:jc w:val="left"/>
      </w:pPr>
      <w:r>
        <w:rPr>
          <w:rFonts w:ascii="Courier New" w:cs="Courier New" w:eastAsia="Courier New" w:hAnsi="Courier New"/>
          <w:b/>
          <w:bCs/>
          <w:color w:val="2a2a2a"/>
          <w:sz w:val="18"/>
          <w:szCs w:val="18"/>
        </w:rPr>
        <w:t xml:space="preserve">§17.1  </w:t>
      </w:r>
      <w:r>
        <w:rPr>
          <w:rFonts w:ascii="Garamond" w:cs="Garamond" w:eastAsia="Garamond" w:hAnsi="Garamond"/>
          <w:b w:val="false"/>
          <w:bCs w:val="false"/>
          <w:i/>
          <w:iCs/>
          <w:color w:val="1B2A4A"/>
          <w:sz w:val="22"/>
          <w:szCs w:val="22"/>
        </w:rPr>
        <w:t xml:space="preserve">Amendment Paths</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(§9.2–§9.4), the Monitor information-only mandate and non-dependency principle (§9.1), the Monitor funding guarantee (§9.10),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pPr>
        <w:spacing w:after="60" w:before="200"/>
        <w:ind w:left="431"/>
        <w:jc w:val="left"/>
      </w:pPr>
      <w:r>
        <w:rPr>
          <w:rFonts w:ascii="Courier New" w:cs="Courier New" w:eastAsia="Courier New" w:hAnsi="Courier New"/>
          <w:b/>
          <w:bCs/>
          <w:color w:val="2a2a2a"/>
          <w:sz w:val="18"/>
          <w:szCs w:val="18"/>
        </w:rPr>
        <w:t xml:space="preserve">§17.2  </w:t>
      </w:r>
      <w:r>
        <w:rPr>
          <w:rFonts w:ascii="Garamond" w:cs="Garamond" w:eastAsia="Garamond" w:hAnsi="Garamond"/>
          <w:b w:val="false"/>
          <w:bCs w:val="false"/>
          <w:i/>
          <w:iCs/>
          <w:color w:val="1B2A4A"/>
          <w:sz w:val="22"/>
          <w:szCs w:val="22"/>
        </w:rPr>
        <w:t xml:space="preserve">No Executive Veto; Amendment Takes Effect</w:t>
      </w:r>
    </w:p>
    <w:p>
      <w:pPr>
        <w:spacing w:after="120" w:before="0"/>
        <w:ind w:left="431"/>
        <w:jc w:val="both"/>
      </w:pPr>
      <w:r>
        <w:rPr>
          <w:rFonts w:ascii="Garamond" w:cs="Garamond" w:eastAsia="Garamond" w:hAnsi="Garamond"/>
          <w:b w:val="false"/>
          <w:bCs w:val="false"/>
          <w:i w:val="false"/>
          <w:iCs w:val="false"/>
          <w:color w:val="2a2a2a"/>
          <w:sz w:val="22"/>
          <w:szCs w:val="22"/>
        </w:rPr>
        <w:t xml:space="preserve">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pPr>
        <w:spacing w:after="60" w:before="200"/>
        <w:ind w:left="431"/>
        <w:jc w:val="left"/>
      </w:pPr>
      <w:r>
        <w:rPr>
          <w:rFonts w:ascii="Courier New" w:cs="Courier New" w:eastAsia="Courier New" w:hAnsi="Courier New"/>
          <w:b/>
          <w:bCs/>
          <w:color w:val="2a2a2a"/>
          <w:sz w:val="18"/>
          <w:szCs w:val="18"/>
        </w:rPr>
        <w:t xml:space="preserve">§17.3  </w:t>
      </w:r>
      <w:r>
        <w:rPr>
          <w:rFonts w:ascii="Garamond" w:cs="Garamond" w:eastAsia="Garamond" w:hAnsi="Garamond"/>
          <w:b w:val="false"/>
          <w:bCs w:val="false"/>
          <w:i/>
          <w:iCs/>
          <w:color w:val="1B2A4A"/>
          <w:sz w:val="22"/>
          <w:szCs w:val="22"/>
        </w:rPr>
        <w:t xml:space="preserve">Amendment Consistency and Supremacy</w:t>
      </w:r>
    </w:p>
    <w:p>
      <w:pPr>
        <w:spacing w:after="120" w:before="0"/>
        <w:ind w:left="431"/>
        <w:jc w:val="both"/>
      </w:pPr>
      <w:r>
        <w:rPr>
          <w:rFonts w:ascii="Garamond" w:cs="Garamond" w:eastAsia="Garamond" w:hAnsi="Garamond"/>
          <w:b w:val="false"/>
          <w:bCs w:val="false"/>
          <w:i w:val="false"/>
          <w:iCs w:val="false"/>
          <w:color w:val="2a2a2a"/>
          <w:sz w:val="22"/>
          <w:szCs w:val="22"/>
        </w:rPr>
        <w:t xml:space="preserve">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under its original jurisdiction in §4.5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pPr>
        <w:spacing w:after="60" w:before="200"/>
        <w:ind w:left="431"/>
        <w:jc w:val="left"/>
      </w:pPr>
      <w:r>
        <w:rPr>
          <w:rFonts w:ascii="Courier New" w:cs="Courier New" w:eastAsia="Courier New" w:hAnsi="Courier New"/>
          <w:b/>
          <w:bCs/>
          <w:color w:val="2a2a2a"/>
          <w:sz w:val="18"/>
          <w:szCs w:val="18"/>
        </w:rPr>
        <w:t xml:space="preserve">§17.4  </w:t>
      </w:r>
      <w:r>
        <w:rPr>
          <w:rFonts w:ascii="Garamond" w:cs="Garamond" w:eastAsia="Garamond" w:hAnsi="Garamond"/>
          <w:b w:val="false"/>
          <w:bCs w:val="false"/>
          <w:i/>
          <w:iCs/>
          <w:color w:val="1B2A4A"/>
          <w:sz w:val="22"/>
          <w:szCs w:val="22"/>
        </w:rPr>
        <w:t xml:space="preserve">Supremacy of This Constitution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XVIII — Federal Property and National Trust</w:t>
      </w:r>
    </w:p>
    <w:p>
      <w:pPr>
        <w:spacing w:after="60" w:before="200"/>
        <w:ind w:left="431"/>
        <w:jc w:val="left"/>
      </w:pPr>
      <w:r>
        <w:rPr>
          <w:rFonts w:ascii="Courier New" w:cs="Courier New" w:eastAsia="Courier New" w:hAnsi="Courier New"/>
          <w:b/>
          <w:bCs/>
          <w:color w:val="2a2a2a"/>
          <w:sz w:val="18"/>
          <w:szCs w:val="18"/>
        </w:rPr>
        <w:t xml:space="preserve">§18.1  </w:t>
      </w:r>
      <w:r>
        <w:rPr>
          <w:rFonts w:ascii="Garamond" w:cs="Garamond" w:eastAsia="Garamond" w:hAnsi="Garamond"/>
          <w:b w:val="false"/>
          <w:bCs w:val="false"/>
          <w:i/>
          <w:iCs/>
          <w:color w:val="1B2A4A"/>
          <w:sz w:val="22"/>
          <w:szCs w:val="22"/>
        </w:rPr>
        <w:t xml:space="preserve">The Use Doctrine</w:t>
      </w:r>
    </w:p>
    <w:p>
      <w:pPr>
        <w:spacing w:after="120" w:before="0"/>
        <w:ind w:left="431"/>
        <w:jc w:val="both"/>
      </w:pPr>
      <w:r>
        <w:rPr>
          <w:rFonts w:ascii="Garamond" w:cs="Garamond" w:eastAsia="Garamond" w:hAnsi="Garamond"/>
          <w:b w:val="false"/>
          <w:bCs w:val="false"/>
          <w:i w:val="false"/>
          <w:iCs w:val="false"/>
          <w:color w:val="2a2a2a"/>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pPr>
        <w:spacing w:after="60" w:before="200"/>
        <w:ind w:left="431"/>
        <w:jc w:val="left"/>
      </w:pPr>
      <w:r>
        <w:rPr>
          <w:rFonts w:ascii="Courier New" w:cs="Courier New" w:eastAsia="Courier New" w:hAnsi="Courier New"/>
          <w:b/>
          <w:bCs/>
          <w:color w:val="2a2a2a"/>
          <w:sz w:val="18"/>
          <w:szCs w:val="18"/>
        </w:rPr>
        <w:t xml:space="preserve">§18.2  </w:t>
      </w:r>
      <w:r>
        <w:rPr>
          <w:rFonts w:ascii="Garamond" w:cs="Garamond" w:eastAsia="Garamond" w:hAnsi="Garamond"/>
          <w:b w:val="false"/>
          <w:bCs w:val="false"/>
          <w:i/>
          <w:iCs/>
          <w:color w:val="1B2A4A"/>
          <w:sz w:val="22"/>
          <w:szCs w:val="22"/>
        </w:rPr>
        <w:t xml:space="preserve">Seat of Government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pPr>
        <w:spacing w:after="60" w:before="200"/>
        <w:ind w:left="431"/>
        <w:jc w:val="left"/>
      </w:pPr>
      <w:r>
        <w:rPr>
          <w:rFonts w:ascii="Courier New" w:cs="Courier New" w:eastAsia="Courier New" w:hAnsi="Courier New"/>
          <w:b/>
          <w:bCs/>
          <w:color w:val="2a2a2a"/>
          <w:sz w:val="18"/>
          <w:szCs w:val="18"/>
        </w:rPr>
        <w:t xml:space="preserve">§18.3  </w:t>
      </w:r>
      <w:r>
        <w:rPr>
          <w:rFonts w:ascii="Garamond" w:cs="Garamond" w:eastAsia="Garamond" w:hAnsi="Garamond"/>
          <w:b w:val="false"/>
          <w:bCs w:val="false"/>
          <w:i/>
          <w:iCs/>
          <w:color w:val="1B2A4A"/>
          <w:sz w:val="22"/>
          <w:szCs w:val="22"/>
        </w:rPr>
        <w:t xml:space="preserve">Operational Use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pPr>
        <w:spacing w:after="60" w:before="200"/>
        <w:ind w:left="431"/>
        <w:jc w:val="left"/>
      </w:pPr>
      <w:r>
        <w:rPr>
          <w:rFonts w:ascii="Courier New" w:cs="Courier New" w:eastAsia="Courier New" w:hAnsi="Courier New"/>
          <w:b/>
          <w:bCs/>
          <w:color w:val="2a2a2a"/>
          <w:sz w:val="18"/>
          <w:szCs w:val="18"/>
        </w:rPr>
        <w:t xml:space="preserve">§18.4  </w:t>
      </w:r>
      <w:r>
        <w:rPr>
          <w:rFonts w:ascii="Garamond" w:cs="Garamond" w:eastAsia="Garamond" w:hAnsi="Garamond"/>
          <w:b w:val="false"/>
          <w:bCs w:val="false"/>
          <w:i/>
          <w:iCs/>
          <w:color w:val="1B2A4A"/>
          <w:sz w:val="22"/>
          <w:szCs w:val="22"/>
        </w:rPr>
        <w:t xml:space="preserve">The National Trust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pPr>
        <w:spacing w:after="60" w:before="200"/>
        <w:ind w:left="431"/>
        <w:jc w:val="left"/>
      </w:pPr>
      <w:r>
        <w:rPr>
          <w:rFonts w:ascii="Courier New" w:cs="Courier New" w:eastAsia="Courier New" w:hAnsi="Courier New"/>
          <w:b/>
          <w:bCs/>
          <w:color w:val="2a2a2a"/>
          <w:sz w:val="18"/>
          <w:szCs w:val="18"/>
        </w:rPr>
        <w:t xml:space="preserve">§18.5  </w:t>
      </w:r>
      <w:r>
        <w:rPr>
          <w:rFonts w:ascii="Garamond" w:cs="Garamond" w:eastAsia="Garamond" w:hAnsi="Garamond"/>
          <w:b w:val="false"/>
          <w:bCs w:val="false"/>
          <w:i/>
          <w:iCs/>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i w:val="false"/>
          <w:iCs w:val="false"/>
          <w:color w:val="2a2a2a"/>
          <w:sz w:val="22"/>
          <w:szCs w:val="22"/>
        </w:rPr>
        <w:t xml:space="preserve">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XIX — Transition and Ratification</w:t>
      </w:r>
    </w:p>
    <w:p>
      <w:pPr>
        <w:spacing w:after="60" w:before="200"/>
        <w:ind w:left="431"/>
        <w:jc w:val="left"/>
      </w:pPr>
      <w:r>
        <w:rPr>
          <w:rFonts w:ascii="Courier New" w:cs="Courier New" w:eastAsia="Courier New" w:hAnsi="Courier New"/>
          <w:b/>
          <w:bCs/>
          <w:color w:val="2a2a2a"/>
          <w:sz w:val="18"/>
          <w:szCs w:val="18"/>
        </w:rPr>
        <w:t xml:space="preserve">§19.1  </w:t>
      </w:r>
      <w:r>
        <w:rPr>
          <w:rFonts w:ascii="Garamond" w:cs="Garamond" w:eastAsia="Garamond" w:hAnsi="Garamond"/>
          <w:b w:val="false"/>
          <w:bCs w:val="false"/>
          <w:i/>
          <w:iCs/>
          <w:color w:val="1B2A4A"/>
          <w:sz w:val="22"/>
          <w:szCs w:val="22"/>
        </w:rPr>
        <w:t xml:space="preserve">Activation Threshold and Ratification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pPr>
        <w:spacing w:after="60" w:before="200"/>
        <w:ind w:left="431"/>
        <w:jc w:val="left"/>
      </w:pPr>
      <w:r>
        <w:rPr>
          <w:rFonts w:ascii="Courier New" w:cs="Courier New" w:eastAsia="Courier New" w:hAnsi="Courier New"/>
          <w:b/>
          <w:bCs/>
          <w:color w:val="2a2a2a"/>
          <w:sz w:val="18"/>
          <w:szCs w:val="18"/>
        </w:rPr>
        <w:t xml:space="preserve">§19.2  </w:t>
      </w:r>
      <w:r>
        <w:rPr>
          <w:rFonts w:ascii="Garamond" w:cs="Garamond" w:eastAsia="Garamond" w:hAnsi="Garamond"/>
          <w:b w:val="false"/>
          <w:bCs w:val="false"/>
          <w:i/>
          <w:iCs/>
          <w:color w:val="1B2A4A"/>
          <w:sz w:val="22"/>
          <w:szCs w:val="22"/>
        </w:rPr>
        <w:t xml:space="preserve">Day Zero and Transition</w:t>
      </w:r>
    </w:p>
    <w:p>
      <w:pPr>
        <w:spacing w:after="120" w:before="0"/>
        <w:ind w:left="431"/>
        <w:jc w:val="both"/>
      </w:pPr>
      <w:r>
        <w:rPr>
          <w:rFonts w:ascii="Garamond" w:cs="Garamond" w:eastAsia="Garamond" w:hAnsi="Garamond"/>
          <w:b w:val="false"/>
          <w:bCs w:val="false"/>
          <w:i w:val="false"/>
          <w:iCs w:val="false"/>
          <w:color w:val="2a2a2a"/>
          <w:sz w:val="22"/>
          <w:szCs w:val="22"/>
        </w:rPr>
        <w:t xml:space="preserve">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pPr>
        <w:spacing w:after="60" w:before="200"/>
        <w:ind w:left="431"/>
        <w:jc w:val="left"/>
      </w:pPr>
      <w:r>
        <w:rPr>
          <w:rFonts w:ascii="Courier New" w:cs="Courier New" w:eastAsia="Courier New" w:hAnsi="Courier New"/>
          <w:b/>
          <w:bCs/>
          <w:color w:val="2a2a2a"/>
          <w:sz w:val="18"/>
          <w:szCs w:val="18"/>
        </w:rPr>
        <w:t xml:space="preserve">§19.3  </w:t>
      </w:r>
      <w:r>
        <w:rPr>
          <w:rFonts w:ascii="Garamond" w:cs="Garamond" w:eastAsia="Garamond" w:hAnsi="Garamond"/>
          <w:b w:val="false"/>
          <w:bCs w:val="false"/>
          <w:i/>
          <w:iCs/>
          <w:color w:val="1B2A4A"/>
          <w:sz w:val="22"/>
          <w:szCs w:val="22"/>
        </w:rPr>
        <w:t xml:space="preserve">Caretaker Status</w:t>
      </w:r>
    </w:p>
    <w:p>
      <w:pPr>
        <w:spacing w:after="120" w:before="0"/>
        <w:ind w:left="431"/>
        <w:jc w:val="both"/>
      </w:pPr>
      <w:r>
        <w:rPr>
          <w:rFonts w:ascii="Garamond" w:cs="Garamond" w:eastAsia="Garamond" w:hAnsi="Garamond"/>
          <w:b w:val="false"/>
          <w:bCs w:val="false"/>
          <w:i w:val="false"/>
          <w:iCs w:val="false"/>
          <w:color w:val="2a2a2a"/>
          <w:sz w:val="22"/>
          <w:szCs w:val="22"/>
        </w:rPr>
        <w:t xml:space="preserve">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pPr>
        <w:spacing w:after="60" w:before="200"/>
        <w:ind w:left="431"/>
        <w:jc w:val="left"/>
      </w:pPr>
      <w:r>
        <w:rPr>
          <w:rFonts w:ascii="Courier New" w:cs="Courier New" w:eastAsia="Courier New" w:hAnsi="Courier New"/>
          <w:b/>
          <w:bCs/>
          <w:color w:val="2a2a2a"/>
          <w:sz w:val="18"/>
          <w:szCs w:val="18"/>
        </w:rPr>
        <w:t xml:space="preserve">§19.4  </w:t>
      </w:r>
      <w:r>
        <w:rPr>
          <w:rFonts w:ascii="Garamond" w:cs="Garamond" w:eastAsia="Garamond" w:hAnsi="Garamond"/>
          <w:b w:val="false"/>
          <w:bCs w:val="false"/>
          <w:i/>
          <w:iCs/>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pPr>
        <w:spacing w:after="60" w:before="200"/>
        <w:ind w:left="431"/>
        <w:jc w:val="left"/>
      </w:pPr>
      <w:r>
        <w:rPr>
          <w:rFonts w:ascii="Courier New" w:cs="Courier New" w:eastAsia="Courier New" w:hAnsi="Courier New"/>
          <w:b/>
          <w:bCs/>
          <w:color w:val="2a2a2a"/>
          <w:sz w:val="18"/>
          <w:szCs w:val="18"/>
        </w:rPr>
        <w:t xml:space="preserve">§19.5  </w:t>
      </w:r>
      <w:r>
        <w:rPr>
          <w:rFonts w:ascii="Garamond" w:cs="Garamond" w:eastAsia="Garamond" w:hAnsi="Garamond"/>
          <w:b w:val="false"/>
          <w:bCs w:val="false"/>
          <w:i/>
          <w:iCs/>
          <w:color w:val="1B2A4A"/>
          <w:sz w:val="22"/>
          <w:szCs w:val="22"/>
        </w:rPr>
        <w:t xml:space="preserve">Pre-Existing Obligations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color w:val="2a2a2a"/>
          <w:sz w:val="18"/>
          <w:szCs w:val="18"/>
        </w:rPr>
        <w:t xml:space="preserve">§19.6  </w:t>
      </w:r>
      <w:r>
        <w:rPr>
          <w:rFonts w:ascii="Garamond" w:cs="Garamond" w:eastAsia="Garamond" w:hAnsi="Garamond"/>
          <w:b w:val="false"/>
          <w:bCs w:val="false"/>
          <w:i/>
          <w:iCs/>
          <w:color w:val="1B2A4A"/>
          <w:sz w:val="22"/>
          <w:szCs w:val="22"/>
        </w:rPr>
        <w:t xml:space="preserve">Transition Territories</w:t>
      </w:r>
    </w:p>
    <w:p>
      <w:pPr>
        <w:spacing w:after="120" w:before="0"/>
        <w:ind w:left="431"/>
        <w:jc w:val="both"/>
      </w:pPr>
      <w:r>
        <w:rPr>
          <w:rFonts w:ascii="Garamond" w:cs="Garamond" w:eastAsia="Garamond" w:hAnsi="Garamond"/>
          <w:b w:val="false"/>
          <w:bCs w:val="false"/>
          <w:i w:val="false"/>
          <w:iCs w:val="false"/>
          <w:color w:val="2a2a2a"/>
          <w:sz w:val="22"/>
          <w:szCs w:val="22"/>
        </w:rPr>
        <w:t xml:space="preserve">Territories or subdivisions meeting the Statehood Audit by Phase 2 end may petition to enter as State or Territory. Those failing the Baseline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pPr>
        <w:spacing w:after="60" w:before="200"/>
        <w:ind w:left="431"/>
        <w:jc w:val="left"/>
      </w:pPr>
      <w:r>
        <w:rPr>
          <w:rFonts w:ascii="Courier New" w:cs="Courier New" w:eastAsia="Courier New" w:hAnsi="Courier New"/>
          <w:b/>
          <w:bCs/>
          <w:color w:val="2a2a2a"/>
          <w:sz w:val="18"/>
          <w:szCs w:val="18"/>
        </w:rPr>
        <w:t xml:space="preserve">§19.7  </w:t>
      </w:r>
      <w:r>
        <w:rPr>
          <w:rFonts w:ascii="Garamond" w:cs="Garamond" w:eastAsia="Garamond" w:hAnsi="Garamond"/>
          <w:b w:val="false"/>
          <w:bCs w:val="false"/>
          <w:i/>
          <w:iCs/>
          <w:color w:val="1B2A4A"/>
          <w:sz w:val="22"/>
          <w:szCs w:val="22"/>
        </w:rPr>
        <w:t xml:space="preserve">Transition Candidate Registers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 Where the Civic Consul fails to meet this deadline, the LM publishes a compliance finding to the NRS, and the LM's ongoing audit encompasses the unfilled nomination until it is made.</w:t>
      </w:r>
    </w:p>
    <w:p>
      <w:pPr>
        <w:spacing w:after="60" w:before="200"/>
        <w:ind w:left="431"/>
        <w:jc w:val="left"/>
      </w:pPr>
      <w:r>
        <w:rPr>
          <w:rFonts w:ascii="Courier New" w:cs="Courier New" w:eastAsia="Courier New" w:hAnsi="Courier New"/>
          <w:b/>
          <w:bCs/>
          <w:color w:val="2a2a2a"/>
          <w:sz w:val="18"/>
          <w:szCs w:val="18"/>
        </w:rPr>
        <w:t xml:space="preserve">§19.8  </w:t>
      </w:r>
      <w:r>
        <w:rPr>
          <w:rFonts w:ascii="Garamond" w:cs="Garamond" w:eastAsia="Garamond" w:hAnsi="Garamond"/>
          <w:b w:val="false"/>
          <w:bCs w:val="false"/>
          <w:i/>
          <w:iCs/>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pPr>
        <w:spacing w:after="60" w:before="200"/>
        <w:ind w:left="431"/>
        <w:jc w:val="left"/>
      </w:pPr>
      <w:r>
        <w:rPr>
          <w:rFonts w:ascii="Courier New" w:cs="Courier New" w:eastAsia="Courier New" w:hAnsi="Courier New"/>
          <w:b/>
          <w:bCs/>
          <w:color w:val="2a2a2a"/>
          <w:sz w:val="18"/>
          <w:szCs w:val="18"/>
        </w:rPr>
        <w:t xml:space="preserve">§19.9  </w:t>
      </w:r>
      <w:r>
        <w:rPr>
          <w:rFonts w:ascii="Garamond" w:cs="Garamond" w:eastAsia="Garamond" w:hAnsi="Garamond"/>
          <w:b w:val="false"/>
          <w:bCs w:val="false"/>
          <w:i/>
          <w:iCs/>
          <w:color w:val="1B2A4A"/>
          <w:sz w:val="22"/>
          <w:szCs w:val="22"/>
        </w:rPr>
        <w:t xml:space="preserve">Required Statutory Agency Establishment</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this Constitution assigns a specific function to a statutory independent agency under §3.9, the Legislature must establish that agency within the following timeframes from Phase 4 activation: the civic proficiency assessment administrator under §5.1,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 The Legislature must by statute establish the transition from any predecessor voting infrastructure to the constitutionally required NVS, ensuring no gap in democratic participation.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XX — Associated Communities</w:t>
      </w:r>
    </w:p>
    <w:p>
      <w:pPr>
        <w:spacing w:after="60" w:before="200"/>
        <w:ind w:left="431"/>
        <w:jc w:val="left"/>
      </w:pPr>
      <w:r>
        <w:rPr>
          <w:rFonts w:ascii="Courier New" w:cs="Courier New" w:eastAsia="Courier New" w:hAnsi="Courier New"/>
          <w:b/>
          <w:bCs/>
          <w:color w:val="2a2a2a"/>
          <w:sz w:val="18"/>
          <w:szCs w:val="18"/>
        </w:rPr>
        <w:t xml:space="preserve">§20.1  </w:t>
      </w:r>
      <w:r>
        <w:rPr>
          <w:rFonts w:ascii="Garamond" w:cs="Garamond" w:eastAsia="Garamond" w:hAnsi="Garamond"/>
          <w:b w:val="false"/>
          <w:bCs w:val="false"/>
          <w:i/>
          <w:iCs/>
          <w:color w:val="1B2A4A"/>
          <w:sz w:val="22"/>
          <w:szCs w:val="22"/>
        </w:rPr>
        <w:t xml:space="preserve">Associated Community Status</w:t>
      </w:r>
    </w:p>
    <w:p>
      <w:pPr>
        <w:spacing w:after="120" w:before="0"/>
        <w:ind w:left="431"/>
        <w:jc w:val="both"/>
      </w:pPr>
      <w:r>
        <w:rPr>
          <w:rFonts w:ascii="Garamond" w:cs="Garamond" w:eastAsia="Garamond" w:hAnsi="Garamond"/>
          <w:b w:val="false"/>
          <w:bCs w:val="false"/>
          <w:i w:val="false"/>
          <w:iCs w:val="false"/>
          <w:color w:val="2a2a2a"/>
          <w:sz w:val="22"/>
          <w:szCs w:val="22"/>
        </w:rPr>
        <w:t xml:space="preserve">Exclusively for sovereign entities — not a form of State or Territory status, not transitional, not incorporation. Available to sovereign nations — those that have achieved full sovereignty through a status election under §16.7 or through the constitutional amendment process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pPr>
        <w:spacing w:after="60" w:before="200"/>
        <w:ind w:left="431"/>
        <w:jc w:val="left"/>
      </w:pPr>
      <w:r>
        <w:rPr>
          <w:rFonts w:ascii="Courier New" w:cs="Courier New" w:eastAsia="Courier New" w:hAnsi="Courier New"/>
          <w:b/>
          <w:bCs/>
          <w:color w:val="2a2a2a"/>
          <w:sz w:val="18"/>
          <w:szCs w:val="18"/>
        </w:rPr>
        <w:t xml:space="preserve">§20.2  </w:t>
      </w:r>
      <w:r>
        <w:rPr>
          <w:rFonts w:ascii="Garamond" w:cs="Garamond" w:eastAsia="Garamond" w:hAnsi="Garamond"/>
          <w:b w:val="false"/>
          <w:bCs w:val="false"/>
          <w:i/>
          <w:iCs/>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i w:val="false"/>
          <w:iCs w:val="false"/>
          <w:color w:val="2a2a2a"/>
          <w:sz w:val="22"/>
          <w:szCs w:val="22"/>
        </w:rPr>
        <w:t xml:space="preserve">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color w:val="2a2a2a"/>
          <w:sz w:val="18"/>
          <w:szCs w:val="18"/>
        </w:rPr>
        <w:t xml:space="preserve">§20.3  </w:t>
      </w:r>
      <w:r>
        <w:rPr>
          <w:rFonts w:ascii="Garamond" w:cs="Garamond" w:eastAsia="Garamond" w:hAnsi="Garamond"/>
          <w:b w:val="false"/>
          <w:bCs w:val="false"/>
          <w:i/>
          <w:iCs/>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i w:val="false"/>
          <w:iCs w:val="false"/>
          <w:color w:val="2a2a2a"/>
          <w:sz w:val="22"/>
          <w:szCs w:val="22"/>
        </w:rPr>
        <w:t xml:space="preserve">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 The arbitration panel may determine compact termination on confirmed violations without remediation within the period the compact specifies.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SC's determination.</w:t>
      </w:r>
    </w:p>
    <w:p>
      <w:pPr>
        <w:spacing w:after="60" w:before="200"/>
        <w:ind w:left="431"/>
        <w:jc w:val="left"/>
      </w:pPr>
      <w:r>
        <w:rPr>
          <w:rFonts w:ascii="Courier New" w:cs="Courier New" w:eastAsia="Courier New" w:hAnsi="Courier New"/>
          <w:b/>
          <w:bCs/>
          <w:color w:val="2a2a2a"/>
          <w:sz w:val="18"/>
          <w:szCs w:val="18"/>
        </w:rPr>
        <w:t xml:space="preserve">§20.4  </w:t>
      </w:r>
      <w:r>
        <w:rPr>
          <w:rFonts w:ascii="Garamond" w:cs="Garamond" w:eastAsia="Garamond" w:hAnsi="Garamond"/>
          <w:b w:val="false"/>
          <w:bCs w:val="false"/>
          <w:i/>
          <w:iCs/>
          <w:color w:val="1B2A4A"/>
          <w:sz w:val="22"/>
          <w:szCs w:val="22"/>
        </w:rPr>
        <w:t xml:space="preserve">Sovereign Mobility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color w:val="2a2a2a"/>
          <w:sz w:val="18"/>
          <w:szCs w:val="18"/>
        </w:rPr>
        <w:t xml:space="preserve">§20.5  </w:t>
      </w:r>
      <w:r>
        <w:rPr>
          <w:rFonts w:ascii="Garamond" w:cs="Garamond" w:eastAsia="Garamond" w:hAnsi="Garamond"/>
          <w:b w:val="false"/>
          <w:bCs w:val="false"/>
          <w:i/>
          <w:iCs/>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color w:val="2a2a2a"/>
          <w:sz w:val="18"/>
          <w:szCs w:val="18"/>
        </w:rPr>
        <w:t xml:space="preserve">§20.6  </w:t>
      </w:r>
      <w:r>
        <w:rPr>
          <w:rFonts w:ascii="Garamond" w:cs="Garamond" w:eastAsia="Garamond" w:hAnsi="Garamond"/>
          <w:b w:val="false"/>
          <w:bCs w:val="false"/>
          <w:i/>
          <w:iCs/>
          <w:color w:val="1B2A4A"/>
          <w:sz w:val="22"/>
          <w:szCs w:val="22"/>
        </w:rPr>
        <w:t xml:space="preserve">Compact Ratification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color w:val="2a2a2a"/>
          <w:sz w:val="18"/>
          <w:szCs w:val="18"/>
        </w:rPr>
        <w:t xml:space="preserve">§20.7  </w:t>
      </w:r>
      <w:r>
        <w:rPr>
          <w:rFonts w:ascii="Garamond" w:cs="Garamond" w:eastAsia="Garamond" w:hAnsi="Garamond"/>
          <w:b w:val="false"/>
          <w:bCs w:val="false"/>
          <w:i/>
          <w:iCs/>
          <w:color w:val="1B2A4A"/>
          <w:sz w:val="22"/>
          <w:szCs w:val="22"/>
        </w:rPr>
        <w:t xml:space="preserve">Compact Continuity</w:t>
      </w:r>
    </w:p>
    <w:p>
      <w:pPr>
        <w:spacing w:after="120" w:before="0"/>
        <w:ind w:left="431"/>
        <w:jc w:val="both"/>
      </w:pPr>
      <w:r>
        <w:rPr>
          <w:rFonts w:ascii="Garamond" w:cs="Garamond" w:eastAsia="Garamond" w:hAnsi="Garamond"/>
          <w:b w:val="false"/>
          <w:bCs w:val="false"/>
          <w:i w:val="false"/>
          <w:iCs w:val="false"/>
          <w:color w:val="2a2a2a"/>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2026-06-24T23:09:59.688Z</dcterms:created>
  <dcterms:modified xsi:type="dcterms:W3CDTF">2026-06-24T23:09:59.689Z</dcterms:modified>
</cp:coreProperties>
</file>

<file path=docProps/custom.xml><?xml version="1.0" encoding="utf-8"?>
<Properties xmlns="http://schemas.openxmlformats.org/officeDocument/2006/custom-properties" xmlns:vt="http://schemas.openxmlformats.org/officeDocument/2006/docPropsVTypes"/>
</file>