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The same offense means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Legat Consul may veto legislation that raises a genuine constitutional concern within the Legat Consul's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Where the executives dispute whether a provision requires new domestic legislation for purposes of the concurrence default, either executive may refer the classification question to the SC for expedited determination within the concurrence period.</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must originate with the Civic Consul and pass the Assembly;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and on trade agreement provisions creating direct domestic fiscal obligations; the Civic Consul’s response is advisory and does not constitute a concurrence requirement.</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Elections Panel administers a public dissolution referendum; a simple majority decides. If the Assembly elects a Civic Consul before the dissolution vote is certified, the referendum concludes without effect. Where the dissolution vote passes, a new Assembly general election follows; the Acting mechanism continues until the new Assembly elects a Civic Consul.</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The Assembly may override a solvency objection by simple majority.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i w:val="false"/>
          <w:iCs w:val="false"/>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520"/>
          <w:sz w:val="22"/>
          <w:szCs w:val="22"/>
        </w:rPr>
        <w:t xml:space="preserve">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concurrence makes the designation effective and it is published to the NRS immediately with both executives’ attributed positions; where executives cannot agree, either may petition the SC for expedited resolution under §4.5. A lead designation assigns operational coordination only and does not affect either executive’s constitutional domain authority or certification functions. Judicial review of any lead designation is conducted after the emergency is stabilized, not during it; courts do not govern active crisis management. Judicial review of any lead designation must be initiated within 90 days of the lead designation taking effect regardless of whether the emergency is characterized as ongoing; the SC holds expedited jurisdiction over such review.</w:t>
      </w:r>
    </w:p>
    <w:p>
      <w:pPr>
        <w:spacing w:after="60" w:before="200"/>
        <w:ind w:left="431"/>
        <w:jc w:val="left"/>
      </w:pPr>
      <w:r>
        <w:rPr>
          <w:rFonts w:ascii="Courier New" w:cs="Courier New" w:eastAsia="Courier New" w:hAnsi="Courier New"/>
          <w:b/>
          <w:bCs/>
          <w:color w:val="1B2A4A"/>
          <w:sz w:val="18"/>
          <w:szCs w:val="18"/>
        </w:rPr>
        <w:t xml:space="preserve">§2.14.b  </w:t>
      </w:r>
      <w:r>
        <w:rPr>
          <w:rFonts w:ascii="Garamond" w:cs="Garamond" w:eastAsia="Garamond" w:hAnsi="Garamond"/>
          <w:b/>
          <w:bCs/>
          <w:i w:val="false"/>
          <w:iCs w:val="false"/>
          <w:color w:val="1B2A4A"/>
          <w:sz w:val="22"/>
          <w:szCs w:val="22"/>
        </w:rPr>
        <w:t xml:space="preserve">Coordination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domains but their actions are materially incompatible, either may declare a coordination failure by NRS notice. The Legislature may resolve the deadlock by concurrent resolution. Where the Legislature does not act within 30 days, the Legat Consul retains full authority within the Legat domain and the Civic Consul’s executive authority governs the cross-domain interaction pending resolution; this applies to how the domains interact, not to the substance of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80" w:before="200"/>
        <w:ind w:left="431"/>
      </w:pPr>
      <w:r>
        <w:rPr>
          <w:rFonts w:ascii="Courier New" w:cs="Courier New" w:hAnsi="Courier New"/>
          <w:b/>
          <w:bCs/>
          <w:color w:val="1B2A4A"/>
          <w:sz w:val="18"/>
          <w:szCs w:val="18"/>
        </w:rPr>
        <w:t xml:space="preserve">§2.16  </w:t>
      </w:r>
      <w:r>
        <w:rPr>
          <w:rFonts w:ascii="Garamond" w:cs="Garamond" w:hAnsi="Garamond"/>
          <w:b/>
          <w:bCs/>
          <w:color w:val="1B2A4A"/>
          <w:sz w:val="22"/>
          <w:szCs w:val="22"/>
        </w:rPr>
        <w:t xml:space="preserve">Federal Prosecution</w:t>
      </w:r>
    </w:p>
    <w:p>
      <w:pPr>
        <w:spacing w:after="120" w:before="0"/>
        <w:ind w:left="431"/>
        <w:jc w:val="both"/>
      </w:pPr>
      <w:r>
        <w:rPr>
          <w:rFonts w:ascii="Garamond" w:cs="Garamond" w:hAnsi="Garamond"/>
          <w:color w:val="2a2520"/>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 The Republic ensures that service in either chamber does not impose material financial disadvantage based on members’ personal means; the Legislature establishes the equalization mechanism by statute, ensuring equal application regardless of tenure, seniority, or political affiliation. </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and compact agreement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80" w:before="200"/>
        <w:ind w:left="431"/>
      </w:pPr>
      <w:r>
        <w:rPr>
          <w:rFonts w:ascii="Courier New" w:cs="Courier New" w:eastAsia="Courier New" w:hAnsi="Courier New"/>
          <w:b/>
          <w:bCs/>
          <w:color w:val="1B2A4A"/>
          <w:sz w:val="18"/>
          <w:szCs w:val="18"/>
        </w:rPr>
        <w:t xml:space="preserve">§3.14  </w:t>
      </w:r>
      <w:r>
        <w:rPr>
          <w:rFonts w:ascii="Garamond" w:cs="Garamond" w:eastAsia="Garamond" w:hAnsi="Garamond"/>
          <w:b/>
          <w:bCs/>
          <w:i w:val="false"/>
          <w:iCs w:val="false"/>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w:t>
      </w:r>
    </w:p>
    <w:p>
      <w:pPr>
        <w:spacing w:after="80" w:before="200"/>
        <w:ind w:left="431"/>
      </w:pPr>
      <w:r>
        <w:rPr>
          <w:rFonts w:ascii="Courier New" w:cs="Courier New" w:eastAsia="Courier New" w:hAnsi="Courier New"/>
          <w:b/>
          <w:bCs/>
          <w:color w:val="1B2A4A"/>
          <w:sz w:val="18"/>
          <w:szCs w:val="18"/>
        </w:rPr>
        <w:t xml:space="preserve">§3.15  </w:t>
      </w:r>
      <w:r>
        <w:rPr>
          <w:rFonts w:ascii="Garamond" w:cs="Garamond" w:eastAsia="Garamond" w:hAnsi="Garamond"/>
          <w:b/>
          <w:bCs/>
          <w:i w:val="false"/>
          <w:iCs w:val="false"/>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delegate defined authorities within its legislative competence to the Legat Consul, the Civic Consul, or established agencies. Any delegation must specify the exact scope of authority delegated, the conditions on its exercise, and a maximum duration.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and publishes findings to the NRS annually.</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basic legal qualifications defined by statute may apply to the Elections Panel; the Elections Panel enters qualifying applicants into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No child of a citizen or legal resident may be deported regardless of the child’s own documentation status. 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520"/>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Judicial Pool — SC Eligibility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Judicial Pool.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no constitutional actor may obstruct or delay that access; any obstruction is a constitutional breach, published to the NRS by the remaining two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under §4.3.b and elected executives.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Where the SC fails to rule within 14 days, grounds are deemed confirmed and duty suspension activates immediately. The Legislature defines enumerated removal categories for each constitutionally confirmed office by statute.</w:t>
      </w:r>
    </w:p>
    <w:p>
      <w:pPr>
        <w:spacing w:after="60" w:before="200"/>
        <w:ind w:left="431"/>
        <w:jc w:val="left"/>
      </w:pPr>
      <w:r>
        <w:rPr>
          <w:rFonts w:ascii="Courier New" w:cs="Courier New" w:eastAsia="Courier New" w:hAnsi="Courier New"/>
          <w:b/>
          <w:bCs/>
          <w:color w:val="1B2A4A"/>
          <w:sz w:val="18"/>
          <w:szCs w:val="18"/>
        </w:rPr>
        <w:t xml:space="preserve">§9.14.a  </w:t>
      </w:r>
      <w:r>
        <w:rPr>
          <w:rFonts w:ascii="Garamond" w:cs="Garamond" w:eastAsia="Garamond" w:hAnsi="Garamond"/>
          <w:b/>
          <w:bCs/>
          <w:color w:val="1B2A4A"/>
          <w:sz w:val="22"/>
          <w:szCs w:val="22"/>
        </w:rPr>
        <w:t xml:space="preserve">Constitutional Officer Removal — Judicial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Track is available where the Standard Track’s legislative threshold appears unreachable due to demonstrated political gridlock. Where two of the three Monitors jointly assess and report for-cause grounds and petition the SC, the SC determines within 30 days whether the grounds constitute sufficient cause for suspension; where the SC fails to rule within 30 days, cause is deemed found. If cause is found or deemed found, the officer is suspended and the most senior deputy acts in the interim. The Senate has 60 days to hold a removal vote; 3/5 of full seated membership is required for permanent removal. A vote failing 3/5 reinstates the officer and closes the process. Where the Senate fails to vote within 60 days, the matter is placed before the next federal electoral period ballot; removal requires 60% of votes cast. Officers of independent agencies established under §3.9 are not subject to this framework; their removal is governed by the establishing statute, which must preserve the for-cause removal principle.</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while the SC reviews the restriction; the SC must rule within 14 days; the record is permanently restored unless the SC confirms the restriction on the narrowest possible grounds.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has exclusive authority to levy taxes, duties, and tariffs by statute; no other body may impose a tax, duty, or levy. All public money received by the Republic — including tax revenue, fees, and other receipts — is deposited into the National Revenue Fund. No money may be withdrawn from the National Revenue Fund except by legislative appropriation under §12.2; the EM audits the Fund’s receipts and disbursements as part of its annual fiscal mandate. No tax may discriminate on the basis of the characteristics listed in §1.6. The Legislature sets tax rates for all jurisdictions within the Republic, including States and Territories. Tariff rates established by a ratified treaty under §3.6 constitute legislatively authorized rates for the duration of that treaty;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the conflict becoming known or an EM finding of conflict, whichever is earlier.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 Departures from ordinary professional standards require a demonstrable operational need, documented and published to the NRS, and are limited to the minimum extent that need requires.</w:t>
      </w:r>
    </w:p>
    <w:p>
      <w:pPr>
        <w:spacing w:after="8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8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(§9.14.a). The Legislature may not set a higher or lower threshold for any direct electoral supermajority determination without a constitutional amendment. This provision does not govern the optional referendum under §13.1 or the citizen legislative initiative under §13.2, which state their own thresholds;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requires legislative authorization under §14.1 and budget passage under §2.5; the Legat Consul executes that funding. Where authorization specifies categories or amounts, the Legat Consul is bound by them; otherwise, the Legat Consul determines allocation within the authorized total.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after legislative military authorization is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authorization, and the action proceeds under the ordinary terms of this Article from that point. Absent an affirmative vote within the 30-day period, §14.2’s expiration and wind-down provisions apply.</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first, a State referendum achieving 60% of votes cast with at least 50% participation among eligible voters on the principle of pursuing devolution; and second, upon approval, negotiation of a restructuring agreement between the State and the Legislature, ratified by 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 Voluntary State independence proceeds under §15.9.</w:t>
      </w:r>
    </w:p>
    <w:p>
      <w:pPr>
        <w:spacing w:after="60" w:before="200"/>
        <w:ind w:left="431"/>
        <w:jc w:val="left"/>
      </w:pPr>
      <w:r>
        <w:rPr>
          <w:rFonts w:ascii="Courier New" w:cs="Courier New" w:eastAsia="Courier New" w:hAnsi="Courier New"/>
          <w:b/>
          <w:bCs/>
          <w:color w:val="1B2A4A"/>
          <w:sz w:val="18"/>
          <w:szCs w:val="18"/>
        </w:rPr>
        <w:t xml:space="preserve">§15.8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60" w:before="200"/>
        <w:ind w:left="431"/>
        <w:jc w:val="left"/>
      </w:pPr>
      <w:r>
        <w:rPr>
          <w:rFonts w:ascii="Courier New" w:cs="Courier New" w:eastAsia="Courier New" w:hAnsi="Courier New"/>
          <w:b/>
          <w:sz w:val="18"/>
          <w:szCs w:val="18"/>
        </w:rPr>
        <w:t xml:space="preserve">§15.9  </w:t>
      </w:r>
      <w:r>
        <w:rPr>
          <w:rFonts w:ascii="Garamond" w:cs="Garamond" w:eastAsia="Garamond" w:hAnsi="Garamond"/>
          <w:b w:val="false"/>
          <w:bCs w:val="false"/>
          <w:i/>
          <w:color w:val="1B2A4A"/>
          <w:sz w:val="22"/>
          <w:szCs w:val="22"/>
        </w:rPr>
        <w:t>Voluntary State Independence</w:t>
      </w:r>
    </w:p>
    <w:p>
      <w:pPr>
        <w:spacing w:after="120" w:before="0"/>
        <w:ind w:left="431"/>
        <w:jc w:val="both"/>
      </w:pPr>
      <w:r>
        <w:rPr>
          <w:rFonts w:ascii="Garamond" w:cs="Garamond" w:eastAsia="Garamond" w:hAnsi="Garamond"/>
          <w:b w:val="false"/>
          <w:bCs w:val="false"/>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a successful referendum, the State legislature publishes an independence petition to the NRS; the State legislature may rescind the petition by 2/3 majority before national ratification is certified. Stage Two requires both chambers to hold a concurrent ratification vote within 90 days of NRS publication; members of both chambers representing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spacing w:after="120" w:before="0"/>
        <w:ind w:left="431"/>
        <w:jc w:val="both"/>
      </w:pPr>
      <w:r>
        <w:rPr>
          <w:rFonts w:ascii="Garamond" w:cs="Garamond" w:eastAsia="Garamond" w:hAnsi="Garamond"/>
          <w:b w:val="false"/>
          <w:bCs w:val="false"/>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spacing w:after="120" w:before="0"/>
        <w:ind w:left="431"/>
        <w:jc w:val="both"/>
      </w:pPr>
      <w:r>
        <w:rPr>
          <w:rFonts w:ascii="Garamond" w:cs="Garamond" w:eastAsia="Garamond" w:hAnsi="Garamond"/>
          <w:b w:val="false"/>
          <w:bCs w:val="false"/>
          <w:sz w:val="22"/>
          <w:szCs w:val="22"/>
        </w:rPr>
        <w:t xml:space="preserve">Upon ratification, both executives negotiate a transition agreement through the Council of Ministers under §2.14, with the Legat Consul holding primary authority on border and defense terms under §2.1 and the Civic Consul holding primary authority on domestic implementation under §2.5; the agreement specifies asset and liability allocation, transition timeline, treatment of federal property under §18.1, fiscal obligations, and continuing obligations; the Legislature ratifies the agreement by 2/3 of both chambers. Where no agreement is concluded within 24 months, either party may propose a single 12-month extension by mutual agreement published to the NRS; absent a concluded agreement or an agreed extension, existing federal arrangements continue on a provisional basis, the Legat Consul publishes the provisional framework to the NRS, and either party may petition the SC to resolve specific disputes within that framework.</w:t>
      </w:r>
    </w:p>
    <w:p>
      <w:pPr>
        <w:spacing w:after="120" w:before="0"/>
        <w:ind w:left="431"/>
        <w:jc w:val="both"/>
      </w:pPr>
      <w:r>
        <w:rPr>
          <w:rFonts w:ascii="Garamond" w:cs="Garamond" w:eastAsia="Garamond" w:hAnsi="Garamond"/>
          <w:b w:val="false"/>
          <w:bCs w:val="false"/>
          <w:sz w:val="22"/>
          <w:szCs w:val="22"/>
        </w:rPr>
        <w:t xml:space="preserve">§5.1 applies from the date of ratification: Republic citizens in the departing State retain citizenship unless they elect to renounce during an opt-out window specified in the transition agreement, not to exceed seven years; legal residents holding Residency Credentials at the date of ratification retain those credentials for the period specified in the transition agreement. Article I rights and social state protections under Article XII continue in full through the transition period. An independent State may subsequently petition for re-entry to the Republic's constitutional framework as a Territory under §15.6.</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principal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XV — including mandatory devolution under §15.3 if three consecutive Statehood Audits are failed. A Territory or State that formerly held Article XVI status 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(§9.2–§9.5),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on expedited review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affirmative support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§5.1.a,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must rule within 90 days of suspension, and where the SC fails to rule within that period, the suspension lifts and the compact resumes pending any subsequent ruling.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