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14:paraId="40E775B2" w14:textId="77777777" w:rsidR="00AF3D56" w:rsidRDefault="00000000">
      <w:pPr>
        <w:spacing w:after="120"/>
        <w:ind w:left="431"/>
        <w:jc w:val="both"/>
      </w:pPr>
      <w:r>
        <w:rPr>
          <w:rFonts w:ascii="Garamond" w:eastAsia="Garamond" w:hAnsi="Garamond" w:cs="Garamond"/>
          <w:color w:val="2A2A2A"/>
          <w:sz w:val="22"/>
          <w:szCs w:val="22"/>
        </w:rPr>
        <w:t>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14:paraId="54155DBF" w14:textId="77777777" w:rsidR="00AF3D56" w:rsidRDefault="00000000">
      <w:pPr>
        <w:spacing w:after="120"/>
        <w:ind w:left="431"/>
        <w:jc w:val="both"/>
      </w:pPr>
      <w:r>
        <w:rPr>
          <w:rFonts w:ascii="Garamond" w:eastAsia="Garamond" w:hAnsi="Garamond" w:cs="Garamond"/>
          <w:color w:val="2A2A2A"/>
          <w:sz w:val="22"/>
          <w:szCs w:val="22"/>
        </w:rPr>
        <w:t>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§7.2.a.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