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2.1.i Presidential Officer Appointments and Removal: 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publishing a written Notice of Removal to the National Record System. Removal takes effect upon publication. The President's removal authority within this domain is unilateral — the Senate's role in appointments does not extend to tenure protection. An officer subject to an active §3.5 proceeding may not be removed by the President under this provision until those proceedings conclude, preventing the removal power from being used to obstruct a legislative accountability process.</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4.2.e Mid-Term Vacancies: Where a Supreme Court seat becomes vacant mid-term through death, resignation, removal, or expulsion, a special election is held within 180 days. The full open-candidacy process of §4.2.a through §4.2.d applies, with timelines adjusted to fit the 180-day window: candidate registration closes at day 30; EI review completes by day 60; Judicial Selection Board assessment is published by day 90; JI certification completes by day 120; election is held no later than day 180. The replacement justice serves only the remainder of the original 12-year term, not a new term. Where the adjusted timeline cannot be met due to extraordinary circumstances, the Judicial Inspectorate may extend the window by no more than 30 days and publishes the extension and grounds to the National Record System. The Temporary Associate Justice designated under §4.2.g continues to serve throughout the election period and until the replacement justice is seated.</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4.2.g Vacancy Operating Rules: Where a Supreme Court seat becomes vacant, the most senior Appellate Court judge by continuous time served on the Appellate bench — with the eldest by age as the tiebreaker — is automatically designated as Temporary Associate Justice within five days of the vacancy being published to the National Record System. No nomination, confirmation, or legislative action is required; the designation is automatic by operation of this provision. The Temporary Associate Justice: (a) holds a full vote in all cases heard by the Court during the vacancy period; (b) may not participate in any case arising from a ruling they authored or in which they joined on the Appellate Court — in such cases the remaining justices constitute the full panel; (c) may not stand as a candidate in any election to fill the permanent seat to which they are designated as Temporary Associate Justice; (d) returns to their Appellate Court position, without loss of seniority or tenure, upon the seating of the permanently elected replacement justice. Where the designated judge is unavailable, the next most senior Appellate Court judge by the same criteria is designated. Where a case triggers clause (b) recusal and the remaining justices produce an equal division, the lower court's ruling is affirmed without creating binding precedent. The Legislature may not reduce, eliminate, or delay the temporary designation by statute.</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15.1.c Citizen-Led Path: A national vote conducted through the National Voting System achieving 70% affirmative support with at least 65% citizen participation. If participation exceeds 60% but falls short of 65% and the affirmative vote exceeds 75%, the Electoral Commission automatically schedules a second vote on the same amendment text, to be held no sooner than 90 days and no later than 12 months after the first result is certified. The second vote is conducted under the standard thresholds of this section — 70% affirmative support with at least 65% citizen participation. If the second vote meets the standard thresholds, the amendment takes effect. If the second vote fails to meet the standard thresholds, the amendment fails and the same amendment text may not trigger a further second vote under this provision. The Electoral Commission certifies all results to the National Record System.</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16.2.a Electoral Commission Removal: 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through the JI finding and State Designee Panel process. Where the State Designee Panel substantiates grounds under §8.9.a, the member is suspended from all Electoral Commission duties: upon expiry of the 14-day Supreme Court appeal window under §8.9.b without a filed appeal, or immediately upon a Supreme Court ruling upholding the Panel's substantiation on appeal. If the Supreme Court reverses the Panel's substantiation, no suspension takes effect and the member continues all duties pending the legislative vote. A suspended member is excluded from the Commission's active seated membership for decision-threshold purposes during the suspension period. The 180-day election proximity restriction of §16.5.c applies to the removal vote, not to Panel-triggered suspension. On legislative acquittal, the suspended member returns immediately to full duties with no effect on their term or standing.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16.5.c Removal: Electoral Commission members may only be removed by Track 1 For-Cause removal (§8.5), requiring a 2/3 vote of both chambers simultaneously, preceded by State Designee Panel verification under §8.9. No-Cause removal is not available for Electoral Commission members. Any removal vote within 180 days of a national election at which more than 20% of seated national offices are on the ballot is automatically suspended pending Supreme Court review within 48 hours. This restriction applies to the legislative removal vote only; Panel-triggered suspension of duties under §16.2.a operates independently of election proximity.</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19.1.a Activation Threshold: </w:t>
      </w:r>
      <w:r>
        <w:rPr>
          <w:rFonts w:ascii="Times New Roman" w:cs="Times New Roman" w:eastAsia="Times New Roman" w:hAnsi="Times New Roman"/>
          <w:color w:val="000000"/>
          <w:sz w:val="22"/>
          <w:szCs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after="60" w:before="60" w:line="280" w:lineRule="auto"/>
        <w:jc w:val="both"/>
      </w:pPr>
      <w:r>
        <w:rPr>
          <w:rFonts w:ascii="Times New Roman" w:cs="Times New Roman" w:eastAsia="Times New Roman" w:hAnsi="Times New Roman"/>
          <w:b/>
          <w:bCs/>
          <w:color w:val="1B2A4A"/>
          <w:sz w:val="22"/>
          <w:szCs w:val="22"/>
        </w:rPr>
        <w:t xml:space="preserve">19.1.b Institutional Accommodation: </w:t>
      </w:r>
      <w:r>
        <w:rPr>
          <w:rFonts w:ascii="Times New Roman" w:cs="Times New Roman" w:eastAsia="Times New Roman" w:hAnsi="Times New Roman"/>
          <w:color w:val="000000"/>
          <w:sz w:val="22"/>
          <w:szCs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after="60" w:before="60" w:line="280" w:lineRule="auto"/>
        <w:jc w:val="both"/>
      </w:pPr>
      <w:r>
        <w:rPr>
          <w:rFonts w:ascii="Times New Roman" w:cs="Times New Roman" w:eastAsia="Times New Roman" w:hAnsi="Times New Roman"/>
          <w:b/>
          <w:bCs/>
          <w:color w:val="1B2A4A"/>
          <w:sz w:val="22"/>
          <w:szCs w:val="22"/>
        </w:rPr>
        <w:t xml:space="preserve">19.1.c Multi-Founder Formation: </w:t>
      </w:r>
      <w:r>
        <w:rPr>
          <w:rFonts w:ascii="Times New Roman" w:cs="Times New Roman" w:eastAsia="Times New Roman" w:hAnsi="Times New Roman"/>
          <w:color w:val="000000"/>
          <w:sz w:val="22"/>
          <w:szCs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2026-05-11T22:28:07.918Z</dcterms:created>
  <dcterms:modified xsi:type="dcterms:W3CDTF">2026-05-11T22:28:07.918Z</dcterms:modified>
</cp:coreProperties>
</file>

<file path=docProps/custom.xml><?xml version="1.0" encoding="utf-8"?>
<Properties xmlns="http://schemas.openxmlformats.org/officeDocument/2006/custom-properties" xmlns:vt="http://schemas.openxmlformats.org/officeDocument/2006/docPropsVTypes"/>
</file>