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House statute and may trigger Rule Violation proceedings under §2.7 — a constitutional mechanism that triggers automatic suspension from duties and a Senate trial, defined fully at §2.7.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Every citizen has the right to petition any branch of government on any matter of public or personal concern. This right extends to citizens only. All petitions must receive a formal response within a period the Legislature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t xml:space="preserve">1.13.b Habeas Corpus Response Deadline: 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ind w:left="720" w:hanging="360"/>
      </w:pPr>
      <w:r>
        <w:t xml:space="preserve">1.13.c Habeas Corpus: 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Any accused person has the right to full disclosure of all State evidence, including exculpatory evidence, before trial. Willful withholding of exculpatory evidence is grounds for immediate dismissal of the case and may trigger Rule Violation proceedings under §2.7.</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may trigger Rule Violation proceedings under §2.7 against responsible officials.</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No official may authorize, direct, or participate in the concealment of government-caused or government-permitted environmental harm. Willful concealment triggers Rule Violation proceedings under §2.7.</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parliamentary act purporting to alter electoral schedules during a declared emergency is void and of no constitutional effect.</w:t>
      </w:r>
    </w:p>
    <w:p>
      <w:pPr>
        <w:pStyle w:val="Heading2"/>
      </w:pPr>
      <w:r>
        <w:t xml:space="preserve">Section 1.26 — Associated Community Residents</w:t>
      </w:r>
    </w:p>
    <w:p>
      <w:pPr>
        <w:spacing w:after="60" w:before="60"/>
        <w:ind w:left="720" w:hanging="360"/>
      </w:pPr>
      <w:r>
        <w:rPr>
          <w:rFonts w:ascii="Arial" w:cs="Arial" w:eastAsia="Arial" w:hAnsi="Arial"/>
          <w:b/>
          <w:bCs/>
          <w:color w:val="4A6FA5"/>
          <w:sz w:val="22"/>
          <w:szCs w:val="22"/>
        </w:rPr>
        <w:t xml:space="preserve">1.26 Associated Community Residents: </w:t>
      </w:r>
      <w:r>
        <w:rPr>
          <w:rFonts w:ascii="Arial" w:cs="Arial" w:eastAsia="Arial" w:hAnsi="Arial"/>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Style w:val="Heading2"/>
      </w:pPr>
      <w:r>
        <w:t xml:space="preserve">Section 1.27 — Non-Refoulement</w:t>
      </w:r>
    </w:p>
    <w:p>
      <w:r>
        <w:rPr>
          <w:rFonts w:ascii="Arial" w:hAnsi="Arial"/>
          <w:b/>
          <w:sz w:val="22"/>
        </w:rPr>
        <w:t xml:space="preserve">1.27 Non-Refoulement: </w:t>
      </w:r>
      <w:r>
        <w:rPr>
          <w:rFonts w:ascii="Arial" w:hAnsi="Arial"/>
          <w:sz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The President may respond immediately to an active, imminent, or ongoing attack on Republic territory, Republic citizens abroad, or treaty allies without prior parliamentary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Legislative Declaration of Defense: </w:t>
      </w:r>
      <w:r>
        <w:rPr>
          <w:rFonts w:ascii="Arial" w:cs="Arial" w:eastAsia="Arial" w:hAnsi="Arial"/>
          <w:color w:val="000000"/>
          <w:sz w:val="22"/>
          <w:szCs w:val="22"/>
        </w:rPr>
        <w:t>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Any order for domestic surveillance or intelligence activity directed at Republic citizens is a Rule Violation against the President and the Director of Intelligence, triggering immediate suspension and a Senate trial within 72 hours under §2.7.</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The House selects the Prime Minister by absolute majority — meaning a majority of the full seated membership, not merely those present or voting; this definition applies throughout this Article. Failure to seat a PM within a period the Legislature defines by statute — not to exceed 60 days — results in dissolution of the entire House. the Legislature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the Legislature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Where a second consecutive dissolution occurs — a newly elected House also failing to seat a PM within the statutory window — the Legislature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the Legislature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The Prime Minister holds two objection powers over enacted legislation. Both are suspensive — the Legislature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The suspensive veto provides a deliberation interval and forces the Legislature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Legislative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2.6 — Succession</w:t>
      </w:r>
    </w:p>
    <w:p>
      <w:pPr>
        <w:spacing w:after="60" w:before="60"/>
        <w:ind w:left="720" w:hanging="360"/>
      </w:pPr>
      <w:r>
        <w:rPr>
          <w:rFonts w:ascii="Arial" w:cs="Arial" w:eastAsia="Arial" w:hAnsi="Arial"/>
          <w:b/>
          <w:bCs/>
          <w:color w:val="4A6FA5"/>
          <w:sz w:val="22"/>
          <w:szCs w:val="22"/>
        </w:rPr>
        <w:t xml:space="preserve">2.6.a Presidential Succession Line: </w:t>
      </w:r>
      <w:r>
        <w:rPr>
          <w:rFonts w:ascii="Arial" w:cs="Arial" w:eastAsia="Arial" w:hAnsi="Arial"/>
          <w:color w:val="000000"/>
          <w:sz w:val="22"/>
          <w:szCs w:val="22"/>
        </w:rPr>
        <w:t>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2.6.b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2.6.c Succession-Based Presidential Term: </w:t>
      </w:r>
      <w:r>
        <w:rPr>
          <w:rFonts w:ascii="Arial" w:cs="Arial" w:eastAsia="Arial" w:hAnsi="Arial"/>
          <w:color w:val="000000"/>
          <w:sz w:val="22"/>
          <w:szCs w:val="22"/>
        </w:rPr>
        <w:t>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Any provision of this Constitution that characterizes an action or omission as subject to Rule Violation proceedings invokes this Section automatically. Cross-references to §2.7 elsewhere in this Constitution are declaratory only. Inspectorate findings do not constitute Rule Violation determinations — only courts may make that legal conclusion. Inspectorate findings are facts that the Legislature, courts, or the People may act upon.</w:t>
      </w:r>
    </w:p>
    <w:p>
      <w:pPr>
        <w:spacing w:after="60" w:before="60"/>
        <w:ind w:left="720" w:hanging="360"/>
      </w:pPr>
      <w:r>
        <w:rPr>
          <w:rFonts w:ascii="Arial" w:cs="Arial" w:eastAsia="Arial" w:hAnsi="Arial"/>
          <w:b/>
          <w:bCs/>
          <w:color w:val="4A6FA5"/>
          <w:sz w:val="22"/>
          <w:szCs w:val="22"/>
        </w:rPr>
        <w:t xml:space="preserve">2.7.a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2.7.b Suspension Deferred During Active Military Operations: </w:t>
      </w:r>
      <w:r>
        <w:rPr>
          <w:rFonts w:ascii="Arial" w:cs="Arial" w:eastAsia="Arial" w:hAnsi="Arial"/>
          <w:color w:val="000000"/>
          <w:sz w:val="22"/>
          <w:szCs w:val="22"/>
        </w:rPr>
        <w:t>Where the official subject to a Rule Violation finding is the President and active Tier 1, Tier 2, or Tier 3 military operations are underway when the finding, the immediate suspension of §2.7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§2.7.b applies only where the constitutional violation is classified as major under §2.7.c — a minor violation under §2.7.c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2.7.c Minor Violations — Corrective Order Track: </w:t>
      </w:r>
      <w:r>
        <w:rPr>
          <w:rFonts w:ascii="Arial" w:cs="Arial" w:eastAsia="Arial" w:hAnsi="Arial"/>
          <w:color w:val="000000"/>
          <w:sz w:val="22"/>
          <w:szCs w:val="22"/>
        </w:rPr>
        <w:t>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the Legislature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2.7.d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§2.7.c.</w:t>
      </w:r>
    </w:p>
    <w:p>
      <w:pPr>
        <w:spacing w:after="60" w:before="60"/>
      </w:pPr>
      <w:r>
        <w:rPr>
          <w:b/>
        </w:rPr>
        <w:t xml:space="preserve">2.7.e Legislative Members — Modified Consequences: </w:t>
      </w:r>
      <w:r>
        <w:t xml:space="preserve">Where a Supreme Court Rule Violation finding is issued against a sitting member of the House or Senate, the automatic consequences of §2.7 apply with the following modifications: the member is immediately suspended from voting and committee participation (not removed from office); access to classified information and restricted government systems is revoked; and the finding is automatically referred to the relevant chamber's ethics committee, which must commence §3.6 expulsion proceedings within 30 days of the finding. The chamber retains the expulsion decision under §3.6's threshold requirements, but may not decline to commence proceedings following a Rule Violation referral. The Senate trial provision of §2.7 does not apply to legislative members — the §3.6 expulsion process is the exclusive parliamentary accountability track for members following a Rule Violation finding.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Expedited Activation — Catastrophic Attack: 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Section 2.9 — Clemency Limits and Legislative Amnesty</w:t>
      </w:r>
    </w:p>
    <w:p>
      <w:pPr>
        <w:spacing w:after="60" w:before="60"/>
        <w:ind w:left="720" w:hanging="360"/>
      </w:pPr>
      <w:r>
        <w:rPr>
          <w:rFonts w:ascii="Arial" w:cs="Arial" w:eastAsia="Arial" w:hAnsi="Arial"/>
          <w:b/>
          <w:bCs/>
          <w:color w:val="4A6FA5"/>
          <w:sz w:val="22"/>
          <w:szCs w:val="22"/>
        </w:rPr>
        <w:t xml:space="preserve">2.9.a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2.9.b Legislative Amnesty: </w:t>
      </w:r>
      <w:r>
        <w:rPr>
          <w:rFonts w:ascii="Arial" w:cs="Arial" w:eastAsia="Arial" w:hAnsi="Arial"/>
          <w:color w:val="000000"/>
          <w:sz w:val="22"/>
          <w:szCs w:val="22"/>
        </w:rPr>
        <w:t>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Rule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2.9.c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pStyle w:val="Heading2"/>
      </w:pPr>
      <w:r>
        <w:rPr>
          <w:b/>
        </w:rPr>
        <w:t>Section 2.10 — Presidential Removal by the Legislature and Popular Vote</w:t>
      </w:r>
    </w:p>
    <w:p>
      <w:pPr>
        <w:spacing w:after="60" w:before="60"/>
      </w:pPr>
      <w:r>
        <w:t xml:space="preserve">The President may be removed through two political tracks independent of the §2.7 Rule Violation accountability process. These tracks address situations where the President has not committed a technical constitutional violation but has lost the democratic confidence of the parliament or the citizenry. Both tracks require either cross-institutional consensus or direct citizen participation — they cannot be used as routine political weapons by a simple majority.</w:t>
      </w:r>
    </w:p>
    <w:p>
      <w:pPr>
        <w:spacing w:after="60" w:before="60"/>
      </w:pPr>
      <w:r>
        <w:rPr>
          <w:b/>
        </w:rPr>
        <w:t xml:space="preserve">2.10.a Path 1 — Legislative Removal: </w:t>
      </w:r>
      <w:r>
        <w:t xml:space="preserve">The House may initiate presidential removal by a vote of 2/3 of its full membership. If the House initiates, the Senate conducts a trial and may remove the President by a vote of 2/3 of its full membership. Both thresholds are of full seated membership, not merely those present on the day of the vote. This track is independent of and parallel to the §2.7 Rule Violation track and the §3.5 impeachment track. Unlike §3.5 impeachment, which requires only a simple House majority to initiate, this track requires a 2/3 House majority at initiation — a higher threshold reflecting the President's direct electoral mandate.</w:t>
      </w:r>
    </w:p>
    <w:p>
      <w:pPr>
        <w:spacing w:after="60" w:before="60"/>
      </w:pPr>
      <w:r>
        <w:rPr>
          <w:b/>
        </w:rPr>
        <w:t xml:space="preserve">2.10.b Path 2 — Senate Referral to Popular Recall: </w:t>
      </w:r>
      <w:r>
        <w:t>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the presidential succession role under §2.6.a from the date the Senate votes to refer until the referendum result is certified. If the referendum fails, the President resumes full authority immediately upon certification.</w:t>
      </w:r>
    </w:p>
    <w:p>
      <w:pPr>
        <w:spacing w:after="60" w:before="60"/>
      </w:pPr>
      <w:r>
        <w:rPr>
          <w:b/>
        </w:rPr>
        <w:t xml:space="preserve">2.10.c One Referral Per Term: </w:t>
      </w:r>
      <w:r>
        <w:t xml:space="preserve">No second Senate referral to popular recall vote may be initiated against a President within the remainder of their current term following a referral under §2.10.b, regardless of the outcome of the first referendum. This restriction does not apply to the parliamentary removal track under §2.10.a, which operates independently and without term-based limitations on initiation.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ARTICLE III — THE LEGISLATURE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The House must publish every bill in full on the National Record System for a minimum period the Legislature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The Senate must take up every House-passed bill within a period the Legislature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0" w:before="120"/>
      </w:pPr>
      <w:r>
        <w:t xml:space="preserve"/>
      </w:r>
    </w:p>
    <w:p>
      <w:pPr>
        <w:spacing w:after="60" w:before="60"/>
      </w:pPr>
      <w:r>
        <w:rPr>
          <w:b/>
        </w:rPr>
        <w:t xml:space="preserve">3.2.h Senate Speaker Vacancy: </w:t>
      </w:r>
      <w: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Legislative Mandate Enforcement: </w:t>
      </w:r>
      <w:r>
        <w:rPr>
          <w:rFonts w:ascii="Arial" w:cs="Arial" w:eastAsia="Arial" w:hAnsi="Arial"/>
          <w:color w:val="000000"/>
          <w:sz w:val="22"/>
          <w:szCs w:val="22"/>
        </w:rPr>
        <w:t>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Districts are redrawn on the census cycle the Legislature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§2.7.</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A valid district map remains in effect until the next census cycle. the Legislature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t xml:space="preserve">This section governs the political impeachment track — initiated by the House and distinct from the automatic Rule Violation consequences of §2.7. This section applies exclusively to executive and judicial officers of the Republic. Legislative members of the House and Senate are not subject to this section — their removal is governed exclusively by §3.6 as the specific provision for legislative self-governance, and by §2.7.e where a Rule Violation finding applies. This clarification resolves any ambiguity arising from the phrase "elected or appointed federal official" — for purposes of this section, that phrase refers to officers of the executive and judicial branches only.</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§2.7 following a Supreme Court Rule Violation finding, not upon House passage of Articles alone. Where §2.7 suspension is simultaneously in effect, the §2.7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b/>
        </w:rPr>
        <w:t xml:space="preserve">3.6.e Recall Mechanisms — States and Territories: </w:t>
      </w:r>
      <w: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pPr>
      <w:r>
        <w:rPr>
          <w:b/>
        </w:rPr>
        <w:t xml:space="preserve">3.6.f Vacancy Filling — States and Territories: </w:t>
      </w:r>
      <w:r>
        <w:t>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b/>
        </w:rPr>
        <w:t xml:space="preserve">4.1.b Appointment of Inferior Court Judges: </w:t>
      </w:r>
      <w:r>
        <w:t>The PM nominates lower court judges within 90 days of any vacancy; the House confirms by a supermajority the Legislature defines by statute within a Parliament-defined period; the Supreme Court commissions all confirmed judges. If the House fails to vote on any nomination within the Parliament-defined confirmation period, the nominee is Deemed Confirmed and the Supreme Court commissions them immediately. If the PM fails to nominate within 90 days of a vacancy, the Supreme Court nominates directly from the Qualified Jurist Registry; that nomination proceeds to House confirmation on the same supermajority standard and Deemed Confirmed timeline.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w:t>
      </w:r>
    </w:p>
    <w:p>
      <w:pPr>
        <w:spacing w:after="60" w:before="60"/>
        <w:ind w:left="720" w:hanging="360"/>
      </w:pPr>
      <w:r>
        <w:rPr>
          <w:b/>
        </w:rPr>
        <w:t xml:space="preserve">4.1.c Removal of Inferior Court Judges — Three Tracks: </w:t>
      </w:r>
      <w:r>
        <w:t>Inferior court judges may be removed through three independent tracks. Track 1 — Rule Violation (§2.7): A Supreme Court finding of a constitutional violation triggers automatic suspension, access revocation, and Senate trial on the standard §2.7 track. Track 2 — Judicial Initiation: Requires a 2/3 petition from the Supreme Court, followed by a supermajority conviction vote in the Legislature that the Legislature defines by statute. The Supreme Court petition is a constitutional prerequisite — the Legislature may not proceed to the conviction vote without it, and neither executive may initiate removal without the Supreme Court's formal petition. Track 3 — Political Removal: Mirrors the presidential and Supreme Court political removal architecture: 2/3 of the full House membership to initiate, plus 2/3 of the full Senate membership to convict and remove; OR a simple majority of the full Senate membership to refer the question to a national recall referendum, with removal requiring a majority of eligible voters and one referral permitted per judicial term. This section is the exclusive removal mechanism for inferior court judges. The general impeachment track of §3.5 does not apply to inferior court judges. All removal proceedings and their outcomes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pStyle w:val="Heading2"/>
        <w:spacing w:after="80" w:before="200"/>
      </w:pPr>
      <w:r>
        <w:t xml:space="preserve">The Triad: Each open Supreme Court seat is filled through a three-party nomination process. The three Triad nominators are the Senate, the Prime Minister, and the President, each submitting one candidate per vacancy from the Qualified Jurist Registry maintained by the Judicial Inspectorate. All three nominations must be submitted before the citizen election proceeds. This three-party structure — Senate, PM, and President — is referred to as the Triad throughout this Constitution. The Senate replaces the House as a Triad nominator because the Senate's closer institutional relationship with the President — through treaty ratification, judicial confirmations, and Rule Violation trials — produces genuinely distinct institutional perspective from both the PM and the President, while the House's nomination would effectively double the PM's voice given the PM's confidence relationship with the House.</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b/>
        </w:rPr>
        <w:t xml:space="preserve">4.2.a Triad Nomination: </w:t>
      </w:r>
      <w:r>
        <w:t xml:space="preserve">The Senate, the PM, and the President each nominate one candidate per open seat from the Qualified Jurist Registry. The Judicial Inspectorate maintains the Registry and certifies that each nominee meets the eligibility criteria of §4.2.b before the public election proceeds. All three nominations must be submitted and certified before any public election is scheduled. A Triad nominator who fails to submit a nomination within the Parliament-defined statutory period commits a constitutional dereliction, published to the National Record System; the remaining two nominees proceed to the public election without the missing nomination. No separate Senate eligibility confirmation vote is required — the Judicial Inspectorate's Registry certification is the sole eligibility filter. The Electoral Commission administers all elections including those for Supreme Court seats and may not exclude any Triad-nominated and Registry-certified candidate from the ballot.</w:t>
      </w:r>
    </w:p>
    <w:p>
      <w:pPr>
        <w:spacing w:after="60" w:before="60"/>
        <w:ind w:left="720" w:hanging="360"/>
      </w:pPr>
      <w:r>
        <w:rPr>
          <w:b/>
        </w:rPr>
        <w:t xml:space="preserve">4.2.b Mid-Term Vacancy Process: </w:t>
      </w:r>
      <w:r>
        <w:t xml:space="preserve">Where a Supreme Court seat becomes vacant mid-term through death, resignation, removal, or expulsion, a special election is held within 90 days. The President and PM each nominate one candidate from the Qualified Jurist Registry within a Parliament-defined period. The Senate has 90 days from the date of vacancy to nominate a third candidate from the Registry. If the Senate nominates within 90 days, all three candidates proceed to the public special election. If the Senate fails to nominate within 90 days, the President's and PM's two nominees proceed to a head-to-head public special election without a Senate nominee — the Senate's failure to nominate is published to the National Record System and is the Senate's constitutional consequence. The replacement justice serves only the remainder of the original term, not a new 12-year term. All other Triad nomination and Registry certification requirements of §4.2.a apply to mid-term vacancies.</w:t>
      </w:r>
    </w:p>
    <w:p>
      <w:pPr>
        <w:spacing w:after="60" w:before="60"/>
        <w:ind w:left="720" w:hanging="360"/>
      </w:pPr>
      <w:r>
        <w:rPr>
          <w:b/>
        </w:rPr>
        <w:t xml:space="preserve">4.2.c Judicial Inspectorate Vetting: </w:t>
      </w:r>
      <w:r>
        <w:t>Before any Triad nomination may proceed to the public election, the Judicial Inspectorate vets each nominee against the Qualified Jurist Registry criteria. The nominee's Registry registration record — submitted at the time of Registry admission — serves as the disclosure record for vetting purposes. The JI does not generate a new independent assessment; it confirms that the nominee remains in the Registry, that no disqualifying change in circumstances has occurred since Registry admission, and that the specific eligibility criteria continue to be met. A nominee who fails vetting may not proceed to the public election. The nominating Triad member whose nominee fails vetting must submit a replacement nominee within a Parliament-defined statutory period. Any nominee may petition the Supreme Court within 14 days of a vetting determination to challenge it on technical grounds; the nominee continues to be listed as pending during the review period. All vetting determinations are published to the National Record System.</w:t>
      </w:r>
    </w:p>
    <w:p>
      <w:pPr>
        <w:spacing w:after="60" w:before="60"/>
        <w:ind w:left="720" w:hanging="360"/>
      </w:pPr>
      <w:r>
        <w:rPr>
          <w:b/>
        </w:rPr>
        <w:t xml:space="preserve">4.2.d Public Election: </w:t>
      </w:r>
      <w:r>
        <w:t xml:space="preserve">Following Judicial Inspectorate vetting, all certified nominees are placed on the ballot for a national direct election by Ranked Choice Voting on the next National Election Day, or by special election within 90 days for mid-term vacancies under §4.2.b. The winner is the nominee who achieves a national RCV majority. The Electoral Commission administers the election and certifies the result to the National Record System. No institution may remove a certified nominee from the ballot after JI vetting is complete. The elected justice takes office upon taking the Official Oath, which is recorded on the National Record System within 24 hours of administration.</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be staggered: at least two justices from the prior two-year rotation must be retained in the following rotation cycle. Full simultaneous replacement of all four panel members is prohibited. Staggering preserves institutional continuity of the Panel's understanding of active cohabitation dispute patterns. Staggered rotation requires that the two retained justices have served at least 18 months of prior Panel service. Panel membership rotates with a maximum of two new members per cycle regardless of retirement or term expiration of incumbent members, ensuring institutional knowledge is preserved across the full cohabitation dispute landscape.</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the Legislature may not alter this rule in any way that restricts the Court's ability to issue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Legislative Implementation Mandates: </w:t>
      </w:r>
      <w:r>
        <w:rPr>
          <w:rFonts w:ascii="Arial" w:cs="Arial" w:eastAsia="Arial" w:hAnsi="Arial"/>
          <w:color w:val="000000"/>
          <w:sz w:val="22"/>
          <w:szCs w:val="22"/>
        </w:rPr>
        <w:t>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Style w:val="Heading2"/>
        <w:spacing w:after="80" w:before="200"/>
      </w:pPr>
      <w:r>
        <w:rPr>
          <w:rFonts w:ascii="Arial" w:cs="Arial" w:eastAsia="Arial" w:hAnsi="Arial"/>
          <w:b/>
          <w:bCs/>
          <w:color w:val="4A6FA5"/>
          <w:sz w:val="24"/>
          <w:szCs w:val="24"/>
        </w:rPr>
        <w:t xml:space="preserve">Section 5.3 — Custodial Care of Citizen Children</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The Constitutional Logic Test is administered by a CLT Administrator nominated by the Prime Minister from a Candidate Register maintained under the same mechanism as §10.4.a —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Parliament-defined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CLT Administrator requires a 2/3 vote of both chambers simultaneously and a documented finding of dereliction by the Executive Inspectorate published to the National Record System before the parliamentary vote may proceed. 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§2.7.</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the Legislature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6.3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6.3.a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6.3.b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r>
        <w:rPr>
          <w:rFonts w:ascii="Arial" w:hAnsi="Arial"/>
          <w:b/>
          <w:sz w:val="22"/>
        </w:rPr>
        <w:t>Section 6.4 — Asylum and Protection</w:t>
      </w:r>
    </w:p>
    <w:p/>
    <w:p>
      <w:r>
        <w:rPr>
          <w:rFonts w:ascii="Arial" w:hAnsi="Arial"/>
          <w:b/>
          <w:sz w:val="22"/>
        </w:rPr>
        <w:t xml:space="preserve">6.4.a Asylum Seekers as Inhabitants: </w:t>
      </w:r>
      <w:r>
        <w:rPr>
          <w:rFonts w:ascii="Arial" w:hAnsi="Arial"/>
          <w:sz w:val="22"/>
        </w:rPr>
        <w:t>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r>
        <w:rPr>
          <w:rFonts w:ascii="Arial" w:hAnsi="Arial"/>
          <w:b/>
          <w:sz w:val="22"/>
        </w:rPr>
        <w:t xml:space="preserve">6.4.b Right to Determination and Protection During Proceedings: </w:t>
      </w:r>
      <w:r>
        <w:rPr>
          <w:rFonts w:ascii="Arial" w:hAnsi="Arial"/>
          <w:sz w:val="22"/>
        </w:rPr>
        <w:t>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r>
        <w:rPr>
          <w:rFonts w:ascii="Arial" w:hAnsi="Arial"/>
          <w:b/>
          <w:sz w:val="22"/>
        </w:rPr>
        <w:t xml:space="preserve">6.4.c Asylum Court: </w:t>
      </w:r>
      <w:r>
        <w:rPr>
          <w:rFonts w:ascii="Arial" w:hAnsi="Arial"/>
          <w:sz w:val="22"/>
        </w:rPr>
        <w:t>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Rule Violation for the presiding officers of both chambers; federal courts have direct jurisdiction over asylum claims until the Legislature acts.</w:t>
      </w:r>
    </w:p>
    <w:p>
      <w:r>
        <w:rPr>
          <w:rFonts w:ascii="Arial" w:hAnsi="Arial"/>
          <w:b/>
          <w:sz w:val="22"/>
        </w:rPr>
        <w:t xml:space="preserve">6.4.d Non-Penalization for Irregular Entry: </w:t>
      </w:r>
      <w:r>
        <w:rPr>
          <w:rFonts w:ascii="Arial" w:hAnsi="Arial"/>
          <w:sz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r>
        <w:rPr>
          <w:rFonts w:ascii="Arial" w:hAnsi="Arial"/>
          <w:b/>
          <w:sz w:val="22"/>
        </w:rPr>
        <w:t xml:space="preserve">6.4.e Unexecutable Removal Orders: </w:t>
      </w:r>
      <w:r>
        <w:rPr>
          <w:rFonts w:ascii="Arial" w:hAnsi="Arial"/>
          <w:sz w:val="22"/>
        </w:rPr>
        <w:t>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Rule Violation for the presiding officers of both chambers.</w:t>
      </w:r>
    </w:p>
    <w:p>
      <w:r>
        <w:rPr>
          <w:rFonts w:ascii="Arial" w:hAnsi="Arial"/>
          <w:b/>
          <w:sz w:val="22"/>
        </w:rPr>
        <w:t xml:space="preserve">6.4.f Security and Criminal Protection Cases: </w:t>
      </w:r>
      <w:r>
        <w:rPr>
          <w:rFonts w:ascii="Arial" w:hAnsi="Arial"/>
          <w:sz w:val="22"/>
        </w:rPr>
        <w:t>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r>
        <w:rPr>
          <w:rFonts w:ascii="Arial" w:hAnsi="Arial"/>
          <w:b/>
          <w:sz w:val="22"/>
        </w:rPr>
        <w:t xml:space="preserve">6.4.g Territory Accessibility: </w:t>
      </w:r>
      <w:r>
        <w:rPr>
          <w:rFonts w:ascii="Arial" w:hAnsi="Arial"/>
          <w:sz w:val="22"/>
        </w:rPr>
        <w:t>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r>
        <w:t xml:space="preserve">6.4.h Unaccompanied Minors: 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ind w:left="720" w:hanging="360"/>
      </w:pPr>
      <w:r>
        <w:t>7.2.e Election Certification: 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ind w:left="720" w:hanging="360"/>
      </w:pPr>
      <w:r>
        <w:t xml:space="preserve">7.2.f Run-off: 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§2.7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before the Senate confirmation vote.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Parliament-defined period. Both records remain permanently on the NRS. Any citizen who identifies a discrepancy may petition their elected representative.</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Maintained by the outgoing Judicial IG. A candidate seeking Registry inclusion must submit a registration record to the Judicial Inspectorate. The record must include professional background, credentials in constitutional law, financial disclosures, and the candidate's complete prior government position history. The JI reviews the submitted record for factual accuracy, applies the Registry criteria — knowledge of constitutional law, no government position in the prior 10 years, no financial conflicts of interest, no prior disqualifying conduct — and publishes the record together with its recommendation to the National Record System. These criteria are fixed and may only be altered by constitutional amendment. The existing appeals process under §8.9.d applies to any Registry exclusion determination. Any citizen who identifies a discrepancy in a published registration record may petition their elected representative.</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the Legislature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An Inspectorate Report is a documented statement of observed fact. What the Legislature, the courts, or the People do with that information is their constitutional prerogative. Where a Report's findings may be relevant to potential Rule Violation proceedings, the Report states that the Legislature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ind w:left="720" w:hanging="360"/>
      </w:pPr>
      <w:r>
        <w:rPr>
          <w:b/>
        </w:rPr>
        <w:t xml:space="preserve">8.6.g Citizen Discrepancy Petition: </w:t>
      </w:r>
      <w: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A joint Inspectorate Oversight Committee of the Legislature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commits a Rule Violation of the same kind as a confirmed Director, subject to the same constitutional accountability framework.</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Rule Violation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ind w:left="720" w:hanging="360"/>
      </w:pPr>
      <w:r>
        <w:rPr>
          <w:rFonts w:ascii="Arial" w:cs="Arial" w:eastAsia="Arial" w:hAnsi="Arial"/>
          <w:b/>
          <w:bCs/>
          <w:color w:val="4A6FA5"/>
          <w:sz w:val="22"/>
          <w:szCs w:val="22"/>
        </w:rPr>
        <w:t xml:space="preserve">9.1.g NRS Self-Authentication: </w:t>
      </w:r>
      <w:r>
        <w:rPr>
          <w:rFonts w:ascii="Arial" w:cs="Arial" w:eastAsia="Arial" w:hAnsi="Arial"/>
          <w:color w:val="000000"/>
          <w:sz w:val="22"/>
          <w:szCs w:val="22"/>
        </w:rPr>
        <w:t>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Style w:val="Heading2"/>
      </w:pPr>
      <w:r>
        <w:t xml:space="preserve">Section 9.3 — RSA Director</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The RSA Director is nominated by the Prime Minister from a Candidate Register maintained under the same mechanism as §10.4.a —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Parliament-defined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parliamentary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spacing w:after="0" w:before="120"/>
      </w:pPr>
      <w:r>
        <w:t xml:space="preserve"/>
      </w:r>
    </w:p>
    <w:p>
      <w:pPr>
        <w:pStyle w:val="Heading2"/>
        <w:spacing w:after="80" w:before="200"/>
      </w:pPr>
      <w:r>
        <w:rPr>
          <w:rFonts w:ascii="Arial" w:cs="Arial" w:eastAsia="Arial" w:hAnsi="Arial"/>
          <w:b/>
          <w:bCs/>
          <w:color w:val="4A6FA5"/>
          <w:sz w:val="24"/>
          <w:szCs w:val="24"/>
        </w:rPr>
        <w:t>Section 9.4 — Emergency Mode</w:t>
      </w:r>
    </w:p>
    <w:p>
      <w:pPr>
        <w:spacing w:after="60" w:before="60"/>
      </w:pPr>
      <w:r>
        <w:rPr>
          <w:rFonts w:ascii="Arial" w:cs="Arial" w:eastAsia="Arial" w:hAnsi="Arial"/>
          <w:color w:val="000000"/>
          <w:sz w:val="22"/>
          <w:szCs w:val="22"/>
        </w:rPr>
        <w:t>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commits a Rule Violation regardless of whether the underlying classification is otherwise valid.</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the Legislature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pPr>
      <w:r>
        <w:rPr>
          <w:rFonts w:ascii="Arial" w:cs="Arial" w:eastAsia="Arial" w:hAnsi="Arial"/>
          <w:color w:val="000000"/>
          <w:sz w:val="22"/>
          <w:szCs w:val="22"/>
        </w:rPr>
        <w:t>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dissolution or emergency, with a maximum toll of 90 days. If the Legislature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Legislative Review: </w:t>
      </w:r>
      <w:r>
        <w:rPr>
          <w:rFonts w:ascii="Arial" w:cs="Arial" w:eastAsia="Arial" w:hAnsi="Arial"/>
          <w:color w:val="000000"/>
          <w:sz w:val="22"/>
          <w:szCs w:val="22"/>
        </w:rPr>
        <w:t>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ind w:left="720" w:hanging="360"/>
      </w:pPr>
      <w:r>
        <w:rPr>
          <w:rFonts w:ascii="Arial" w:cs="Arial" w:eastAsia="Arial" w:hAnsi="Arial"/>
          <w:b/>
          <w:bCs/>
          <w:color w:val="4A6FA5"/>
          <w:sz w:val="22"/>
          <w:szCs w:val="22"/>
        </w:rPr>
        <w:t xml:space="preserve">10.1.g Federal Supplementation Obligation: </w:t>
      </w:r>
      <w:r>
        <w:rPr>
          <w:rFonts w:ascii="Arial" w:cs="Arial" w:eastAsia="Arial" w:hAnsi="Arial"/>
          <w:color w:val="000000"/>
          <w:sz w:val="22"/>
          <w:szCs w:val="22"/>
        </w:rPr>
        <w:t>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b/>
        </w:rPr>
        <w:t xml:space="preserve">10.4.a Director Election and Board Composition: </w:t>
      </w:r>
      <w:r>
        <w:t>The Monetary Authority is governed by a Director and a board of five members. The Director is elected by national Ranked Choice Voting on National Election Day to a single non-renewable 7-year term, staggered from the board member appointment cycle. Board members are nominated by the PM from a Candidate Register maintained under the same mechanism as §10.4.a —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Parliament-defined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under the same escalation framework as §10.4.a's prior acting officer provisions. Removal of a confirmed board member requires a 2/3 vote of both chambers simultaneously and a documented finding of dereliction by the Executive Inspectorate. 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 Upon any mid-term vacancy in a board member role, the PM nominates a replacement within 60 days and the acting officer escalation framework applies.</w:t>
      </w:r>
    </w:p>
    <w:p>
      <w:pPr>
        <w:spacing w:after="60" w:before="60"/>
        <w:ind w:left="720" w:hanging="360"/>
      </w:pPr>
      <w:r>
        <w:rPr>
          <w:b/>
        </w:rPr>
        <w:t xml:space="preserve">10.4.b Independence: </w:t>
      </w:r>
      <w:r>
        <w:t>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commits a Rule Violation.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t>10.5.b Financial Disclosure: 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a Rule Violation. the Legislature defines by statute the specific content requirements, the de minimis thresholds, and the verification process, consistent with this section.</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Officials are subject to a post-service lobbying ban of not less than five years, as the Legislature may extend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A referendum requires 50% participation to be valid. A simple majority affirmative vote overturns the law. A referendum result is final — the Legislature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All military operations are authorized under one of three tiers as defined in §2.1.a through §2.1.c. This section governs the Legislative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Legislative Declaration of Defense: </w:t>
      </w:r>
      <w:r>
        <w:rPr>
          <w:rFonts w:ascii="Arial" w:cs="Arial" w:eastAsia="Arial" w:hAnsi="Arial"/>
          <w:color w:val="000000"/>
          <w:sz w:val="22"/>
          <w:szCs w:val="22"/>
        </w:rPr>
        <w:t>A Legislative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A Legislative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A new Legislative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the Legislature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§2.6.a, the Senate Armed Services Committee may review but may not unilaterally pause, modify, or terminate ongoing operations already authorized by a Legislative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Where the presidential succession line under §2.6.a is fully exhausted and no living constitutional officer has presidential authority, the Chairman of the Joint Chiefs of Staff is constitutionally authorized to continue military operations already underway at the precise moment the succession vacuum begins, and to issue orders strictly necessary to protect Republic forces from active, immediate attack — meaning return fire and immediate defensive maneuvering only. The Chairman may not initiate, reposition, or escalate beyond ongoing operations. All orders issued under this provision are published to the National Record System within one hour of issuance and are subject to immediate Supreme Court review on petition. This authority terminates after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§2.6.a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All domestic intelligence operations against Republic citizens are permanently prohibited. Any such order may trigger Rule Violation proceedings against the President and Director of Intelligence under §2.8, triggering immediate suspension and a Senate trial within a period the Legislature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the Legislature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the Legislature votes on ratification so the Legislature acts with full public information.</w:t>
      </w:r>
    </w:p>
    <w:p>
      <w:pPr>
        <w:spacing w:after="60" w:before="60"/>
        <w:ind w:left="720" w:hanging="360"/>
      </w:pPr>
      <w:r>
        <w:rPr>
          <w:rFonts w:ascii="Arial" w:cs="Arial" w:eastAsia="Arial" w:hAnsi="Arial"/>
          <w:b/>
          <w:bCs/>
          <w:color w:val="4A6FA5"/>
          <w:sz w:val="22"/>
          <w:szCs w:val="22"/>
        </w:rPr>
        <w:t xml:space="preserve">12.5.b Legislative Ratification: </w:t>
      </w:r>
      <w:r>
        <w:rPr>
          <w:rFonts w:ascii="Arial" w:cs="Arial" w:eastAsia="Arial" w:hAnsi="Arial"/>
          <w:color w:val="000000"/>
          <w:sz w:val="22"/>
          <w:szCs w:val="22"/>
        </w:rPr>
        <w:t>the Legislature must ratify the Treaty Emergency Certification by a simple majority of both chambers within a period the Legislature defines by statute, or the Certification expires. the Legislature may not schedule a ratification vote until the LI/EI joint review under §12.5.a has been published, or until the statutory waiting period has elapsed without publication. the Legislature may ratify before the review is published by an elevated majority the Legislature defines by statute, acknowledging it acts without the advisory review. Ratification of the Certification does not constitute a Legislative Declaration of Defense under §2.1.c; a separate Declaration is required if operations extend beyond 30 days. the Legislature must by statute establish the waiting period before ratification, the elevated majority for early ratification, and the content requirements for the ratification resolution.</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ind w:left="720" w:hanging="360"/>
      </w:pPr>
      <w:r>
        <w:rPr>
          <w:rFonts w:ascii="Arial" w:cs="Arial" w:eastAsia="Arial" w:hAnsi="Arial"/>
          <w:b/>
          <w:bCs/>
          <w:color w:val="4A6FA5"/>
          <w:sz w:val="22"/>
          <w:szCs w:val="22"/>
        </w:rPr>
        <w:t xml:space="preserve">13.2.b Legal Sync: </w:t>
      </w:r>
      <w:r>
        <w:rPr>
          <w:rFonts w:ascii="Arial" w:cs="Arial" w:eastAsia="Arial" w:hAnsi="Arial"/>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ind w:left="720" w:hanging="360"/>
      </w:pPr>
      <w:r>
        <w:rPr>
          <w:rFonts w:ascii="Arial" w:cs="Arial" w:eastAsia="Arial" w:hAnsi="Arial"/>
          <w:b/>
          <w:bCs/>
          <w:color w:val="4A6FA5"/>
          <w:sz w:val="22"/>
          <w:szCs w:val="22"/>
        </w:rPr>
        <w:t xml:space="preserve">13.2.c The Provisional Membership Period: </w:t>
      </w:r>
      <w:r>
        <w:rPr>
          <w:rFonts w:ascii="Arial" w:cs="Arial" w:eastAsia="Arial" w:hAnsi="Arial"/>
          <w:color w:val="000000"/>
          <w:sz w:val="22"/>
          <w:szCs w:val="22"/>
        </w:rPr>
        <w:t>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13.2.d Partial Territory Statehood: </w:t>
      </w:r>
      <w:r>
        <w:rPr>
          <w:rFonts w:ascii="Arial" w:cs="Arial" w:eastAsia="Arial" w:hAnsi="Arial"/>
          <w:color w:val="000000"/>
          <w:sz w:val="22"/>
          <w:szCs w:val="22"/>
        </w:rPr>
        <w:t>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ind w:left="720" w:hanging="360"/>
      </w:pPr>
      <w:r>
        <w:rPr>
          <w:rFonts w:ascii="Arial" w:cs="Arial" w:eastAsia="Arial" w:hAnsi="Arial"/>
          <w:b/>
          <w:bCs/>
          <w:color w:val="4A6FA5"/>
          <w:sz w:val="22"/>
          <w:szCs w:val="22"/>
        </w:rPr>
        <w:t xml:space="preserve">13.2.e Minimum Democratic Legitimacy: </w:t>
      </w:r>
      <w:r>
        <w:rPr>
          <w:rFonts w:ascii="Arial" w:cs="Arial" w:eastAsia="Arial" w:hAnsi="Arial"/>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ind w:left="720" w:hanging="360"/>
      </w:pPr>
      <w:r>
        <w:rPr>
          <w:rFonts w:ascii="Arial" w:cs="Arial" w:eastAsia="Arial" w:hAnsi="Arial"/>
          <w:b/>
          <w:bCs/>
          <w:color w:val="4A6FA5"/>
          <w:sz w:val="22"/>
          <w:szCs w:val="22"/>
        </w:rPr>
        <w:t xml:space="preserve">13.2.f Territorial Minimum Institutional Floor: </w:t>
      </w:r>
      <w:r>
        <w:rPr>
          <w:rFonts w:ascii="Arial" w:cs="Arial" w:eastAsia="Arial" w:hAnsi="Arial"/>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ind w:left="720" w:hanging="360"/>
      </w:pPr>
      <w:r>
        <w:rPr>
          <w:rFonts w:ascii="Arial" w:cs="Arial" w:eastAsia="Arial" w:hAnsi="Arial"/>
          <w:b/>
          <w:bCs/>
          <w:color w:val="4A6FA5"/>
          <w:sz w:val="22"/>
          <w:szCs w:val="22"/>
        </w:rPr>
        <w:t xml:space="preserve">13.2.g Conflict-Affected State Provisional Status: </w:t>
      </w:r>
      <w:r>
        <w:rPr>
          <w:rFonts w:ascii="Arial" w:cs="Arial" w:eastAsia="Arial" w:hAnsi="Arial"/>
          <w:color w:val="000000"/>
          <w:sz w:val="22"/>
          <w:szCs w:val="22"/>
        </w:rPr>
        <w:t>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 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 Provisional status certification requires a joint assessment by all three Inspectorates; no single Inspectorate's finding is sufficient to grant or deny provisional status. 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 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13.3.b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13.3.c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13.3.d Effect of Mandatory Devolution: </w:t>
      </w:r>
      <w:r>
        <w:rPr>
          <w:rFonts w:ascii="Arial" w:cs="Arial" w:eastAsia="Arial" w:hAnsi="Arial"/>
          <w:color w:val="000000"/>
          <w:sz w:val="22"/>
          <w:szCs w:val="22"/>
        </w:rPr>
        <w:t>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13.3.e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Style w:val="Heading2"/>
      </w:pPr>
      <w:r>
        <w:t xml:space="preserve">Section 13.5 — Associated Community Cross-Reference</w:t>
      </w:r>
    </w:p>
    <w:p>
      <w:pPr>
        <w:spacing w:after="60" w:before="60"/>
        <w:ind w:left="720" w:hanging="360"/>
      </w:pPr>
      <w:r>
        <w:rPr>
          <w:rFonts w:ascii="Arial" w:cs="Arial" w:eastAsia="Arial" w:hAnsi="Arial"/>
          <w:b/>
          <w:bCs/>
          <w:color w:val="4A6FA5"/>
          <w:sz w:val="22"/>
          <w:szCs w:val="22"/>
        </w:rPr>
        <w:t xml:space="preserve">13.5 Associated Community Relationships: </w:t>
      </w:r>
      <w:r>
        <w:rPr>
          <w:rFonts w:ascii="Arial" w:cs="Arial" w:eastAsia="Arial" w:hAnsi="Arial"/>
          <w:color w:val="000000"/>
          <w:sz w:val="22"/>
          <w:szCs w:val="22"/>
        </w:rPr>
        <w:t xml:space="preserve">Associated Community status — the constitutional framework governing compact relationships between the Republic and sovereign entities — is established in Article XX of this Constitution. §13.5 is reserved for the Article XX cross-reference. See Article XX for all provisions governing the establishment, terms, conditions, and termination of Associated Community compacts.</w:t>
      </w:r>
    </w:p>
    <w:p>
      <w:pPr>
        <w:pStyle w:val="Heading2"/>
      </w:pPr>
      <w:r>
        <w:t xml:space="preserve">Section 13.6 — Voluntary Incorporation</w:t>
      </w:r>
    </w:p>
    <w:p>
      <w:r>
        <w:rPr>
          <w:rFonts w:ascii="Arial" w:hAnsi="Arial"/>
          <w:b/>
          <w:sz w:val="22"/>
        </w:rPr>
        <w:t xml:space="preserve">13.6 Voluntary Incorporation: </w:t>
      </w:r>
      <w:r>
        <w:rPr>
          <w:rFonts w:ascii="Arial" w:hAnsi="Arial"/>
          <w:sz w:val="22"/>
        </w:rPr>
        <w:t>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w:t>
      </w:r>
    </w:p>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ind w:left="720" w:hanging="360"/>
      </w:pPr>
      <w:r>
        <w:rPr>
          <w:rFonts w:ascii="Arial" w:cs="Arial" w:eastAsia="Arial" w:hAnsi="Arial"/>
          <w:b/>
          <w:bCs/>
          <w:color w:val="4A6FA5"/>
          <w:sz w:val="22"/>
          <w:szCs w:val="22"/>
        </w:rPr>
        <w:t xml:space="preserve">14.5.d Associated Community Pathway for Recognised Sovereign Nations: </w:t>
      </w:r>
      <w:r>
        <w:rPr>
          <w:rFonts w:ascii="Arial" w:cs="Arial" w:eastAsia="Arial" w:hAnsi="Arial"/>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Legislative Path: </w:t>
      </w:r>
      <w:r>
        <w:rPr>
          <w:rFonts w:ascii="Arial" w:cs="Arial" w:eastAsia="Arial" w:hAnsi="Arial"/>
          <w:color w:val="000000"/>
          <w:sz w:val="22"/>
          <w:szCs w:val="22"/>
        </w:rPr>
        <w:t>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ind w:left="720" w:hanging="360"/>
      </w:pPr>
      <w:r>
        <w:t>15.1.b Legislative and Popular Path: 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ind w:left="720" w:hanging="360"/>
      </w:pPr>
      <w:r>
        <w:t xml:space="preserve">15.1.c Citizen-Led Path: 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ind w:left="720" w:hanging="360"/>
      </w:pPr>
      <w:r>
        <w:rPr>
          <w:rFonts w:ascii="Arial" w:cs="Arial" w:eastAsia="Arial" w:hAnsi="Arial"/>
          <w:b/>
          <w:bCs/>
          <w:color w:val="4A6FA5"/>
          <w:sz w:val="22"/>
          <w:szCs w:val="22"/>
        </w:rPr>
        <w:t xml:space="preserve">15.5.e Simultaneous Independence Sequencing: </w:t>
      </w:r>
      <w:r>
        <w:rPr>
          <w:rFonts w:ascii="Arial" w:cs="Arial" w:eastAsia="Arial" w:hAnsi="Arial"/>
          <w:color w:val="000000"/>
          <w:sz w:val="22"/>
          <w:szCs w:val="22"/>
        </w:rPr>
        <w:t>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spacing w:after="0" w:before="120"/>
      </w:pPr>
      <w:r>
        <w:t xml:space="preserve"/>
      </w:r>
    </w:p>
    <w:p>
      <w:pPr>
        <w:pStyle w:val="Heading2"/>
      </w:pPr>
      <w:r>
        <w:t xml:space="preserve">Section 15.6 — Constitutional Supremacy</w:t>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Joint session of the Legislature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Parliament-defined period. Any citizen who identifies a discrepancy may petition their elected representative.</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The National Voting System must satisfy these constitutional properties. the Legislature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the Legislature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pPr>
      <w:r>
        <w:rPr>
          <w:b/>
        </w:rPr>
        <w:t xml:space="preserve">16.5.d Mid-Term Vacancy: </w:t>
      </w:r>
      <w:r>
        <w:t>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National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ind w:left="720" w:hanging="360"/>
      </w:pPr>
      <w:r>
        <w:rPr>
          <w:rFonts w:ascii="Arial" w:cs="Arial" w:eastAsia="Arial" w:hAnsi="Arial"/>
          <w:b/>
          <w:bCs/>
          <w:color w:val="4A6FA5"/>
          <w:sz w:val="22"/>
          <w:szCs w:val="22"/>
        </w:rPr>
        <w:t xml:space="preserve">17.4.g National Trust Administrator: </w:t>
      </w:r>
      <w:r>
        <w:rPr>
          <w:rFonts w:ascii="Arial" w:cs="Arial" w:eastAsia="Arial" w:hAnsi="Arial"/>
          <w:color w:val="000000"/>
          <w:sz w:val="22"/>
          <w:szCs w:val="22"/>
        </w:rPr>
        <w:t>The National Trust is administered by a National Trust Administrator nominated by the Prime Minister from a Candidate Register maintained under the same mechanism as §10.4.a —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Parliament-defined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The Administrator is confirmed by the Senate and serves a single non-renewable 5-year term. The Legislative Inspectorate audits National Trust management annually against the stewardship obligation of §17.4.b and publishes its findings to the NRS. If the Senate fails to act on a nomination within the period the Legislature defines by statute, the nominee assumes acting status and performs all constitutional functions of the office. The Prime Minister may remove an acting officer within 90 days of the officer assuming acting status. After 90 days, removal of an acting officer requires a simple Senate majority. After 180 days, removal requires the same threshold as removal of a permanently confirmed officer. Confirmation by the Senate at any time converts acting status to permanent appointment and the full term begins from the date of confirmation. Removal of a permanently confirmed National Trust Administrator requires a 2/3 vote of both chambers simultaneously and a documented finding of dereliction by the Executive Inspectorate published to the National Record System before the parliamentary vote may proceed. Upon any mid-term vacancy — through death, resignation, or removal — the most senior National Trust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the Legislature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The public campaign allocation must be sufficient to allow a qualified candidate to conduct a meaningful campaign. the Legislature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§2.7.</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 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 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60" w:before="60"/>
      </w:pPr>
      <w:r>
        <w:t xml:space="preserve">19.3.a Phase 0 — Pre-Ratification Preparation: The period before the ratification vote during which the interim Electoral Commission is constituted, the National Voting System is certified operational, and the joint Inspectorate panel is formed. Phase 0 ends upon Day Zero.</w:t>
      </w:r>
    </w:p>
    <w:p>
      <w:pPr>
        <w:spacing w:after="60" w:before="60"/>
      </w:pPr>
      <w:r>
        <w:t xml:space="preserve">19.3.b Phase 1 — Emergency Stabilisation (Days 1–90): Existing government officials serve as caretakers under §19.4. The Basic Needs Floor activates at the constitutional minimum. No new permanent legislation may be passed. Phase 1 ends at Day 90.</w:t>
      </w:r>
    </w:p>
    <w:p>
      <w:pPr>
        <w:spacing w:after="60" w:before="60"/>
      </w:pPr>
      <w:r>
        <w:t xml:space="preserve">19.3.c Phase 2 — Institutional Construction (Days 91–270): Statehood Audits are conducted for all entering territories. The Candidate Registers for the Monetary Authority Director and RSA Director are assembled under §19.8. The National Voting System is fully deployed for citizen registration. Phase 2 ends at Day 270.</w:t>
      </w:r>
    </w:p>
    <w:p>
      <w:pPr>
        <w:spacing w:after="60" w:before="60"/>
      </w:pPr>
      <w:r>
        <w:t>19.3.d Phase 3 — First Elections (Days 271–450): The first National Election Day is held. Supreme Court justices are elected simultaneously through the Triad process. The Electoral Commission holds its inaugural elections. Phase 3 ends when the first the Legislature is sworn in and the first President and Prime Minister take office.</w:t>
      </w:r>
    </w:p>
    <w:p>
      <w:pPr>
        <w:spacing w:after="60" w:before="60"/>
      </w:pPr>
      <w:r>
        <w:t>19.3.e Phase 4 — Full Constitutional Operation: The Republic enters full constitutional operation from the date the first the Legislature convenes and the first executives take the oath of office. All constitutional provisions are fully operative from Phase 4 activation. The 18-month Transition Window concludes at the end of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the Legislature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During Phase 2, the joint Inspectorate panel assembles an initial Candidate Register for the Monetary Authority Director and the Record System Authority Director. the Legislature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prior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19.9 Transitional Accountability Mechanism: </w:t>
      </w:r>
      <w:r>
        <w:rPr>
          <w:rFonts w:ascii="Arial" w:cs="Arial" w:eastAsia="Arial" w:hAnsi="Arial"/>
          <w:color w:val="000000"/>
          <w:sz w:val="22"/>
          <w:szCs w:val="22"/>
        </w:rPr>
        <w:t>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ind w:left="720" w:hanging="360"/>
      </w:pPr>
      <w:r>
        <w:rPr>
          <w:rFonts w:ascii="Arial" w:cs="Arial" w:eastAsia="Arial" w:hAnsi="Arial"/>
          <w:b/>
          <w:bCs/>
          <w:color w:val="4A6FA5"/>
          <w:sz w:val="22"/>
          <w:szCs w:val="22"/>
        </w:rPr>
        <w:t xml:space="preserve">19.9.b Amendment and Successor Bar: </w:t>
      </w:r>
      <w:r>
        <w:rPr>
          <w:rFonts w:ascii="Arial" w:cs="Arial" w:eastAsia="Arial" w:hAnsi="Arial"/>
          <w:color w:val="000000"/>
          <w:sz w:val="22"/>
          <w:szCs w:val="22"/>
        </w:rPr>
        <w:t>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ind w:left="720" w:hanging="360"/>
      </w:pPr>
      <w:r>
        <w:rPr>
          <w:rFonts w:ascii="Arial" w:cs="Arial" w:eastAsia="Arial" w:hAnsi="Arial"/>
          <w:b/>
          <w:bCs/>
          <w:color w:val="4A6FA5"/>
          <w:sz w:val="22"/>
          <w:szCs w:val="22"/>
        </w:rPr>
        <w:t xml:space="preserve">19.9.c Jurisdiction and Publication Limits: </w:t>
      </w:r>
      <w:r>
        <w:rPr>
          <w:rFonts w:ascii="Arial" w:cs="Arial" w:eastAsia="Arial" w:hAnsi="Arial"/>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ind w:left="720" w:hanging="360"/>
      </w:pPr>
      <w:r>
        <w:rPr>
          <w:rFonts w:ascii="Arial" w:cs="Arial" w:eastAsia="Arial" w:hAnsi="Arial"/>
          <w:b/>
          <w:bCs/>
          <w:color w:val="4A6FA5"/>
          <w:sz w:val="22"/>
          <w:szCs w:val="22"/>
        </w:rPr>
        <w:t xml:space="preserve">19.9.d Sunset and Constitutional Rationale: </w:t>
      </w:r>
      <w:r>
        <w:rPr>
          <w:rFonts w:ascii="Arial" w:cs="Arial" w:eastAsia="Arial" w:hAnsi="Arial"/>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 </w:t>
      </w:r>
    </w:p>
    <w:p>
      <w:pPr>
        <w:spacing w:after="0" w:before="120"/>
      </w:pPr>
      <w:r>
        <w:t xml:space="preserve"/>
      </w:r>
    </w:p>
    <w:p>
      <w:pPr>
        <w:pStyle w:val="Heading1"/>
        <w:spacing w:after="120" w:before="360"/>
      </w:pPr>
      <w:r>
        <w:rPr>
          <w:rFonts w:ascii="Arial" w:cs="Arial" w:eastAsia="Arial" w:hAnsi="Arial"/>
          <w:b/>
          <w:bCs/>
          <w:color w:val="1B2A4A"/>
          <w:sz w:val="32"/>
          <w:szCs w:val="32"/>
        </w:rPr>
        <w:t xml:space="preserve">ARTICLE XX — ASSOCIATED COMMUNITY RELATIONSHIPS</w:t>
      </w:r>
    </w:p>
    <w:p>
      <w:pPr>
        <w:spacing w:after="60" w:before="60"/>
      </w:pPr>
      <w:r>
        <w:rPr>
          <w:rFonts w:ascii="Arial" w:cs="Arial" w:eastAsia="Arial" w:hAnsi="Arial"/>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Style w:val="Heading2"/>
      </w:pPr>
      <w:r>
        <w:t xml:space="preserve">Section 20.1 — Associated Community Status</w:t>
      </w:r>
    </w:p>
    <w:p>
      <w:pPr>
        <w:spacing w:after="60" w:before="60"/>
        <w:ind w:left="720" w:hanging="360"/>
      </w:pPr>
      <w:r>
        <w:rPr>
          <w:rFonts w:ascii="Arial" w:cs="Arial" w:eastAsia="Arial" w:hAnsi="Arial"/>
          <w:b/>
          <w:bCs/>
          <w:color w:val="4A6FA5"/>
          <w:sz w:val="22"/>
          <w:szCs w:val="22"/>
        </w:rPr>
        <w:t xml:space="preserve">20.1 Associated Community Status: </w:t>
      </w:r>
      <w:r>
        <w:rPr>
          <w:rFonts w:ascii="Arial" w:cs="Arial" w:eastAsia="Arial" w:hAnsi="Arial"/>
          <w:color w:val="000000"/>
          <w:sz w:val="22"/>
          <w:szCs w:val="22"/>
        </w:rPr>
        <w:t>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Style w:val="Heading2"/>
      </w:pPr>
      <w:r>
        <w:t xml:space="preserve">Section 20.2 — Compact Terms and Equal Sovereignty</w:t>
      </w:r>
    </w:p>
    <w:p>
      <w:pPr>
        <w:spacing w:after="60" w:before="60"/>
        <w:ind w:left="720" w:hanging="360"/>
      </w:pPr>
      <w:r>
        <w:rPr>
          <w:rFonts w:ascii="Arial" w:cs="Arial" w:eastAsia="Arial" w:hAnsi="Arial"/>
          <w:b/>
          <w:bCs/>
          <w:color w:val="4A6FA5"/>
          <w:sz w:val="22"/>
          <w:szCs w:val="22"/>
        </w:rPr>
        <w:t xml:space="preserve">20.2 Compact Terms and Equal Sovereignty: </w:t>
      </w:r>
      <w:r>
        <w:rPr>
          <w:rFonts w:ascii="Arial" w:cs="Arial" w:eastAsia="Arial" w:hAnsi="Arial"/>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Style w:val="Heading2"/>
      </w:pPr>
      <w:r>
        <w:t xml:space="preserve">Section 20.3 — Compact Conditions and Ongoing Compliance</w:t>
      </w:r>
    </w:p>
    <w:p>
      <w:pPr>
        <w:spacing w:after="60" w:before="60"/>
        <w:ind w:left="720" w:hanging="360"/>
      </w:pPr>
      <w:r>
        <w:rPr>
          <w:rFonts w:ascii="Arial" w:cs="Arial" w:eastAsia="Arial" w:hAnsi="Arial"/>
          <w:b/>
          <w:bCs/>
          <w:color w:val="4A6FA5"/>
          <w:sz w:val="22"/>
          <w:szCs w:val="22"/>
        </w:rPr>
        <w:t xml:space="preserve">20.3 Compact Conditions and Ongoing Compliance: </w:t>
      </w:r>
      <w:r>
        <w:rPr>
          <w:rFonts w:ascii="Arial" w:cs="Arial" w:eastAsia="Arial" w:hAnsi="Arial"/>
          <w:color w:val="000000"/>
          <w:sz w:val="22"/>
          <w:szCs w:val="22"/>
        </w:rPr>
        <w:t>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Style w:val="Heading2"/>
      </w:pPr>
      <w:r>
        <w:t xml:space="preserve">Section 20.4 — Sovereign Mobility</w:t>
      </w:r>
    </w:p>
    <w:p>
      <w:pPr>
        <w:spacing w:after="60" w:before="60"/>
        <w:ind w:left="720" w:hanging="360"/>
      </w:pPr>
      <w:r>
        <w:rPr>
          <w:rFonts w:ascii="Arial" w:cs="Arial" w:eastAsia="Arial" w:hAnsi="Arial"/>
          <w:b/>
          <w:bCs/>
          <w:color w:val="4A6FA5"/>
          <w:sz w:val="22"/>
          <w:szCs w:val="22"/>
        </w:rPr>
        <w:t xml:space="preserve">20.4 Sovereign Mobility: </w:t>
      </w:r>
      <w:r>
        <w:rPr>
          <w:rFonts w:ascii="Arial" w:cs="Arial" w:eastAsia="Arial" w:hAnsi="Arial"/>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Style w:val="Heading2"/>
      </w:pPr>
      <w:r>
        <w:t xml:space="preserve">Section 20.5 — Reciprocal Obligations and Review</w:t>
      </w:r>
    </w:p>
    <w:p>
      <w:pPr>
        <w:spacing w:after="60" w:before="60"/>
        <w:ind w:left="720" w:hanging="360"/>
      </w:pPr>
      <w:r>
        <w:rPr>
          <w:rFonts w:ascii="Arial" w:cs="Arial" w:eastAsia="Arial" w:hAnsi="Arial"/>
          <w:b/>
          <w:bCs/>
          <w:color w:val="4A6FA5"/>
          <w:sz w:val="22"/>
          <w:szCs w:val="22"/>
        </w:rPr>
        <w:t xml:space="preserve">20.5 Reciprocal Obligations and Review: </w:t>
      </w:r>
      <w:r>
        <w:rPr>
          <w:rFonts w:ascii="Arial" w:cs="Arial" w:eastAsia="Arial" w:hAnsi="Arial"/>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Tier 3 — Legislative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PM or Caretaker PM declares; the Legislature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Proportional to citizen population; one seat per State minimum; the Legislature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§2.6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Adequate funding — the Legislature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65% national first-preference + 35% regional breadth; number of regions the Legislature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Number defined by the Legislature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(§13.3.b), Remediation Plan, LI review, PM window, auto-withholding; Year 3: Senate 3/4 (§13.3.c)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§13.2.a-b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Legislative Amnesty (§2.9.b)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the Legislature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180-day Legislative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v115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2026-05-04T18:28:33.885Z</dcterms:created>
  <dcterms:modified xsi:type="dcterms:W3CDTF">2026-05-04T18:28:33.886Z</dcterms:modified>
</cp:coreProperties>
</file>

<file path=docProps/custom.xml><?xml version="1.0" encoding="utf-8"?>
<Properties xmlns="http://schemas.openxmlformats.org/officeDocument/2006/custom-properties" xmlns:vt="http://schemas.openxmlformats.org/officeDocument/2006/docPropsVTypes"/>
</file>