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sentence imposed by a court of competent jurisdiction following conviction. No executive may order the deliberate killing of any Inhabitant outside of active armed conflict governed by Article XII. This right admits no emergency derogation. For purposes of this provision, the State’s obligations attach from the moment of live birth.</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spacing w:after="60" w:before="60" w:line="280" w:lineRule="auto"/>
        <w:jc w:val="both"/>
      </w:pPr>
      <w:r>
        <w:rPr>
          <w:rFonts w:ascii="Times New Roman" w:cs="Times New Roman" w:eastAsia="Times New Roman" w:hAnsi="Times New Roman"/>
          <w:b/>
          <w:bCs/>
          <w:color w:val="1B2A4A"/>
          <w:sz w:val="22"/>
          <w:szCs w:val="22"/>
        </w:rPr>
        <w:t xml:space="preserve">1.2 Prohibition of Torture and Cruel Treatment: </w:t>
      </w:r>
      <w:r>
        <w:rPr>
          <w:rFonts w:ascii="Times New Roman" w:cs="Times New Roman" w:eastAsia="Times New Roman" w:hAnsi="Times New Roman"/>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the Executive Inspectorate reports any such violation to the National Record System. This prohibition is permanently unamendable under §15.3.</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spacing w:after="60" w:before="60" w:line="280" w:lineRule="auto"/>
        <w:jc w:val="both"/>
      </w:pPr>
      <w:r>
        <w:rPr>
          <w:rFonts w:ascii="Times New Roman" w:cs="Times New Roman" w:eastAsia="Times New Roman" w:hAnsi="Times New Roman"/>
          <w:b/>
          <w:bCs/>
          <w:color w:val="1B2A4A"/>
          <w:sz w:val="22"/>
          <w:szCs w:val="22"/>
        </w:rPr>
        <w:t xml:space="preserve">1.28 Medical Autonomy: </w:t>
      </w:r>
      <w:r>
        <w:rPr>
          <w:rFonts w:ascii="Times New Roman" w:cs="Times New Roman" w:eastAsia="Times New Roman" w:hAnsi="Times New Roman"/>
          <w:color w:val="000000"/>
          <w:sz w:val="22"/>
          <w:szCs w:val="22"/>
        </w:rPr>
        <w:t xml:space="preserve">Every person has the right to make medical decisions in consultation with a licensed medical professional free from State compulsion or prohibition of specific treatments, diagnoses, or courses of care. No government authority may require or forbid a particular medical procedure or course of treatment as between a willing patient and a licensed professional. The State may establish professional licensing standards, safety requirements, and scope of practice regulations. State governments may, pursuant to their domestic authority, regulate which medical services licensed professionals may offer within their jurisdiction. No State may impose criminal liability, civil liability, or any other adverse legal consequence on a citizen for receiving medical care in another State or Territory in which that care was lawfully provided; on any person who assists a citizen in obtaining or traveling to receive such care; on any medical professional who refers or provides information to a patient regarding care lawfully available elsewhere in the Republic; or on any medical professional licensed in another State or Territory for providing care that was lawful in the jurisdiction in which it was provided.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Any order for domestic surveillance or intelligence activity directed at Republic citizens is constitutionally prohibited against the President and the Director of Intelligence, which the Inspectorates report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60" w:before="60" w:line="280" w:lineRule="auto"/>
        <w:jc w:val="both"/>
      </w:pPr>
      <w:r>
        <w:rPr>
          <w:rFonts w:ascii="Times New Roman" w:cs="Times New Roman" w:eastAsia="Times New Roman" w:hAnsi="Times New Roman"/>
          <w:b/>
          <w:bCs/>
          <w:color w:val="1B2A4A"/>
          <w:sz w:val="22"/>
          <w:szCs w:val="22"/>
        </w:rPr>
        <w:t>2.1.i Presidential Officer Appointments and Removal:</w:t>
      </w:r>
      <w:r>
        <w:rPr>
          <w:rFonts w:ascii="Times New Roman" w:cs="Times New Roman" w:eastAsia="Times New Roman" w:hAnsi="Times New Roman"/>
          <w:b w:val="0"/>
          <w:color w:val="000000"/>
          <w:sz w:val="22"/>
          <w:szCs w:val="22"/>
        </w:rPr>
        <w:t xml:space="preserve"> The President nominates persons to lead the executive functions within the President's domain — 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publishing a written Notice of Removal to the National Record System. Removal takes effect upon publication. The President's removal authority within this domain is unilateral — the Senate's role in appointments does not extend to tenure protection. An officer subject to an active §3.5 proceeding may not be removed by the President under this provision until those proceedings conclude, preventing the removal power from being used to obstruct a legislative accountability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2.9.d Cross-Chamber Clemency Review: </w:t>
      </w:r>
      <w:r>
        <w:rPr>
          <w:rFonts w:ascii="Times New Roman" w:cs="Times New Roman" w:eastAsia="Times New Roman" w:hAnsi="Times New Roman"/>
          <w:color w:val="000000"/>
          <w:sz w:val="22"/>
          <w:szCs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begins from the date of EI publication.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is removed exclusively through the two tracks of this section. §3.5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Caretaker Activation and PM Formation: </w:t>
      </w:r>
      <w:r>
        <w:rPr>
          <w:rFonts w:ascii="Times New Roman" w:cs="Times New Roman" w:eastAsia="Times New Roman" w:hAnsi="Times New Roman"/>
          <w:color w:val="000000"/>
          <w:sz w:val="22"/>
          <w:szCs w:val="22"/>
        </w:rPr>
        <w:t xml:space="preserve">Failure to seat a PM within the statutory period defined under §2.3.a activates the Caretaker Protocol under §2.3.c. The House continues in session and retains the ability to seat a PM at any time. The LI publishes weekly accountability reports naming each member's participation record, as provided in §2.3.a.</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1B2A4A"/>
          <w:sz w:val="22"/>
          <w:szCs w:val="22"/>
        </w:rPr>
        <w:t>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provisions of §2.3 operate independently of this term limit. A member who reaches the 6-term limit and whose cooling-off period coincides with a caretaker period serves the term-limit cooling-off from the later start date.</w:t>
      </w:r>
      <w:r>
        <w:rPr>
          <w:rFonts w:ascii="Times New Roman" w:cs="Times New Roman" w:eastAsia="Times New Roman" w:hAnsi="Times New Roman"/>
          <w:color w:val="000000"/>
          <w:sz w:val="22"/>
          <w:szCs w:val="22"/>
        </w:rPr>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Inspectorate reporting and political accountability mechanisms. This section applies to: officers appointed by and serving in the President's executive domain — including intelligence directors, senior diplomatic officers, and military commanders serving in civilian advisory capacities — and to inferior court judges. The President is not subject to this section — presidential removal is governed exclusively by §2.10. The Prime Minister is not subject to this section — PM removal is governed exclusively by the constructive no-confidence mechanism of §2.3.b. Supreme Court justices are not subject to this section — SC removal is governed exclusively by §4.1.c. Legislative members of the House and Senate are not subject to this section — their removal is governed exclusively by §3.6.</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3.7 — Statutory Independent Agencies</w:t>
      </w:r>
    </w:p>
    <w:p>
      <w:pPr>
        <w:spacing w:after="60" w:before="60" w:line="280" w:lineRule="auto"/>
        <w:jc w:val="both"/>
      </w:pPr>
      <w:r>
        <w:rPr>
          <w:rFonts w:ascii="Times New Roman" w:cs="Times New Roman" w:eastAsia="Times New Roman" w:hAnsi="Times New Roman"/>
          <w:b/>
          <w:bCs/>
          <w:color w:val="1B2A4A"/>
          <w:sz w:val="22"/>
          <w:szCs w:val="22"/>
        </w:rPr>
        <w:t xml:space="preserve">3.7.a Authorization: </w:t>
      </w:r>
      <w:r>
        <w:rPr>
          <w:rFonts w:ascii="Times New Roman" w:cs="Times New Roman" w:eastAsia="Times New Roman" w:hAnsi="Times New Roman"/>
          <w:color w:val="000000"/>
          <w:sz w:val="22"/>
          <w:szCs w:val="22"/>
        </w:rPr>
        <w:t xml:space="preserve">The Legislature may by statute establish independent agencies exercising regulatory, prosecutorial, or other executive functions and designate their directors as statutory independent officers. A director’s term may not exceed eight years per appointment. The enabling statute governs all other terms of service.</w:t>
      </w:r>
    </w:p>
    <w:p>
      <w:pPr>
        <w:spacing w:after="60" w:before="60" w:line="280" w:lineRule="auto"/>
        <w:jc w:val="both"/>
      </w:pPr>
      <w:r>
        <w:rPr>
          <w:rFonts w:ascii="Times New Roman" w:cs="Times New Roman" w:eastAsia="Times New Roman" w:hAnsi="Times New Roman"/>
          <w:b/>
          <w:bCs/>
          <w:color w:val="1B2A4A"/>
          <w:sz w:val="22"/>
          <w:szCs w:val="22"/>
        </w:rPr>
        <w:t xml:space="preserve">3.7.b Appointment: </w:t>
      </w:r>
      <w:r>
        <w:rPr>
          <w:rFonts w:ascii="Times New Roman" w:cs="Times New Roman" w:eastAsia="Times New Roman" w:hAnsi="Times New Roman"/>
          <w:color w:val="000000"/>
          <w:sz w:val="22"/>
          <w:szCs w:val="22"/>
        </w:rPr>
        <w:t xml:space="preserve">A statutory independent officer is nominated by the PM and confirmed by the Senate by simple majority. A nominee not acted upon within 90 days is deemed confirmed. A director who has served more than 18 months without Senate confirmation reverts to standard ministerial appointment.</w:t>
      </w:r>
    </w:p>
    <w:p>
      <w:pPr>
        <w:spacing w:after="60" w:before="60" w:line="280" w:lineRule="auto"/>
        <w:jc w:val="both"/>
      </w:pPr>
      <w:r>
        <w:rPr>
          <w:rFonts w:ascii="Times New Roman" w:cs="Times New Roman" w:eastAsia="Times New Roman" w:hAnsi="Times New Roman"/>
          <w:b/>
          <w:bCs/>
          <w:color w:val="1B2A4A"/>
          <w:sz w:val="22"/>
          <w:szCs w:val="22"/>
        </w:rPr>
        <w:t xml:space="preserve">3.7.c Removal: </w:t>
      </w:r>
      <w:r>
        <w:rPr>
          <w:rFonts w:ascii="Times New Roman" w:cs="Times New Roman" w:eastAsia="Times New Roman" w:hAnsi="Times New Roman"/>
          <w:color w:val="000000"/>
          <w:sz w:val="22"/>
          <w:szCs w:val="22"/>
        </w:rPr>
        <w:t xml:space="preserve">The PM may remove a statutory independent officer only on grounds specified in the enabling statute. Removal is initiated by publishing a written notice to the NRS identifying the statutory ground relied upon. The director remains in office throughout the 21-day review period following publication. If within that period the Senate votes by simple majority to block the removal, the notice is void and the director continues in office for the full remainder of their term. If the Senate does not act within 21 days, the removal takes effect upon expiration of the period.</w:t>
      </w:r>
    </w:p>
    <w:p>
      <w:pPr>
        <w:spacing w:after="60" w:before="60" w:line="280" w:lineRule="auto"/>
        <w:jc w:val="both"/>
      </w:pPr>
      <w:r>
        <w:rPr>
          <w:rFonts w:ascii="Times New Roman" w:cs="Times New Roman" w:eastAsia="Times New Roman" w:hAnsi="Times New Roman"/>
          <w:b/>
          <w:bCs/>
          <w:color w:val="1B2A4A"/>
          <w:sz w:val="22"/>
          <w:szCs w:val="22"/>
        </w:rPr>
        <w:t xml:space="preserve">3.7.d Oversight: </w:t>
      </w:r>
      <w:r>
        <w:rPr>
          <w:rFonts w:ascii="Times New Roman" w:cs="Times New Roman" w:eastAsia="Times New Roman" w:hAnsi="Times New Roman"/>
          <w:color w:val="000000"/>
          <w:sz w:val="22"/>
          <w:szCs w:val="22"/>
        </w:rPr>
        <w:t xml:space="preserve">Each agency established under this section is subject to audit by the Executive Inspectorate with respect to the constitutional conduct of its officers, and by the Legislative Inspectorate with respect to compliance with its enabling statute. Both Inspectorates publish their findings to the NRS. The director shall submit an annual report to the Legislature.</w:t>
      </w:r>
    </w:p>
    <w:p>
      <w:pPr>
        <w:spacing w:after="60" w:before="60" w:line="280" w:lineRule="auto"/>
        <w:jc w:val="both"/>
      </w:pPr>
      <w:r>
        <w:rPr>
          <w:rFonts w:ascii="Times New Roman" w:cs="Times New Roman" w:eastAsia="Times New Roman" w:hAnsi="Times New Roman"/>
          <w:b/>
          <w:bCs/>
          <w:color w:val="1B2A4A"/>
          <w:sz w:val="22"/>
          <w:szCs w:val="22"/>
        </w:rPr>
        <w:t xml:space="preserve">3.7.e Limits: </w:t>
      </w:r>
      <w:r>
        <w:rPr>
          <w:rFonts w:ascii="Times New Roman" w:cs="Times New Roman" w:eastAsia="Times New Roman" w:hAnsi="Times New Roman"/>
          <w:color w:val="000000"/>
          <w:sz w:val="22"/>
          <w:szCs w:val="22"/>
        </w:rPr>
        <w:t xml:space="preserve">An agency’s operational independence does not preclude legislative appropriation control, impeachment under §3.5, or Inspectorate referral. No enabling statute may insulate an agency’s officers from criminal liability or constitutional accountability.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Senate Nomination: </w:t>
      </w:r>
      <w:r>
        <w:rPr>
          <w:rFonts w:ascii="Times New Roman" w:cs="Times New Roman" w:eastAsia="Times New Roman" w:hAnsi="Times New Roman"/>
          <w:color w:val="000000"/>
          <w:sz w:val="22"/>
          <w:szCs w:val="22"/>
        </w:rPr>
        <w:t xml:space="preserve">Where the PM fails to nominate within 90 days of a vacancy, the Senate may nominate a candidate. The Senate's nominee must meet the same professional qualifications the PM would be expected to apply and is subject to the same EI disclosure review as a PM-nominated candidate under §4.1.b before the House confirmation vote.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4.1.d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removal mechanism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60" w:before="60" w:line="280" w:lineRule="auto"/>
        <w:jc w:val="both"/>
      </w:pPr>
      <w:r>
        <w:rPr>
          <w:rFonts w:ascii="Times New Roman" w:cs="Times New Roman" w:eastAsia="Times New Roman" w:hAnsi="Times New Roman"/>
          <w:b/>
          <w:bCs/>
          <w:color w:val="1B2A4A"/>
          <w:sz w:val="22"/>
          <w:szCs w:val="22"/>
        </w:rPr>
        <w:t xml:space="preserve">4.1.c Judicial Removal: </w:t>
      </w:r>
      <w:r>
        <w:rPr>
          <w:rFonts w:ascii="Times New Roman" w:cs="Times New Roman" w:eastAsia="Times New Roman" w:hAnsi="Times New Roman"/>
          <w:color w:val="000000"/>
          <w:sz w:val="22"/>
          <w:szCs w:val="22"/>
        </w:rPr>
        <w:t xml:space="preserve">Supreme Court Justice Removal: A Supreme Court justice may be removed by a concurrent vote of 2/3 of the full seated membership of both chambers. The House must first pass a Statement of Grounds — a written document specifying the specific conduct, decisions, or failures constituting the basis for removal, published to the National Record System simultaneously with the House vote — by a 2/3 majority of its full seated membership. The Senate then conducts a trial under §3.5.c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 judicial independence requires insulation from democratic pressure on specific rulings. Inferior court judges are removed through the §3.5 impeachment process, which applies to all inferior court judges in full.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Open-Candidacy Judicial Selection: </w:t>
      </w:r>
      <w:r>
        <w:rPr>
          <w:rFonts w:ascii="Times New Roman" w:cs="Times New Roman" w:eastAsia="Times New Roman" w:hAnsi="Times New Roman"/>
          <w:color w:val="000000"/>
          <w:sz w:val="22"/>
          <w:szCs w:val="22"/>
        </w:rPr>
        <w:t xml:space="preserve">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 the Registry is the eligibility filter, the Board is the expert voice, and the electorate makes the final determination.</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Candidate Registration: </w:t>
      </w:r>
      <w:r>
        <w:rPr>
          <w:rFonts w:ascii="Times New Roman" w:cs="Times New Roman" w:eastAsia="Times New Roman" w:hAnsi="Times New Roman"/>
          <w:color w:val="000000"/>
          <w:sz w:val="22"/>
          <w:szCs w:val="22"/>
        </w:rPr>
        <w:t xml:space="preserve">Any citizen whose name appears on the Judicial Inspectorate's Supreme Court Candidate Registry maintained under §8.4.e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Judicial Selection Board: </w:t>
      </w:r>
      <w:r>
        <w:rPr>
          <w:rFonts w:ascii="Times New Roman" w:cs="Times New Roman" w:eastAsia="Times New Roman" w:hAnsi="Times New Roman"/>
          <w:color w:val="000000"/>
          <w:sz w:val="22"/>
          <w:szCs w:val="22"/>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 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 the Board has no authority to remove candidates from the ballot and makes no endorsement. The full assessment is published to the National Record System no later than 60 days before the election and is publicly accessible at no cost.</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Certification: </w:t>
      </w:r>
      <w:r>
        <w:rPr>
          <w:rFonts w:ascii="Times New Roman" w:cs="Times New Roman" w:eastAsia="Times New Roman" w:hAnsi="Times New Roman"/>
          <w:color w:val="000000"/>
          <w:sz w:val="22"/>
          <w:szCs w:val="22"/>
        </w:rPr>
        <w:t xml:space="preserve">Before any candidate may appear on the ballot, the Judicial Inspectorate confirms that the candidate remains on the Supreme Court Candidate Registry, that no disqualifying change in circumstances has occurred since Registry admission, and that the specific eligibility criteria of §8.4.e continue to be met. The JI does not conduct a new independent assessment — 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JI certification, all certified candidates are placed on the ballot for a national direct election by Ranked Choice Voting on the next National Election Day, or by special election within 90 days for mid-term vacancies under §4.2.e.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4.2.e Mid-Term Vacancies:</w:t>
      </w:r>
      <w:r>
        <w:rPr>
          <w:rFonts w:ascii="Times New Roman" w:cs="Times New Roman" w:eastAsia="Times New Roman" w:hAnsi="Times New Roman"/>
          <w:b w:val="0"/>
          <w:color w:val="000000"/>
          <w:sz w:val="22"/>
          <w:szCs w:val="22"/>
        </w:rPr>
        <w:t xml:space="preserve"> Where a Supreme Court seat becomes vacant mid-term through death, resignation, removal, or expulsion, a special election is held within 180 days. The full open-candidacy process of §4.2.a through §4.2.d applies, with timelines adjusted to fit the 180-day window: candidate registration closes at day 30; EI review completes by day 60; Judicial Selection Board assessment is published by day 90; JI certification completes by day 120; election is held no later than day 180. The replacement justice serves only the remainder of the original 12-year term, not a new term. Where the adjusted timeline cannot be met due to extraordinary circumstances, the Judicial Inspectorate may extend the window by no more than 30 days and publishes the extension and grounds to the National Record System. The Temporary Associate Justice designated under §4.2.g continues to serve throughout the election period and until the replacement justice is seated.</w:t>
      </w:r>
    </w:p>
    <w:p>
      <w:pPr>
        <w:spacing w:after="60" w:before="60" w:line="280" w:lineRule="auto"/>
        <w:jc w:val="both"/>
      </w:pPr>
      <w:r>
        <w:rPr>
          <w:rFonts w:ascii="Times New Roman" w:cs="Times New Roman" w:eastAsia="Times New Roman" w:hAnsi="Times New Roman"/>
          <w:b/>
          <w:bCs/>
          <w:color w:val="1B2A4A"/>
          <w:sz w:val="22"/>
          <w:szCs w:val="22"/>
        </w:rPr>
        <w:t xml:space="preserve">4.2.f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4.2.g Vacancy Operating Rules:</w:t>
      </w:r>
      <w:r>
        <w:rPr>
          <w:rFonts w:ascii="Times New Roman" w:cs="Times New Roman" w:eastAsia="Times New Roman" w:hAnsi="Times New Roman"/>
          <w:b w:val="0"/>
          <w:color w:val="000000"/>
          <w:sz w:val="22"/>
          <w:szCs w:val="22"/>
        </w:rPr>
        <w:t xml:space="preserve"> Where a Supreme Court seat becomes vacant, the most senior Appellate Court judge by continuous time served on the Appellate bench — with the eldest by age as the tiebreaker — is automatically designated as Temporary Associate Justice within five days of the vacancy being published to the National Record System. No nomination, confirmation, or legislative action is required; the designation is automatic by operation of this provision. The Temporary Associate Justice: (a) holds a full vote in all cases heard by the Court during the vacancy period; (b) may not participate in any case arising from a ruling they authored or in which they joined on the Appellate Court — in such cases the remaining justices constitute the full panel; (c) may not stand as a candidate in any election to fill the permanent seat to which they are designated as Temporary Associate Justice; (d) returns to their Appellate Court position, without loss of seniority or tenure, upon the seating of the permanently elected replacement justice. Where the designated judge is unavailable, the next most senior Appellate Court judge by the same criteria is designated. Where a case triggers clause (b) recusal and the remaining justices produce an equal division, the lower court's ruling is affirmed without creating binding precedent. The Legislature may not reduce, eliminate, or delay the temporary designation by statute.</w:t>
      </w:r>
    </w:p>
    <w:p>
      <w:pPr>
        <w:spacing w:after="60" w:before="60" w:line="280" w:lineRule="auto"/>
        <w:jc w:val="both"/>
      </w:pPr>
      <w:r>
        <w:rPr>
          <w:rFonts w:ascii="Times New Roman" w:cs="Times New Roman" w:eastAsia="Times New Roman" w:hAnsi="Times New Roman"/>
          <w:b/>
          <w:bCs/>
          <w:color w:val="1B2A4A"/>
          <w:sz w:val="22"/>
          <w:szCs w:val="22"/>
        </w:rPr>
        <w:t xml:space="preserve">4.2.h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line="280" w:lineRule="auto"/>
        <w:jc w:val="both"/>
      </w:pPr>
      <w:r>
        <w:rPr>
          <w:rFonts w:ascii="Times New Roman" w:cs="Times New Roman" w:eastAsia="Times New Roman" w:hAnsi="Times New Roman"/>
          <w:b/>
          <w:bCs/>
          <w:color w:val="1B2A4A"/>
          <w:sz w:val="22"/>
          <w:szCs w:val="22"/>
        </w:rPr>
        <w:t xml:space="preserve">5.4.b CLT Administrator: </w:t>
      </w:r>
      <w:r>
        <w:rPr>
          <w:rFonts w:ascii="Times New Roman" w:cs="Times New Roman" w:eastAsia="Times New Roman" w:hAnsi="Times New Roman"/>
          <w:color w:val="000000"/>
          <w:sz w:val="22"/>
          <w:szCs w:val="22"/>
        </w:rPr>
        <w:t xml:space="preserve">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w:t>
      </w:r>
    </w:p>
    <w:p>
      <w:pPr>
        <w:spacing w:after="60" w:before="60" w:line="280" w:lineRule="auto"/>
        <w:jc w:val="both"/>
      </w:pPr>
      <w:r>
        <w:rPr>
          <w:rFonts w:ascii="Times New Roman" w:cs="Times New Roman" w:eastAsia="Times New Roman" w:hAnsi="Times New Roman"/>
          <w:b/>
          <w:bCs/>
          <w:color w:val="1B2A4A"/>
          <w:sz w:val="22"/>
          <w:szCs w:val="22"/>
        </w:rPr>
        <w:t xml:space="preserve">Eligibility Criteria: </w:t>
      </w:r>
      <w:r>
        <w:rPr>
          <w:rFonts w:ascii="Times New Roman" w:cs="Times New Roman" w:eastAsia="Times New Roman" w:hAnsi="Times New Roman"/>
          <w:color w:val="000000"/>
          <w:sz w:val="22"/>
          <w:szCs w:val="22"/>
        </w:rPr>
        <w:t xml:space="preserve">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w:t>
      </w:r>
    </w:p>
    <w:p>
      <w:pPr>
        <w:spacing w:after="60" w:before="60" w:line="280" w:lineRule="auto"/>
        <w:jc w:val="both"/>
      </w:pPr>
      <w:r>
        <w:rPr>
          <w:rFonts w:ascii="Times New Roman" w:cs="Times New Roman" w:eastAsia="Times New Roman" w:hAnsi="Times New Roman"/>
          <w:b/>
          <w:bCs/>
          <w:color w:val="1B2A4A"/>
          <w:sz w:val="22"/>
          <w:szCs w:val="22"/>
        </w:rPr>
        <w:t xml:space="preserve">EI Disclosure Review: </w:t>
      </w:r>
      <w:r>
        <w:rPr>
          <w:rFonts w:ascii="Times New Roman" w:cs="Times New Roman" w:eastAsia="Times New Roman" w:hAnsi="Times New Roman"/>
          <w:color w:val="000000"/>
          <w:sz w:val="22"/>
          <w:szCs w:val="22"/>
        </w:rPr>
        <w:t xml:space="preserve">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w:t>
      </w:r>
    </w:p>
    <w:p>
      <w:pPr>
        <w:spacing w:after="60" w:before="60" w:line="280" w:lineRule="auto"/>
        <w:jc w:val="both"/>
      </w:pPr>
      <w:r>
        <w:rPr>
          <w:rFonts w:ascii="Times New Roman" w:cs="Times New Roman" w:eastAsia="Times New Roman" w:hAnsi="Times New Roman"/>
          <w:b/>
          <w:bCs/>
          <w:color w:val="1B2A4A"/>
          <w:sz w:val="22"/>
          <w:szCs w:val="22"/>
        </w:rPr>
        <w:t xml:space="preserve">Confirmation and Term: </w:t>
      </w:r>
      <w:r>
        <w:rPr>
          <w:rFonts w:ascii="Times New Roman" w:cs="Times New Roman" w:eastAsia="Times New Roman" w:hAnsi="Times New Roman"/>
          <w:color w:val="000000"/>
          <w:sz w:val="22"/>
          <w:szCs w:val="22"/>
        </w:rPr>
        <w:t xml:space="preserve">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w:t>
      </w:r>
    </w:p>
    <w:p>
      <w:pPr>
        <w:spacing w:after="60" w:before="60" w:line="280" w:lineRule="auto"/>
        <w:jc w:val="both"/>
      </w:pPr>
      <w:r>
        <w:rPr>
          <w:rFonts w:ascii="Times New Roman" w:cs="Times New Roman" w:eastAsia="Times New Roman" w:hAnsi="Times New Roman"/>
          <w:b/>
          <w:bCs/>
          <w:color w:val="1B2A4A"/>
          <w:sz w:val="22"/>
          <w:szCs w:val="22"/>
        </w:rPr>
        <w:t xml:space="preserve">Removal: </w:t>
      </w:r>
      <w:r>
        <w:rPr>
          <w:rFonts w:ascii="Times New Roman" w:cs="Times New Roman" w:eastAsia="Times New Roman" w:hAnsi="Times New Roman"/>
          <w:color w:val="000000"/>
          <w:sz w:val="22"/>
          <w:szCs w:val="22"/>
        </w:rPr>
        <w:t xml:space="preserve">Removal of a permanently confirmed CLT Administrator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Mid-Term Vacancy: </w:t>
      </w:r>
      <w:r>
        <w:rPr>
          <w:rFonts w:ascii="Times New Roman" w:cs="Times New Roman" w:eastAsia="Times New Roman" w:hAnsi="Times New Roman"/>
          <w:color w:val="000000"/>
          <w:sz w:val="22"/>
          <w:szCs w:val="22"/>
        </w:rPr>
        <w:t xml:space="preserve">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Supreme Court Candidate Registry (§8.4.e);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Judicial IG Candidate Pool: </w:t>
      </w:r>
      <w:r>
        <w:rPr>
          <w:rFonts w:ascii="Times New Roman" w:cs="Times New Roman" w:eastAsia="Times New Roman" w:hAnsi="Times New Roman"/>
          <w:color w:val="000000"/>
          <w:sz w:val="22"/>
          <w:szCs w:val="22"/>
        </w:rPr>
        <w:t xml:space="preserve">Maintained by the Judicial Inspectorate. The Pool consists of persons with the analytical, research, and writing competence to perform systematic fact-finding and clear reporting within the judicial domain. The Judicial IG's function is information-gathering and factual reporting — 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 the Legislature may only add to them. The existing appeals process under §8.9.d applies to any Pool exclusion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1B2A4A"/>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§8.4.a Judicial IG Candidate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r>
        <w:rPr>
          <w:rFonts w:ascii="Times New Roman" w:cs="Times New Roman" w:eastAsia="Times New Roman" w:hAnsi="Times New Roman"/>
          <w:color w:val="000000"/>
          <w:sz w:val="22"/>
          <w:szCs w:val="22"/>
        </w:rPr>
      </w:r>
    </w:p>
    <w:p>
      <w:pPr>
        <w:spacing w:after="60" w:before="60" w:line="280" w:lineRule="auto"/>
        <w:jc w:val="both"/>
      </w:pPr>
      <w:r>
        <w:rPr>
          <w:rFonts w:ascii="Times New Roman" w:cs="Times New Roman" w:eastAsia="Times New Roman" w:hAnsi="Times New Roman"/>
          <w:b/>
          <w:bCs/>
          <w:color w:val="1B2A4A"/>
          <w:sz w:val="22"/>
          <w:szCs w:val="22"/>
        </w:rPr>
        <w:t xml:space="preserve">8.4.e Supreme Court Candidate Registry: </w:t>
      </w:r>
      <w:r>
        <w:rPr>
          <w:rFonts w:ascii="Times New Roman" w:cs="Times New Roman" w:eastAsia="Times New Roman" w:hAnsi="Times New Roman"/>
          <w:color w:val="000000"/>
          <w:sz w:val="22"/>
          <w:szCs w:val="22"/>
        </w:rPr>
        <w:t xml:space="preserve">Maintained by the Judicial Inspectorate separately from the Judicial IG Candidate Pool of §8.4.a. The SC Registry serves exclusively as the eligibility register for Supreme Court candidacy under §4.2. Any citizen meeting the following criteria may apply for inclusion: (1) a minimum of 15 years of legal practice, or a minimum of 10 years of service as a judge on any court within the Republic's jurisdiction, or both — 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 a member remains on the Registry unless they no longer meet the criteria or voluntarily withdraw. The Inspectorate publishes an updated Registry annually to the NRS. Appeals of exclusion determinations proceed under §8.9.d.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constitutionally prohibited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 xml:space="preserve">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 standardized, no luxury stipends; healthcare and retirement — the same systems as the citizens officials serve; and compensation,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Operations Framework</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Military operations authorized under Tier 3 (§2.1.c) require a Legislative Declaration of Defense passed by a 2/3 concurrent majority of both chambers. The Declaration must state the §12.1 purpose being served — purposes not enumerated in §12.1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 five years total — before a mandatory 90-day full cessation. After the cessation period, a new Declaration may be issued if the §12.1 grounds continue to apply.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Prohibition on Wars of Aggression: </w:t>
      </w:r>
      <w:r>
        <w:rPr>
          <w:rFonts w:ascii="Times New Roman" w:cs="Times New Roman" w:eastAsia="Times New Roman" w:hAnsi="Times New Roman"/>
          <w:color w:val="000000"/>
          <w:sz w:val="22"/>
          <w:szCs w:val="22"/>
        </w:rPr>
        <w:t xml:space="preserve">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§12.1 are exhaustive — purposes not enumerated there do not qualify under any tier of authorization.</w:t>
      </w:r>
    </w:p>
    <w:p>
      <w:pPr>
        <w:spacing w:after="60" w:before="60" w:line="280" w:lineRule="auto"/>
        <w:jc w:val="both"/>
      </w:pPr>
      <w:r>
        <w:rPr>
          <w:rFonts w:ascii="Times New Roman" w:cs="Times New Roman" w:eastAsia="Times New Roman" w:hAnsi="Times New Roman"/>
          <w:b/>
          <w:bCs/>
          <w:color w:val="1B2A4A"/>
          <w:sz w:val="22"/>
          <w:szCs w:val="22"/>
        </w:rPr>
        <w:t xml:space="preserve">12.2.c Offensive Operations: </w:t>
      </w:r>
      <w:r>
        <w:rPr>
          <w:rFonts w:ascii="Times New Roman" w:cs="Times New Roman" w:eastAsia="Times New Roman" w:hAnsi="Times New Roman"/>
          <w:color w:val="000000"/>
          <w:sz w:val="22"/>
          <w:szCs w:val="22"/>
        </w:rPr>
        <w:t xml:space="preserve">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§12.1 purpose being served. The President may not initiate offensive operations under Tier 1 authority alone.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b/>
          <w:bCs/>
          <w:color w:val="1B2A4A"/>
          <w:sz w:val="22"/>
          <w:szCs w:val="22"/>
        </w:rPr>
        <w:t xml:space="preserve">12.3 Intelligence Firewall: </w:t>
      </w:r>
      <w:r>
        <w:rPr>
          <w:rFonts w:ascii="Times New Roman" w:cs="Times New Roman" w:eastAsia="Times New Roman" w:hAnsi="Times New Roman"/>
          <w:color w:val="000000"/>
          <w:sz w:val="22"/>
          <w:szCs w:val="22"/>
        </w:rPr>
        <w:t xml:space="preserve">All domestic intelligence operations against Republic citizens are permanently prohibited and constitutionally void. Any such order is reported to the National Record System by the Executive Inspectorate. This prohibition is non-derogable — it may not be suspended under any emergency declaration, treaty obligation, or legislative authorization.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b/>
          <w:bCs/>
          <w:color w:val="1B2A4A"/>
          <w:sz w:val="22"/>
          <w:szCs w:val="22"/>
        </w:rPr>
        <w:t xml:space="preserve">12.4 Post-Conflict Obligations: </w:t>
      </w: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b/>
          <w:bCs/>
          <w:color w:val="1B2A4A"/>
          <w:sz w:val="22"/>
          <w:szCs w:val="22"/>
        </w:rPr>
        <w:t xml:space="preserve">12.5 Treaty Obligations: </w:t>
      </w: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15.1.c Citizen-Led Path:</w:t>
      </w:r>
      <w:r>
        <w:rPr>
          <w:rFonts w:ascii="Times New Roman" w:cs="Times New Roman" w:eastAsia="Times New Roman" w:hAnsi="Times New Roman"/>
          <w:b w:val="0"/>
          <w:color w:val="000000"/>
          <w:sz w:val="22"/>
          <w:szCs w:val="22"/>
        </w:rPr>
        <w:t xml:space="preserve"> A national vote conducted through the National Voting System achieving 70% affirmative support with at least 65% citizen participation. If participation exceeds 60% but falls short of 65% and the affirmative vote exceeds 75%, the Electoral Commission automatically schedules a second vote on the same amendment text, to be held no sooner than 90 days and no later than 12 months after the first result is certified. The second vote is conducted under the standard thresholds of this section — 70% affirmative support with at least 65% citizen participation. If the second vote meets the standard thresholds, the amendment takes effect. If the second vote fails to meet the standard thresholds, the amendment fails and the same amendment text may not trigger a further second vote under this provision. The Electoral Commission certifies all results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16.2.a Electoral Commission Removal:</w:t>
      </w:r>
      <w:r>
        <w:rPr>
          <w:rFonts w:ascii="Times New Roman" w:cs="Times New Roman" w:eastAsia="Times New Roman" w:hAnsi="Times New Roman"/>
          <w:b w:val="0"/>
          <w:color w:val="000000"/>
          <w:sz w:val="22"/>
          <w:szCs w:val="22"/>
        </w:rPr>
        <w:t xml:space="preserve"> Electoral Commission members may be removed only through For-Cause proceedings. No-Cause removal is not available — 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 which audits the Electoral Commission annually under §8.1.c — must publish a documented finding of specific misconduct to the National Record System before any removal vote may proceed. The finding is published no later than 30 days after a removal motion is filed. The finding is advisory — it does not compel removal — but no removal vote may be held without it. Following publication of the JI finding, removal requires a 2/3 vote of both chambers simultaneously, calculated against full seated membership of each chamber. A member subject to For-Cause proceedings continues all duties through the JI finding and State Designee Panel process. Where the State Designee Panel substantiates grounds under §8.9.a, the member is suspended from all Electoral Commission duties: upon expiry of the 14-day Supreme Court appeal window under §8.9.b without a filed appeal, or immediately upon a Supreme Court ruling upholding the Panel's substantiation on appeal. If the Supreme Court reverses the Panel's substantiation, no suspension takes effect and the member continues all duties pending the legislative vote. A suspended member is excluded from the Commission's active seated membership for decision-threshold purposes during the suspension period. The 180-day election proximity restriction of §16.5.c applies to the removal vote, not to Panel-triggered suspension. On legislative acquittal, the suspended member returns immediately to full duties with no effect on their term or standing.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spacing w:after="60" w:before="60" w:line="280" w:lineRule="auto"/>
        <w:jc w:val="both"/>
      </w:pPr>
      <w:r>
        <w:rPr>
          <w:rFonts w:ascii="Times New Roman" w:cs="Times New Roman" w:eastAsia="Times New Roman" w:hAnsi="Times New Roman"/>
          <w:b/>
          <w:bCs/>
          <w:color w:val="1B2A4A"/>
          <w:sz w:val="22"/>
          <w:szCs w:val="22"/>
        </w:rPr>
        <w:t xml:space="preserve">16.4.c State Voting Method Flexibility: </w:t>
      </w:r>
      <w:r>
        <w:rPr>
          <w:rFonts w:ascii="Times New Roman" w:cs="Times New Roman" w:eastAsia="Times New Roman" w:hAnsi="Times New Roman"/>
          <w:color w:val="000000"/>
          <w:sz w:val="22"/>
          <w:szCs w:val="22"/>
        </w:rPr>
        <w:t xml:space="preserve">States may implement early voting periods, mail-in ballot options, and alternative secure voting methods — including electronic methods — 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 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spacing w:after="60" w:before="60" w:line="280" w:lineRule="auto"/>
        <w:jc w:val="both"/>
      </w:pPr>
      <w:r>
        <w:rPr>
          <w:rFonts w:ascii="Times New Roman" w:cs="Times New Roman" w:eastAsia="Times New Roman" w:hAnsi="Times New Roman"/>
          <w:b/>
          <w:bCs/>
          <w:color w:val="1B2A4A"/>
          <w:sz w:val="22"/>
          <w:szCs w:val="22"/>
        </w:rPr>
        <w:t xml:space="preserve">16.4.d Federal Ballot Information: </w:t>
      </w:r>
      <w:r>
        <w:rPr>
          <w:rFonts w:ascii="Times New Roman" w:cs="Times New Roman" w:eastAsia="Times New Roman" w:hAnsi="Times New Roman"/>
          <w:color w:val="000000"/>
          <w:sz w:val="22"/>
          <w:szCs w:val="22"/>
        </w:rPr>
        <w:t xml:space="preserve">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 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 this Constitution does not mandate how states allocate their own resources for voter information.</w:t>
      </w:r>
    </w:p>
    <w:p>
      <w:pPr>
        <w:spacing w:after="60" w:before="60" w:line="280" w:lineRule="auto"/>
        <w:jc w:val="both"/>
      </w:pPr>
      <w:r>
        <w:rPr>
          <w:rFonts w:ascii="Times New Roman" w:cs="Times New Roman" w:eastAsia="Times New Roman" w:hAnsi="Times New Roman"/>
          <w:b/>
          <w:bCs/>
          <w:color w:val="1B2A4A"/>
          <w:sz w:val="22"/>
          <w:szCs w:val="22"/>
        </w:rPr>
        <w:t xml:space="preserve">16.4.e State Ballot Information on Request: </w:t>
      </w:r>
      <w:r>
        <w:rPr>
          <w:rFonts w:ascii="Times New Roman" w:cs="Times New Roman" w:eastAsia="Times New Roman" w:hAnsi="Times New Roman"/>
          <w:color w:val="000000"/>
          <w:sz w:val="22"/>
          <w:szCs w:val="22"/>
        </w:rPr>
        <w:t xml:space="preserve">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 no state is required to use this service.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16.5.c Removal:</w:t>
      </w:r>
      <w:r>
        <w:rPr>
          <w:rFonts w:ascii="Times New Roman" w:cs="Times New Roman" w:eastAsia="Times New Roman" w:hAnsi="Times New Roman"/>
          <w:b w:val="0"/>
          <w:color w:val="000000"/>
          <w:sz w:val="22"/>
          <w:szCs w:val="22"/>
        </w:rPr>
        <w:t xml:space="preserve"> Electoral Commission members may only be removed by Track 1 For-Cause removal (§8.5), requiring a 2/3 vote of both chambers simultaneously, preceded by State Designee Panel verification under §8.9. No-Cause removal is not available for Electoral Commission members. Any removal vote within 180 days of a national election at which more than 20% of seated national offices are on the ballot is automatically suspended pending Supreme Court review within 48 hours. This restriction applies to the legislative removal vote only; Panel-triggered suspension of duties under §16.2.a operates independently of election proximity.</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 xml:space="preserve">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19.1.a Activation Threshold: </w:t>
      </w:r>
      <w:r>
        <w:rPr>
          <w:rFonts w:ascii="Times New Roman" w:cs="Times New Roman" w:eastAsia="Times New Roman" w:hAnsi="Times New Roman"/>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w:t>
      </w:r>
    </w:p>
    <w:p>
      <w:pPr>
        <w:spacing w:after="60" w:before="60" w:line="280" w:lineRule="auto"/>
        <w:jc w:val="both"/>
      </w:pPr>
      <w:r>
        <w:rPr>
          <w:rFonts w:ascii="Times New Roman" w:cs="Times New Roman" w:eastAsia="Times New Roman" w:hAnsi="Times New Roman"/>
          <w:b/>
          <w:bCs/>
          <w:color w:val="1B2A4A"/>
          <w:sz w:val="22"/>
          <w:szCs w:val="22"/>
        </w:rPr>
        <w:t xml:space="preserve">19.1.b Institutional Accommodation: </w:t>
      </w:r>
      <w:r>
        <w:rPr>
          <w:rFonts w:ascii="Times New Roman" w:cs="Times New Roman" w:eastAsia="Times New Roman" w:hAnsi="Times New Roman"/>
          <w:color w:val="000000"/>
          <w:sz w:val="22"/>
          <w:szCs w:val="22"/>
        </w:rPr>
        <w:t xml:space="preserve">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w:t>
      </w:r>
    </w:p>
    <w:p>
      <w:pPr>
        <w:spacing w:after="60" w:before="60" w:line="280" w:lineRule="auto"/>
        <w:jc w:val="both"/>
      </w:pPr>
      <w:r>
        <w:rPr>
          <w:rFonts w:ascii="Times New Roman" w:cs="Times New Roman" w:eastAsia="Times New Roman" w:hAnsi="Times New Roman"/>
          <w:b/>
          <w:bCs/>
          <w:color w:val="1B2A4A"/>
          <w:sz w:val="22"/>
          <w:szCs w:val="22"/>
        </w:rPr>
        <w:t xml:space="preserve">19.1.c Multi-Founder Formation: </w:t>
      </w:r>
      <w:r>
        <w:rPr>
          <w:rFonts w:ascii="Times New Roman" w:cs="Times New Roman" w:eastAsia="Times New Roman" w:hAnsi="Times New Roman"/>
          <w:color w:val="000000"/>
          <w:sz w:val="22"/>
          <w:szCs w:val="22"/>
        </w:rPr>
        <w:t xml:space="preserve">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 24-month,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spacing w:after="60" w:before="60" w:line="280" w:lineRule="auto"/>
        <w:jc w:val="both"/>
      </w:pPr>
      <w:r>
        <w:rPr>
          <w:rFonts w:ascii="Times New Roman" w:cs="Times New Roman" w:eastAsia="Times New Roman" w:hAnsi="Times New Roman"/>
          <w:b/>
          <w:bCs/>
          <w:color w:val="1B2A4A"/>
          <w:sz w:val="22"/>
          <w:szCs w:val="22"/>
        </w:rPr>
        <w:t xml:space="preserve">19.3.g Phase Extension Mechanism: </w:t>
      </w:r>
      <w:r>
        <w:rPr>
          <w:rFonts w:ascii="Times New Roman" w:cs="Times New Roman" w:eastAsia="Times New Roman" w:hAnsi="Times New Roman"/>
          <w:color w:val="000000"/>
          <w:sz w:val="22"/>
          <w:szCs w:val="22"/>
        </w:rPr>
        <w:t xml:space="preserve">Where circumstances prevent a phase from completing within its scheduled window — including security situations, infrastructure failures, natural disasters, or institutional resistance that cannot be resolved within the standard timeline — 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 beyond the first 90 days — 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 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2026-05-11T22:28:07.918Z</dcterms:created>
  <dcterms:modified xsi:type="dcterms:W3CDTF">2026-05-11T22:28:07.918Z</dcterms:modified>
</cp:coreProperties>
</file>

<file path=docProps/custom.xml><?xml version="1.0" encoding="utf-8"?>
<Properties xmlns="http://schemas.openxmlformats.org/officeDocument/2006/custom-properties" xmlns:vt="http://schemas.openxmlformats.org/officeDocument/2006/docPropsVTypes"/>
</file>