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(§1.19.d) without renewal.</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Where the domain of a proposed action is disputed, the JEC under §2.14 is the first forum; pending resolution, the PM's residual authority governs except for matters expressly enumerated in this provision. During active military operations, the President's domain governs operational decisions; either executive may petition the SC for an expedited domain determination.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and certified by the JI under §9.13.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PM designates a Caretaker PM from the confirmed Cabinet; the designation is published to the NRS and confirmed by the LI. If no PM has been elected by absolute majority within 120 days of any general election or vacancy, the Elections Panel automatically administers a new House general election; the Caretaker mechanism continues until the newly elected House elects a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PM’s designated Caretaker PM serves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withholds assent from a bill passed by both chambers, the PM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simultaneously; a successfully overridden bill takes effect without PM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assessment published to the NRS,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of the Senate’s emergency legislative authority under this section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on grounds of constitutional breach, demonstrated permanent incapacity, or conviction for a disqualifying offense. Either chamber may request a JIC assessment as part of the proceedings; any such assessment is published to the NRS. Under the popular track, a Senate majority may refer the question to a national recall referendum administered within the period defined by statute. The President is removed if the referendum achieves 60% of votes cast under §13.4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EI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must establish a joint ethics committee with authority to sanction and refer members; removal requires 2/3 of the relevant chamber following and on the basis of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§1.23;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JI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PM nominates inferior court judges from the pool maintained by the Elections Panel under §9.13. The PM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an EI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with eligibility certified by the JI under §9.4.b — any eligible citizen who applies and meets the qualification criteria is entered. The PM nominates within the period defined by statute following a vacancy (not to exceed 90 days for anticipated vacancies, 60 days for unanticipated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certification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assessed and reported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§6.3 are exempt from Gate 1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presidential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Inspectorates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§9.4.b and confirms registry status for SC nominees, and conducts annual audits of the Elections Panel for electoral integrity compliance. The JI reviews accommodation compact compliance, Associated Community compact compliance under Article XX, and Article XVI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§9.3. The Acting IG holds full constitutional authority of the office. The Acting IG is not eligible for permanent appointment to the position in which they serve; upon conclusion of acting service they return to the candidate pool. The JIC confirms the designation and both executives are notified immediately; notice does not condition the designation’s effectiveness. Pool membership satisfies the eligibility requirement of §1.22.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and certified jointly by the EI and JI, sufficiently in advance under the timeline defined by statute to ensure confirmation is complete before the transition under §1.22; confirmed by national popular vote at the next federal electoral period following nomination, by simple majority of votes cast. The confirmed successor assumes full IG authority at the precise moment the incumbent’s term concludes under §1.22. If the confirmation vote fails, the §9.1.d acting mechanism activates and the SC initiates a new nomination from the pool within 60 days. The EI IG is nominated jointly by the House Speaker and Senate Speaker from a pool of qualified candidates maintained by the Elections Panel and certified jointly by the LI and JI, sufficiently in advance under the timeline defined by statute under §1.22;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§9.13 from the JI Candidate Pool under §9.4.a maintained by the Elections Panel, conducted at the statutory timeline under §1.22,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§9.15 Standard Track. The Judicial Track under §9.15 is additionally available where two of the three Inspectorates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assess and report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§9.3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Legislature may not define MA independence standards in a manner that compromises the credibility of its certification functions; the EI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EI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established under §12.1. It operates independently of the annual budget process. The Endowment is governed by a board of five trustees selected by public lottery from the National Endowment Trustee Pool. Each executive nominates qualified persons to the pool annually; pool entry follows §9.13 and eligibility is certified jointly by the EI and LI; the JIC conducts the trustee lottery under §9.13.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§9.15.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(§9.15).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not to exceed 180 days,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LI reports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one of three paths: a two-year federal remediation commission; a State-managed remediation plan subject to LI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Citizen initiative amendments are subject to §17.3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passage by both chambers for a parliamentary amendment, or within 30 days of LI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§1.18.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LI confirms the position was published before the use right is registered; where no position is published within 60 days, the LI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Where the Legislature fails to meet a deadline, §3.9 applies: the LI publishes a compliance notice certifying the breach, and the responsible Inspectorate reports on the unfilled mandate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XIV.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