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t xml:space="preserve"/>
      </w:r>
    </w:p>
    <w:p>
      <w:pPr>
        <w:spacing w:after="600" w:before="0"/>
        <w:jc w:val="center"/>
      </w:pPr>
      <w:r>
        <w:drawing>
          <wp:inline distT="0" distB="0" distL="0" distR="0">
            <wp:extent cx="100012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00125" cy="1000125"/>
                    </a:xfrm>
                    <a:prstGeom prst="rect">
                      <a:avLst/>
                    </a:prstGeom>
                  </pic:spPr>
                </pic:pic>
              </a:graphicData>
            </a:graphic>
          </wp:inline>
        </w:drawing>
      </w:r>
    </w:p>
    <w:p>
      <w:pPr>
        <w:spacing w:after="200" w:before="0"/>
        <w:jc w:val="center"/>
      </w:pPr>
      <w:r>
        <w:rPr>
          <w:rFonts w:ascii="Garamond" w:cs="Garamond" w:eastAsia="Garamond" w:hAnsi="Garamond"/>
          <w:b/>
          <w:bCs/>
          <w:i w:val="false"/>
          <w:iCs w:val="false"/>
          <w:color w:val="1B2A4A"/>
          <w:sz w:val="44"/>
          <w:szCs w:val="44"/>
        </w:rPr>
        <w:t xml:space="preserve">THE FEDERATED REPUBLIC</w:t>
      </w:r>
    </w:p>
    <w:p>
      <w:pPr>
        <w:spacing w:after="200" w:before="0"/>
        <w:jc w:val="center"/>
      </w:pPr>
      <w:r>
        <w:rPr>
          <w:rFonts w:ascii="Garamond" w:cs="Garamond" w:eastAsia="Garamond" w:hAnsi="Garamond"/>
          <w:b w:val="false"/>
          <w:bCs w:val="false"/>
          <w:i w:val="false"/>
          <w:iCs w:val="false"/>
          <w:color w:val="C9A84C"/>
          <w:sz w:val="32"/>
          <w:szCs w:val="32"/>
        </w:rPr>
        <w:t xml:space="preserve">Constitution</w:t>
      </w:r>
    </w:p>
    <w:p>
      <w:pPr>
        <w:pBdr>
          <w:bottom w:val="single" w:color="C9A84C" w:sz="6" w:space="1"/>
        </w:pBdr>
        <w:spacing w:after="400" w:before="0"/>
        <w:jc w:val="center"/>
      </w:pPr>
      <w:r>
        <w:t xml:space="preserve"/>
      </w:r>
    </w:p>
    <w:p>
      <w:pPr>
        <w:spacing w:after="800" w:before="0"/>
        <w:jc w:val="center"/>
      </w:pPr>
      <w:r>
        <w:rPr>
          <w:rFonts w:ascii="Garamond" w:cs="Garamond" w:eastAsia="Garamond" w:hAnsi="Garamond"/>
          <w:b w:val="false"/>
          <w:bCs w:val="false"/>
          <w:i w:val="false"/>
          <w:iCs w:val="false"/>
          <w:color w:val="7a7060"/>
          <w:sz w:val="22"/>
          <w:szCs w:val="22"/>
        </w:rPr>
        <w:t xml:space="preserve">May 2026</w:t>
      </w:r>
    </w:p>
    <w:p>
      <w:pPr>
        <w:spacing w:after="200" w:before="0"/>
        <w:jc w:val="center"/>
      </w:pPr>
      <w:r>
        <w:rPr>
          <w:rFonts w:ascii="Courier New" w:cs="Courier New" w:eastAsia="Courier New" w:hAnsi="Courier New"/>
          <w:b w:val="false"/>
          <w:bCs w:val="false"/>
          <w:color w:val="7a7060"/>
          <w:sz w:val="18"/>
          <w:szCs w:val="18"/>
        </w:rPr>
        <w:t xml:space="preserve">thefederatedrepublic.org</w:t>
      </w:r>
    </w:p>
    <w:p>
      <w:pPr>
        <w:spacing w:after="0" w:before="0"/>
      </w:pPr>
      <w:r>
        <w:br/>
        <w:t xml:space="preserve"/>
      </w:r>
    </w:p>
    <w:p>
      <w:pPr>
        <w:spacing w:after="240" w:before="480"/>
      </w:pPr>
      <w:r>
        <w:rPr>
          <w:rFonts w:ascii="Garamond" w:cs="Garamond" w:eastAsia="Garamond" w:hAnsi="Garamond"/>
          <w:b/>
          <w:bCs/>
          <w:i w:val="false"/>
          <w:iCs w:val="false"/>
          <w:color w:val="1B2A4A"/>
          <w:sz w:val="32"/>
          <w:szCs w:val="32"/>
        </w:rPr>
        <w:t xml:space="preserve">Preamble</w:t>
      </w:r>
    </w:p>
    <w:p>
      <w:pPr>
        <w:spacing w:after="480" w:before="0"/>
        <w:jc w:val="both"/>
      </w:pPr>
      <w:r>
        <w:rPr>
          <w:rFonts w:ascii="Garamond" w:cs="Garamond" w:eastAsia="Garamond" w:hAnsi="Garamond"/>
          <w:b w:val="false"/>
          <w:bCs w:val="false"/>
          <w:i/>
          <w:iCs/>
          <w:color w:val="2a2520"/>
          <w:sz w:val="24"/>
          <w:szCs w:val="24"/>
        </w:rPr>
        <w:t xml:space="preserve">We, the people of the Federated Republic, recognising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spacing w:after="60" w:before="200"/>
        <w:jc w:val="left"/>
      </w:pPr>
      <w:r>
        <w:rPr>
          <w:rFonts w:ascii="Garamond" w:cs="Garamond" w:eastAsia="Garamond" w:hAnsi="Garamond"/>
          <w:b/>
          <w:bCs/>
          <w:i w:val="false"/>
          <w:iCs w:val="false"/>
          <w:color w:val="1B2A4A"/>
          <w:sz w:val="34"/>
          <w:szCs w:val="34"/>
        </w:rPr>
        <w:t xml:space="preserve">Article I — Individual Sovereignty and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  </w:t>
      </w:r>
      <w:r>
        <w:rPr>
          <w:rFonts w:ascii="Garamond" w:cs="Garamond" w:eastAsia="Garamond" w:hAnsi="Garamond"/>
          <w:b/>
          <w:bCs/>
          <w:i w:val="false"/>
          <w:iCs w:val="false"/>
          <w:color w:val="1B2A4A"/>
          <w:sz w:val="22"/>
          <w:szCs w:val="22"/>
        </w:rPr>
        <w:t xml:space="preserve">Right of Access to Courts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may seek legal remedy for any rights violation — a self-executing right that courts may not make meaninglessly expensive through procedural costs. If the Legislature fails to fund legal aid, courts appoint counsel at public expense until a statutory framework exists — the self-executing default ensures the right is never purely nominal.</w:t>
      </w:r>
    </w:p>
    <w:p>
      <w:pPr>
        <w:spacing w:after="60" w:before="200"/>
        <w:ind w:left="431"/>
        <w:jc w:val="left"/>
      </w:pPr>
      <w:r>
        <w:rPr>
          <w:rFonts w:ascii="Courier New" w:cs="Courier New" w:eastAsia="Courier New" w:hAnsi="Courier New"/>
          <w:b/>
          <w:bCs/>
          <w:color w:val="1B2A4A"/>
          <w:sz w:val="18"/>
          <w:szCs w:val="18"/>
        </w:rPr>
        <w:t xml:space="preserve">§1.2  </w:t>
      </w:r>
      <w:r>
        <w:rPr>
          <w:rFonts w:ascii="Garamond" w:cs="Garamond" w:eastAsia="Garamond" w:hAnsi="Garamond"/>
          <w:b/>
          <w:bCs/>
          <w:i w:val="false"/>
          <w:iCs w:val="false"/>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an individual sovereignty that government authority may limit only as this Constitution permits — and may never eliminate. No official, institution, or emergency suspends this floor. The State may deprive a person of life only as the lawful consequence of a sentence imposed by a court following conviction. Any method a legislature permits remains subject to §1.11's prohibition on cruel, degrading, or inhumane treatment. The State's obligations attach from the moment of live birth.</w:t>
      </w:r>
    </w:p>
    <w:p>
      <w:pPr>
        <w:spacing w:after="60" w:before="200"/>
        <w:ind w:left="431"/>
        <w:jc w:val="left"/>
      </w:pPr>
      <w:r>
        <w:rPr>
          <w:rFonts w:ascii="Courier New" w:cs="Courier New" w:eastAsia="Courier New" w:hAnsi="Courier New"/>
          <w:b/>
          <w:bCs/>
          <w:color w:val="1B2A4A"/>
          <w:sz w:val="18"/>
          <w:szCs w:val="18"/>
        </w:rPr>
        <w:t xml:space="preserve">§1.3  </w:t>
      </w:r>
      <w:r>
        <w:rPr>
          <w:rFonts w:ascii="Garamond" w:cs="Garamond" w:eastAsia="Garamond" w:hAnsi="Garamond"/>
          <w:b/>
          <w:bCs/>
          <w:i w:val="false"/>
          <w:iCs w:val="false"/>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Absolute prohibition on torture, cruel treatment, and degrading punishment. No exception exists — not for national security, not for emergency, not for military operations. One of six permanently unamendable provisions under §15.3.a.</w:t>
      </w:r>
    </w:p>
    <w:p>
      <w:pPr>
        <w:spacing w:after="60" w:before="200"/>
        <w:ind w:left="431"/>
        <w:jc w:val="left"/>
      </w:pPr>
      <w:r>
        <w:rPr>
          <w:rFonts w:ascii="Courier New" w:cs="Courier New" w:eastAsia="Courier New" w:hAnsi="Courier New"/>
          <w:b/>
          <w:bCs/>
          <w:color w:val="1B2A4A"/>
          <w:sz w:val="18"/>
          <w:szCs w:val="18"/>
        </w:rPr>
        <w:t xml:space="preserve">§1.4  </w:t>
      </w:r>
      <w:r>
        <w:rPr>
          <w:rFonts w:ascii="Garamond" w:cs="Garamond" w:eastAsia="Garamond" w:hAnsi="Garamond"/>
          <w:b/>
          <w:bCs/>
          <w:i w:val="false"/>
          <w:iCs w:val="false"/>
          <w:color w:val="1B2A4A"/>
          <w:sz w:val="22"/>
          <w:szCs w:val="22"/>
        </w:rPr>
        <w:t xml:space="preserve">Prohibition of Slavery and Forced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Slavery, forced labor, debt bondage, and compelled service are prohibited absolutely and in all forms. The prohibition extends to all persons within the Republic's jurisdiction, not merely to citizens. Jury service required under §4.5 and lawful sentences of community service imposed by a court do not constitute forced labor under this provision.</w:t>
      </w:r>
    </w:p>
    <w:p>
      <w:pPr>
        <w:spacing w:after="60" w:before="200"/>
        <w:ind w:left="431"/>
        <w:jc w:val="left"/>
      </w:pPr>
      <w:r>
        <w:rPr>
          <w:rFonts w:ascii="Courier New" w:cs="Courier New" w:eastAsia="Courier New" w:hAnsi="Courier New"/>
          <w:b/>
          <w:bCs/>
          <w:color w:val="1B2A4A"/>
          <w:sz w:val="18"/>
          <w:szCs w:val="18"/>
        </w:rPr>
        <w:t xml:space="preserve">§1.5  </w:t>
      </w:r>
      <w:r>
        <w:rPr>
          <w:rFonts w:ascii="Garamond" w:cs="Garamond" w:eastAsia="Garamond" w:hAnsi="Garamond"/>
          <w:b/>
          <w:bCs/>
          <w:i w:val="false"/>
          <w:iCs w:val="false"/>
          <w:color w:val="1B2A4A"/>
          <w:sz w:val="22"/>
          <w:szCs w:val="22"/>
        </w:rPr>
        <w:t xml:space="preserve">Freedom of Expression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branch, agency, official, or instrumentality of the Republic or any State may abridge the freedom of speech, press, or assembly in any medium — physical or digital.</w:t>
      </w:r>
    </w:p>
    <w:p>
      <w:pPr>
        <w:spacing w:after="60" w:before="200"/>
        <w:ind w:left="431"/>
        <w:jc w:val="left"/>
      </w:pPr>
      <w:r>
        <w:rPr>
          <w:rFonts w:ascii="Courier New" w:cs="Courier New" w:eastAsia="Courier New" w:hAnsi="Courier New"/>
          <w:b/>
          <w:bCs/>
          <w:color w:val="1B2A4A"/>
          <w:sz w:val="18"/>
          <w:szCs w:val="18"/>
        </w:rPr>
        <w:t xml:space="preserve">§1.5.a  </w:t>
      </w:r>
      <w:r>
        <w:rPr>
          <w:rFonts w:ascii="Garamond" w:cs="Garamond" w:eastAsia="Garamond" w:hAnsi="Garamond"/>
          <w:b/>
          <w:bCs/>
          <w:i w:val="false"/>
          <w:iCs w:val="false"/>
          <w:color w:val="1B2A4A"/>
          <w:sz w:val="22"/>
          <w:szCs w:val="22"/>
        </w:rPr>
        <w:t xml:space="preserve">Censorship by Proxy</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actors may not pressure, incentivize, or coerce private platforms or institutions to suppress speech on their behalf. Such an act constitutes the same constitutional violation as direct censorship. This prohibition applies equally to digital and physical media. Government may not impose viewpoint-based conditions on benefits, contracts, or licensing.</w:t>
      </w:r>
    </w:p>
    <w:p>
      <w:pPr>
        <w:spacing w:after="60" w:before="200"/>
        <w:ind w:left="431"/>
        <w:jc w:val="left"/>
      </w:pPr>
      <w:r>
        <w:rPr>
          <w:rFonts w:ascii="Courier New" w:cs="Courier New" w:eastAsia="Courier New" w:hAnsi="Courier New"/>
          <w:b/>
          <w:bCs/>
          <w:color w:val="1B2A4A"/>
          <w:sz w:val="18"/>
          <w:szCs w:val="18"/>
        </w:rPr>
        <w:t xml:space="preserve">§1.6  </w:t>
      </w:r>
      <w:r>
        <w:rPr>
          <w:rFonts w:ascii="Garamond" w:cs="Garamond" w:eastAsia="Garamond" w:hAnsi="Garamond"/>
          <w:b/>
          <w:bCs/>
          <w:i w:val="false"/>
          <w:iCs w:val="false"/>
          <w:color w:val="1B2A4A"/>
          <w:sz w:val="22"/>
          <w:szCs w:val="22"/>
        </w:rPr>
        <w:t xml:space="preserve">Freedom of Thought, Conscience, and Religion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has the right to hold, practice, change, or decline any belief and to manifest it through worship, observance, practice, and teaching. No person may be compelled to participate in any religious observance contrary to their beliefs. Free exercise does not authorize harm to others and creates no exemption from laws protecting other enumerated rights.</w:t>
      </w:r>
    </w:p>
    <w:p>
      <w:pPr>
        <w:spacing w:after="60" w:before="200"/>
        <w:ind w:left="431"/>
        <w:jc w:val="left"/>
      </w:pPr>
      <w:r>
        <w:rPr>
          <w:rFonts w:ascii="Courier New" w:cs="Courier New" w:eastAsia="Courier New" w:hAnsi="Courier New"/>
          <w:b/>
          <w:bCs/>
          <w:color w:val="1B2A4A"/>
          <w:sz w:val="18"/>
          <w:szCs w:val="18"/>
        </w:rPr>
        <w:t xml:space="preserve">§1.6.a  </w:t>
      </w:r>
      <w:r>
        <w:rPr>
          <w:rFonts w:ascii="Garamond" w:cs="Garamond" w:eastAsia="Garamond" w:hAnsi="Garamond"/>
          <w:b/>
          <w:bCs/>
          <w:i w:val="false"/>
          <w:iCs w:val="false"/>
          <w:color w:val="1B2A4A"/>
          <w:sz w:val="22"/>
          <w:szCs w:val="22"/>
        </w:rPr>
        <w:t xml:space="preserve">Separation of Church and State</w:t>
      </w:r>
    </w:p>
    <w:p>
      <w:pPr>
        <w:spacing w:after="120" w:before="0"/>
        <w:ind w:left="431"/>
        <w:jc w:val="both"/>
      </w:pPr>
      <w:r>
        <w:rPr>
          <w:rFonts w:ascii="Garamond" w:cs="Garamond" w:eastAsia="Garamond" w:hAnsi="Garamond"/>
          <w:b w:val="false"/>
          <w:bCs w:val="false"/>
          <w:i w:val="false"/>
          <w:iCs w:val="false"/>
          <w:color w:val="2a2520"/>
          <w:sz w:val="22"/>
          <w:szCs w:val="22"/>
        </w:rPr>
        <w:t xml:space="preserve">No religion may be established by law, and public funds directed to religious organizations must comply with the equality requirements of §1.9. The separation of church and state is structural, not merely preferential.</w:t>
      </w:r>
    </w:p>
    <w:p>
      <w:pPr>
        <w:spacing w:after="60" w:before="200"/>
        <w:ind w:left="431"/>
        <w:jc w:val="left"/>
      </w:pPr>
      <w:r>
        <w:rPr>
          <w:rFonts w:ascii="Courier New" w:cs="Courier New" w:eastAsia="Courier New" w:hAnsi="Courier New"/>
          <w:b/>
          <w:bCs/>
          <w:color w:val="1B2A4A"/>
          <w:sz w:val="18"/>
          <w:szCs w:val="18"/>
        </w:rPr>
        <w:t xml:space="preserve">§1.7  </w:t>
      </w:r>
      <w:r>
        <w:rPr>
          <w:rFonts w:ascii="Garamond" w:cs="Garamond" w:eastAsia="Garamond" w:hAnsi="Garamond"/>
          <w:b/>
          <w:bCs/>
          <w:i w:val="false"/>
          <w:iCs w:val="false"/>
          <w:color w:val="1B2A4A"/>
          <w:sz w:val="22"/>
          <w:szCs w:val="22"/>
        </w:rPr>
        <w:t xml:space="preserve">Freedom of Association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has the right to freely associate with others for any lawful purpose — including political parties, trade unions, civic organizations, and professional associations. The State may not compel membership as a condition of employment or civic participation, nor prohibit any association solely on ideological grounds unless it advocates violent overthrow of this Constitution or the denial of enumerated rights.</w:t>
      </w:r>
    </w:p>
    <w:p>
      <w:pPr>
        <w:spacing w:after="60" w:before="200"/>
        <w:ind w:left="431"/>
        <w:jc w:val="left"/>
      </w:pPr>
      <w:r>
        <w:rPr>
          <w:rFonts w:ascii="Courier New" w:cs="Courier New" w:eastAsia="Courier New" w:hAnsi="Courier New"/>
          <w:b/>
          <w:bCs/>
          <w:color w:val="1B2A4A"/>
          <w:sz w:val="18"/>
          <w:szCs w:val="18"/>
        </w:rPr>
        <w:t xml:space="preserve">§1.8  </w:t>
      </w:r>
      <w:r>
        <w:rPr>
          <w:rFonts w:ascii="Garamond" w:cs="Garamond" w:eastAsia="Garamond" w:hAnsi="Garamond"/>
          <w:b/>
          <w:bCs/>
          <w:i w:val="false"/>
          <w:iCs w:val="false"/>
          <w:color w:val="1B2A4A"/>
          <w:sz w:val="22"/>
          <w:szCs w:val="22"/>
        </w:rPr>
        <w:t xml:space="preserve">Right to Petition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Inhabitant has the right to petition any branch of government on any matter of public or personal concern. All petitions must receive a formal response within a Legislature-defined period. The subject and status of petitions are published to the National Record System; petitioner identity is withheld where the petitioner requests anonymity. The right includes the right to file formal complaints against government officials and agencies.</w:t>
      </w:r>
    </w:p>
    <w:p>
      <w:pPr>
        <w:spacing w:after="60" w:before="200"/>
        <w:ind w:left="431"/>
        <w:jc w:val="left"/>
      </w:pPr>
      <w:r>
        <w:rPr>
          <w:rFonts w:ascii="Courier New" w:cs="Courier New" w:eastAsia="Courier New" w:hAnsi="Courier New"/>
          <w:b/>
          <w:bCs/>
          <w:color w:val="1B2A4A"/>
          <w:sz w:val="18"/>
          <w:szCs w:val="18"/>
        </w:rPr>
        <w:t xml:space="preserve">§1.9  </w:t>
      </w:r>
      <w:r>
        <w:rPr>
          <w:rFonts w:ascii="Garamond" w:cs="Garamond" w:eastAsia="Garamond" w:hAnsi="Garamond"/>
          <w:b/>
          <w:bCs/>
          <w:i w:val="false"/>
          <w:iCs w:val="false"/>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is equal before the law. No person may be discriminated against on the basis of the enumerated characteristics. Distinctions based on race, ethnicity, religion, sex, sexual orientation, gender identity, national origin, or disability are presumptively unconstitutional, requiring a compelling government purpose achievable by no less discriminatory means. Distinctions based on age or economic status require only rational connection to a legitimate purpose.</w:t>
      </w:r>
    </w:p>
    <w:p>
      <w:pPr>
        <w:spacing w:after="60" w:before="200"/>
        <w:ind w:left="431"/>
        <w:jc w:val="left"/>
      </w:pPr>
      <w:r>
        <w:rPr>
          <w:rFonts w:ascii="Courier New" w:cs="Courier New" w:eastAsia="Courier New" w:hAnsi="Courier New"/>
          <w:b/>
          <w:bCs/>
          <w:color w:val="1B2A4A"/>
          <w:sz w:val="18"/>
          <w:szCs w:val="18"/>
        </w:rPr>
        <w:t xml:space="preserve">§1.10  </w:t>
      </w:r>
      <w:r>
        <w:rPr>
          <w:rFonts w:ascii="Garamond" w:cs="Garamond" w:eastAsia="Garamond" w:hAnsi="Garamond"/>
          <w:b/>
          <w:bCs/>
          <w:i w:val="false"/>
          <w:iCs w:val="false"/>
          <w:color w:val="1B2A4A"/>
          <w:sz w:val="22"/>
          <w:szCs w:val="22"/>
        </w:rPr>
        <w:t xml:space="preserve">Bodily Autonomy and Digital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bodily and digital sovereignty against government intrusion. No government actor may compel medical procedures, appropriate personal data, or obtain cryptographic keys without express constitutional authorization.</w:t>
      </w:r>
    </w:p>
    <w:p>
      <w:pPr>
        <w:spacing w:after="60" w:before="200"/>
        <w:ind w:left="431"/>
        <w:jc w:val="left"/>
      </w:pPr>
      <w:r>
        <w:rPr>
          <w:rFonts w:ascii="Courier New" w:cs="Courier New" w:eastAsia="Courier New" w:hAnsi="Courier New"/>
          <w:b/>
          <w:bCs/>
          <w:color w:val="1B2A4A"/>
          <w:sz w:val="18"/>
          <w:szCs w:val="18"/>
        </w:rPr>
        <w:t xml:space="preserve">§1.10.a  </w:t>
      </w:r>
      <w:r>
        <w:rPr>
          <w:rFonts w:ascii="Garamond" w:cs="Garamond" w:eastAsia="Garamond" w:hAnsi="Garamond"/>
          <w:b/>
          <w:bCs/>
          <w:i w:val="false"/>
          <w:iCs w:val="false"/>
          <w:color w:val="1B2A4A"/>
          <w:sz w:val="22"/>
          <w:szCs w:val="22"/>
        </w:rPr>
        <w:t xml:space="preserve">Physical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has the absolute right to refuse any medical procedure or biological sampling. No mandate is permissible under any declared emergency unless the individual provides uncoerced, revocable written consent.</w:t>
      </w:r>
    </w:p>
    <w:p>
      <w:pPr>
        <w:spacing w:after="60" w:before="200"/>
        <w:ind w:left="431"/>
        <w:jc w:val="left"/>
      </w:pPr>
      <w:r>
        <w:rPr>
          <w:rFonts w:ascii="Courier New" w:cs="Courier New" w:eastAsia="Courier New" w:hAnsi="Courier New"/>
          <w:b/>
          <w:bCs/>
          <w:color w:val="1B2A4A"/>
          <w:sz w:val="18"/>
          <w:szCs w:val="18"/>
        </w:rPr>
        <w:t xml:space="preserve">§1.10.b  </w:t>
      </w:r>
      <w:r>
        <w:rPr>
          <w:rFonts w:ascii="Garamond" w:cs="Garamond" w:eastAsia="Garamond" w:hAnsi="Garamond"/>
          <w:b/>
          <w:bCs/>
          <w:i w:val="false"/>
          <w:iCs w:val="false"/>
          <w:color w:val="1B2A4A"/>
          <w:sz w:val="22"/>
          <w:szCs w:val="22"/>
        </w:rPr>
        <w:t xml:space="preserve">Data Ownership</w:t>
      </w:r>
    </w:p>
    <w:p>
      <w:pPr>
        <w:spacing w:after="120" w:before="0"/>
        <w:ind w:left="431"/>
        <w:jc w:val="both"/>
      </w:pPr>
      <w:r>
        <w:rPr>
          <w:rFonts w:ascii="Garamond" w:cs="Garamond" w:eastAsia="Garamond" w:hAnsi="Garamond"/>
          <w:b w:val="false"/>
          <w:bCs w:val="false"/>
          <w:i w:val="false"/>
          <w:iCs w:val="false"/>
          <w:color w:val="2a2520"/>
          <w:sz w:val="22"/>
          <w:szCs w:val="22"/>
        </w:rPr>
        <w:t xml:space="preserve">Individuals own their personal data, likeness, and biometric information. Data collected by any government actor is subject to strict necessity limits — it may not be retained beyond the purpose for which it was collected, shared with third parties without...</w:t>
      </w:r>
    </w:p>
    <w:p>
      <w:pPr>
        <w:spacing w:after="60" w:before="200"/>
        <w:ind w:left="431"/>
        <w:jc w:val="left"/>
      </w:pPr>
      <w:r>
        <w:rPr>
          <w:rFonts w:ascii="Courier New" w:cs="Courier New" w:eastAsia="Courier New" w:hAnsi="Courier New"/>
          <w:b/>
          <w:bCs/>
          <w:color w:val="1B2A4A"/>
          <w:sz w:val="18"/>
          <w:szCs w:val="18"/>
        </w:rPr>
        <w:t xml:space="preserve">§1.10.c  </w:t>
      </w:r>
      <w:r>
        <w:rPr>
          <w:rFonts w:ascii="Garamond" w:cs="Garamond" w:eastAsia="Garamond" w:hAnsi="Garamond"/>
          <w:b/>
          <w:bCs/>
          <w:i w:val="false"/>
          <w:iCs w:val="false"/>
          <w:color w:val="1B2A4A"/>
          <w:sz w:val="22"/>
          <w:szCs w:val="22"/>
        </w:rPr>
        <w:t xml:space="preserve">Encryption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Cryptographic keys are private property. No court or agency may compel their disclosure.</w:t>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Inviolability of the Home and Property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person's home is inviolable against government access without judicial warrant. Private property may not be taken except by absolute public necessity under the conditions of §1.11.b. The definition of "home" for purposes of this provision is established in §1.11.a.</w:t>
      </w:r>
    </w:p>
    <w:p>
      <w:pPr>
        <w:spacing w:after="60" w:before="200"/>
        <w:ind w:left="431"/>
        <w:jc w:val="left"/>
      </w:pPr>
      <w:r>
        <w:rPr>
          <w:rFonts w:ascii="Courier New" w:cs="Courier New" w:eastAsia="Courier New" w:hAnsi="Courier New"/>
          <w:b/>
          <w:bCs/>
          <w:color w:val="1B2A4A"/>
          <w:sz w:val="18"/>
          <w:szCs w:val="18"/>
        </w:rPr>
        <w:t xml:space="preserve">§1.11.a  </w:t>
      </w:r>
      <w:r>
        <w:rPr>
          <w:rFonts w:ascii="Garamond" w:cs="Garamond" w:eastAsia="Garamond" w:hAnsi="Garamond"/>
          <w:b/>
          <w:bCs/>
          <w:i w:val="false"/>
          <w:iCs w:val="false"/>
          <w:color w:val="1B2A4A"/>
          <w:sz w:val="22"/>
          <w:szCs w:val="22"/>
        </w:rPr>
        <w:t xml:space="preserve">Home and Digital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'Home' extends to all physical residences and all digital spaces secured by private cryptographic keys. Access requires a warrant specifying the precise data target or physical space, verified on the NRS before execution. General warrants — broad or unspecified authorizations — are absolutely prohibited.</w:t>
      </w:r>
    </w:p>
    <w:p>
      <w:pPr>
        <w:spacing w:after="60" w:before="200"/>
        <w:ind w:left="431"/>
        <w:jc w:val="left"/>
      </w:pPr>
      <w:r>
        <w:rPr>
          <w:rFonts w:ascii="Courier New" w:cs="Courier New" w:eastAsia="Courier New" w:hAnsi="Courier New"/>
          <w:b/>
          <w:bCs/>
          <w:color w:val="1B2A4A"/>
          <w:sz w:val="18"/>
          <w:szCs w:val="18"/>
        </w:rPr>
        <w:t xml:space="preserve">§1.11.b  </w:t>
      </w:r>
      <w:r>
        <w:rPr>
          <w:rFonts w:ascii="Garamond" w:cs="Garamond" w:eastAsia="Garamond" w:hAnsi="Garamond"/>
          <w:b/>
          <w:bCs/>
          <w:i w:val="false"/>
          <w:iCs w:val="false"/>
          <w:color w:val="1B2A4A"/>
          <w:sz w:val="22"/>
          <w:szCs w:val="22"/>
        </w:rPr>
        <w:t xml:space="preserve">Eminent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Seizure of private property requires proof of absolute public necessity, payment of 150% of fair market value, and NRS publication. Private-to-private transfer via eminent domain — using government condemnation to benefit another private party — is constitutionally prohibited.</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Self-Defense and the 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for personal defense and hunting must not be infringed. The scope and limits of this right are established in §1.12.a through §1.12.c.</w:t>
      </w:r>
    </w:p>
    <w:p>
      <w:pPr>
        <w:spacing w:after="60" w:before="200"/>
        <w:ind w:left="431"/>
        <w:jc w:val="left"/>
      </w:pPr>
      <w:r>
        <w:rPr>
          <w:rFonts w:ascii="Courier New" w:cs="Courier New" w:eastAsia="Courier New" w:hAnsi="Courier New"/>
          <w:b/>
          <w:bCs/>
          <w:color w:val="1B2A4A"/>
          <w:sz w:val="18"/>
          <w:szCs w:val="18"/>
        </w:rPr>
        <w:t xml:space="preserve">§1.12.a  </w:t>
      </w:r>
      <w:r>
        <w:rPr>
          <w:rFonts w:ascii="Garamond" w:cs="Garamond" w:eastAsia="Garamond" w:hAnsi="Garamond"/>
          <w:b/>
          <w:bCs/>
          <w:i w:val="false"/>
          <w:iCs w:val="false"/>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is a personal right held by each individual. It is not a collective right conditional on militia service or membership, and does not require any governmental authorization for keeping arms in the home.</w:t>
      </w:r>
    </w:p>
    <w:p>
      <w:pPr>
        <w:spacing w:after="60" w:before="200"/>
        <w:ind w:left="431"/>
        <w:jc w:val="left"/>
      </w:pPr>
      <w:r>
        <w:rPr>
          <w:rFonts w:ascii="Courier New" w:cs="Courier New" w:eastAsia="Courier New" w:hAnsi="Courier New"/>
          <w:b/>
          <w:bCs/>
          <w:color w:val="1B2A4A"/>
          <w:sz w:val="18"/>
          <w:szCs w:val="18"/>
        </w:rPr>
        <w:t xml:space="preserve">§1.12.b  </w:t>
      </w:r>
      <w:r>
        <w:rPr>
          <w:rFonts w:ascii="Garamond" w:cs="Garamond" w:eastAsia="Garamond" w:hAnsi="Garamond"/>
          <w:b/>
          <w:bCs/>
          <w:i w:val="false"/>
          <w:iCs w:val="false"/>
          <w:color w:val="1B2A4A"/>
          <w:sz w:val="22"/>
          <w:szCs w:val="22"/>
        </w:rPr>
        <w:t xml:space="preserve">State Licensing Latitude</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may establish licensing and safety training requirements as a condition of carrying or possessing firearms. States may regulate the exercise of the right but may not use regulation as a prohibition by another name.</w:t>
      </w:r>
    </w:p>
    <w:p>
      <w:pPr>
        <w:spacing w:after="60" w:before="200"/>
        <w:ind w:left="431"/>
        <w:jc w:val="left"/>
      </w:pPr>
      <w:r>
        <w:rPr>
          <w:rFonts w:ascii="Courier New" w:cs="Courier New" w:eastAsia="Courier New" w:hAnsi="Courier New"/>
          <w:b/>
          <w:bCs/>
          <w:color w:val="1B2A4A"/>
          <w:sz w:val="18"/>
          <w:szCs w:val="18"/>
        </w:rPr>
        <w:t xml:space="preserve">§1.12.c  </w:t>
      </w:r>
      <w:r>
        <w:rPr>
          <w:rFonts w:ascii="Garamond" w:cs="Garamond" w:eastAsia="Garamond" w:hAnsi="Garamond"/>
          <w:b/>
          <w:bCs/>
          <w:i w:val="false"/>
          <w:iCs w:val="false"/>
          <w:color w:val="1B2A4A"/>
          <w:sz w:val="22"/>
          <w:szCs w:val="22"/>
        </w:rPr>
        <w:t xml:space="preserve">Non-Prohibition Principle</w:t>
      </w:r>
    </w:p>
    <w:p>
      <w:pPr>
        <w:spacing w:after="120" w:before="0"/>
        <w:ind w:left="431"/>
        <w:jc w:val="both"/>
      </w:pPr>
      <w:r>
        <w:rPr>
          <w:rFonts w:ascii="Garamond" w:cs="Garamond" w:eastAsia="Garamond" w:hAnsi="Garamond"/>
          <w:b w:val="false"/>
          <w:bCs w:val="false"/>
          <w:i w:val="false"/>
          <w:iCs w:val="false"/>
          <w:color w:val="2a2520"/>
          <w:sz w:val="22"/>
          <w:szCs w:val="22"/>
        </w:rPr>
        <w:t xml:space="preserve">No State requirement may function as an effective prohibition on keeping or bearing arms. A requirement is an effective prohibition if it imposes costs, delays, or conditions that make lawful ownership practically inaccessible to ordinary citizens. The burden of proof lies with the State to demonstrate proportionality.</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Freedom of Movement and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Inhabitants have the right to travel and reside anywhere within the Republic. State professional licensing requirements may not create barriers to labor mobility; licenses issued under State law are recognized throughout the Republic. Every person has the right to form and join trade unions and bargain collectively; the right to strike as a collective work stoppage is protected, subject to reasonable regulation of essential services.</w:t>
      </w:r>
    </w:p>
    <w:p>
      <w:pPr>
        <w:spacing w:after="60" w:before="200"/>
        <w:ind w:left="431"/>
        <w:jc w:val="left"/>
      </w:pPr>
      <w:r>
        <w:rPr>
          <w:rFonts w:ascii="Courier New" w:cs="Courier New" w:eastAsia="Courier New" w:hAnsi="Courier New"/>
          <w:b/>
          <w:bCs/>
          <w:color w:val="1B2A4A"/>
          <w:sz w:val="18"/>
          <w:szCs w:val="18"/>
        </w:rPr>
        <w:t xml:space="preserve">§1.14  </w:t>
      </w:r>
      <w:r>
        <w:rPr>
          <w:rFonts w:ascii="Garamond" w:cs="Garamond" w:eastAsia="Garamond" w:hAnsi="Garamond"/>
          <w:b/>
          <w:bCs/>
          <w:i w:val="false"/>
          <w:iCs w:val="false"/>
          <w:color w:val="1B2A4A"/>
          <w:sz w:val="22"/>
          <w:szCs w:val="22"/>
        </w:rPr>
        <w:t xml:space="preserve">Detention and Habeas Corpus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taken into custody by the State holds the rights established in this section. These rights are self-executing and may not be suspended by statute or executive order.</w:t>
      </w:r>
    </w:p>
    <w:p>
      <w:pPr>
        <w:spacing w:after="60" w:before="200"/>
        <w:ind w:left="431"/>
        <w:jc w:val="left"/>
      </w:pPr>
      <w:r>
        <w:rPr>
          <w:rFonts w:ascii="Courier New" w:cs="Courier New" w:eastAsia="Courier New" w:hAnsi="Courier New"/>
          <w:b/>
          <w:bCs/>
          <w:color w:val="1B2A4A"/>
          <w:sz w:val="18"/>
          <w:szCs w:val="18"/>
        </w:rPr>
        <w:t xml:space="preserve">§1.14.a  </w:t>
      </w:r>
      <w:r>
        <w:rPr>
          <w:rFonts w:ascii="Garamond" w:cs="Garamond" w:eastAsia="Garamond" w:hAnsi="Garamond"/>
          <w:b/>
          <w:bCs/>
          <w:i w:val="false"/>
          <w:iCs w:val="false"/>
          <w:color w:val="1B2A4A"/>
          <w:sz w:val="22"/>
          <w:szCs w:val="22"/>
        </w:rPr>
        <w:t xml:space="preserve">First Appearance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taken into custody must appear before a judicial officer within 72 hours of arrest. At the First Appearance, the judge must determine whether custody is lawful and whether conditions of release are appropriate.</w:t>
      </w:r>
    </w:p>
    <w:p>
      <w:pPr>
        <w:spacing w:after="60" w:before="200"/>
        <w:ind w:left="431"/>
        <w:jc w:val="left"/>
      </w:pPr>
      <w:r>
        <w:rPr>
          <w:rFonts w:ascii="Courier New" w:cs="Courier New" w:eastAsia="Courier New" w:hAnsi="Courier New"/>
          <w:b/>
          <w:bCs/>
          <w:color w:val="1B2A4A"/>
          <w:sz w:val="18"/>
          <w:szCs w:val="18"/>
        </w:rPr>
        <w:t xml:space="preserve">§1.14.b  </w:t>
      </w:r>
      <w:r>
        <w:rPr>
          <w:rFonts w:ascii="Garamond" w:cs="Garamond" w:eastAsia="Garamond" w:hAnsi="Garamond"/>
          <w:b/>
          <w:bCs/>
          <w:i w:val="false"/>
          <w:iCs w:val="false"/>
          <w:color w:val="1B2A4A"/>
          <w:sz w:val="22"/>
          <w:szCs w:val="22"/>
        </w:rPr>
        <w:t xml:space="preserve">Habeas Corpus Response Deadline</w:t>
      </w:r>
    </w:p>
    <w:p>
      <w:pPr>
        <w:spacing w:after="120" w:before="0"/>
        <w:ind w:left="431"/>
        <w:jc w:val="both"/>
      </w:pPr>
      <w:r>
        <w:rPr>
          <w:rFonts w:ascii="Garamond" w:cs="Garamond" w:eastAsia="Garamond" w:hAnsi="Garamond"/>
          <w:b w:val="false"/>
          <w:bCs w:val="false"/>
          <w:i w:val="false"/>
          <w:iCs w:val="false"/>
          <w:color w:val="2a2520"/>
          <w:sz w:val="22"/>
          <w:szCs w:val="22"/>
        </w:rPr>
        <w:t xml:space="preserve">A court receiving a habeas corpus petition must rule within 48 hours of filing. No procedural rule may extend this deadline. A court that fails to rule within 48 hours is deemed to have found the detention unlawful — the detained person must be released or brought before a judicial officer immediately.</w:t>
      </w:r>
    </w:p>
    <w:p>
      <w:pPr>
        <w:spacing w:after="60" w:before="200"/>
        <w:ind w:left="431"/>
        <w:jc w:val="left"/>
      </w:pPr>
      <w:r>
        <w:rPr>
          <w:rFonts w:ascii="Courier New" w:cs="Courier New" w:eastAsia="Courier New" w:hAnsi="Courier New"/>
          <w:b/>
          <w:bCs/>
          <w:color w:val="1B2A4A"/>
          <w:sz w:val="18"/>
          <w:szCs w:val="18"/>
        </w:rPr>
        <w:t xml:space="preserve">§1.14.c  </w:t>
      </w:r>
      <w:r>
        <w:rPr>
          <w:rFonts w:ascii="Garamond" w:cs="Garamond" w:eastAsia="Garamond" w:hAnsi="Garamond"/>
          <w:b/>
          <w:bCs/>
          <w:i w:val="false"/>
          <w:iCs w:val="false"/>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detained by the State has the absolute right to challenge the lawfulness of their confinement before a judge at any time. The right cannot be suspended by emergency declaration — it appears in §1.26.b's list of absolutely non-derogable rights.</w:t>
      </w:r>
    </w:p>
    <w:p>
      <w:pPr>
        <w:spacing w:after="60" w:before="200"/>
        <w:ind w:left="431"/>
        <w:jc w:val="left"/>
      </w:pPr>
      <w:r>
        <w:rPr>
          <w:rFonts w:ascii="Courier New" w:cs="Courier New" w:eastAsia="Courier New" w:hAnsi="Courier New"/>
          <w:b/>
          <w:bCs/>
          <w:color w:val="1B2A4A"/>
          <w:sz w:val="18"/>
          <w:szCs w:val="18"/>
        </w:rPr>
        <w:t xml:space="preserve">§1.15  </w:t>
      </w:r>
      <w:r>
        <w:rPr>
          <w:rFonts w:ascii="Garamond" w:cs="Garamond" w:eastAsia="Garamond" w:hAnsi="Garamond"/>
          <w:b/>
          <w:bCs/>
          <w:i w:val="false"/>
          <w:iCs w:val="false"/>
          <w:color w:val="1B2A4A"/>
          <w:sz w:val="22"/>
          <w:szCs w:val="22"/>
        </w:rPr>
        <w:t xml:space="preserve">Rights of the Accused</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crime or subject to criminal proceedings holds the rights established in this section from the moment of accusation through final disposition.</w:t>
      </w:r>
    </w:p>
    <w:p>
      <w:pPr>
        <w:spacing w:after="60" w:before="200"/>
        <w:ind w:left="431"/>
        <w:jc w:val="left"/>
      </w:pPr>
      <w:r>
        <w:rPr>
          <w:rFonts w:ascii="Courier New" w:cs="Courier New" w:eastAsia="Courier New" w:hAnsi="Courier New"/>
          <w:b/>
          <w:bCs/>
          <w:color w:val="1B2A4A"/>
          <w:sz w:val="18"/>
          <w:szCs w:val="18"/>
        </w:rPr>
        <w:t xml:space="preserve">§1.15.a  </w:t>
      </w:r>
      <w:r>
        <w:rPr>
          <w:rFonts w:ascii="Garamond" w:cs="Garamond" w:eastAsia="Garamond" w:hAnsi="Garamond"/>
          <w:b/>
          <w:bCs/>
          <w:i w:val="false"/>
          <w:iCs w:val="false"/>
          <w:color w:val="1B2A4A"/>
          <w:sz w:val="22"/>
          <w:szCs w:val="22"/>
        </w:rPr>
        <w:t xml:space="preserve">Right to Counsel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accused of a crime or subject to detention has the right to retain and consult with a lawyer before questioning. If they cannot afford counsel, the Republic provides it. The right attaches from the moment of accusation or detention, not from formal charging.</w:t>
      </w:r>
    </w:p>
    <w:p>
      <w:pPr>
        <w:spacing w:after="60" w:before="200"/>
        <w:ind w:left="431"/>
        <w:jc w:val="left"/>
      </w:pPr>
      <w:r>
        <w:rPr>
          <w:rFonts w:ascii="Courier New" w:cs="Courier New" w:eastAsia="Courier New" w:hAnsi="Courier New"/>
          <w:b/>
          <w:bCs/>
          <w:color w:val="1B2A4A"/>
          <w:sz w:val="18"/>
          <w:szCs w:val="18"/>
        </w:rPr>
        <w:t xml:space="preserve">§1.15.b  </w:t>
      </w:r>
      <w:r>
        <w:rPr>
          <w:rFonts w:ascii="Garamond" w:cs="Garamond" w:eastAsia="Garamond" w:hAnsi="Garamond"/>
          <w:b/>
          <w:bCs/>
          <w:i w:val="false"/>
          <w:iCs w:val="false"/>
          <w:color w:val="1B2A4A"/>
          <w:sz w:val="22"/>
          <w:szCs w:val="22"/>
        </w:rPr>
        <w:t xml:space="preserve">Caseload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maximum caseload limits for publicly funded defense — ensuring that the right to counsel means genuine preparation, not nominal presence. Public defenders must be resourced equivalently to prosecutorial offices handling comparable cases.</w:t>
      </w:r>
    </w:p>
    <w:p>
      <w:pPr>
        <w:spacing w:after="60" w:before="200"/>
        <w:ind w:left="431"/>
        <w:jc w:val="left"/>
      </w:pPr>
      <w:r>
        <w:rPr>
          <w:rFonts w:ascii="Courier New" w:cs="Courier New" w:eastAsia="Courier New" w:hAnsi="Courier New"/>
          <w:b/>
          <w:bCs/>
          <w:color w:val="1B2A4A"/>
          <w:sz w:val="18"/>
          <w:szCs w:val="18"/>
        </w:rPr>
        <w:t xml:space="preserve">§1.15.c  </w:t>
      </w:r>
      <w:r>
        <w:rPr>
          <w:rFonts w:ascii="Garamond" w:cs="Garamond" w:eastAsia="Garamond" w:hAnsi="Garamond"/>
          <w:b/>
          <w:bCs/>
          <w:i w:val="false"/>
          <w:iCs w:val="false"/>
          <w:color w:val="1B2A4A"/>
          <w:sz w:val="22"/>
          <w:szCs w:val="22"/>
        </w:rPr>
        <w:t xml:space="preserve">Right to Be Informed of Charges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detained or accused must be informed promptly, in plain language they understand, of the specific grounds for their detention and the charges being considered. Detention without meaningful explanation of its basis is unconstitutional from its first moment.</w:t>
      </w:r>
    </w:p>
    <w:p>
      <w:pPr>
        <w:spacing w:after="60" w:before="200"/>
        <w:ind w:left="431"/>
        <w:jc w:val="left"/>
      </w:pPr>
      <w:r>
        <w:rPr>
          <w:rFonts w:ascii="Courier New" w:cs="Courier New" w:eastAsia="Courier New" w:hAnsi="Courier New"/>
          <w:b/>
          <w:bCs/>
          <w:color w:val="1B2A4A"/>
          <w:sz w:val="18"/>
          <w:szCs w:val="18"/>
        </w:rPr>
        <w:t xml:space="preserve">§1.15.d  </w:t>
      </w:r>
      <w:r>
        <w:rPr>
          <w:rFonts w:ascii="Garamond" w:cs="Garamond" w:eastAsia="Garamond" w:hAnsi="Garamond"/>
          <w:b/>
          <w:bCs/>
          <w:i w:val="false"/>
          <w:iCs w:val="false"/>
          <w:color w:val="1B2A4A"/>
          <w:sz w:val="22"/>
          <w:szCs w:val="22"/>
        </w:rPr>
        <w:t xml:space="preserve">Right to Full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accused person has the right to full disclosure of all State evidence — including evidence the prosecution does not intend to use — before trial. Any withholding of exculpatory evidence is a constitutional violation, not a procedural irregularity.</w:t>
      </w:r>
    </w:p>
    <w:p>
      <w:pPr>
        <w:spacing w:after="60" w:before="200"/>
        <w:ind w:left="431"/>
        <w:jc w:val="left"/>
      </w:pPr>
      <w:r>
        <w:rPr>
          <w:rFonts w:ascii="Courier New" w:cs="Courier New" w:eastAsia="Courier New" w:hAnsi="Courier New"/>
          <w:b/>
          <w:bCs/>
          <w:color w:val="1B2A4A"/>
          <w:sz w:val="18"/>
          <w:szCs w:val="18"/>
        </w:rPr>
        <w:t xml:space="preserve">§1.16  </w:t>
      </w:r>
      <w:r>
        <w:rPr>
          <w:rFonts w:ascii="Garamond" w:cs="Garamond" w:eastAsia="Garamond" w:hAnsi="Garamond"/>
          <w:b/>
          <w:bCs/>
          <w:i w:val="false"/>
          <w:iCs w:val="false"/>
          <w:color w:val="1B2A4A"/>
          <w:sz w:val="22"/>
          <w:szCs w:val="22"/>
        </w:rPr>
        <w:t xml:space="preserve">Fair Trial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subject to criminal proceedings has the right to a fair and timely trial. These rights may not be waived by prosecutorial pressure, plea incentive, or judicial scheduling convenience.</w:t>
      </w:r>
    </w:p>
    <w:p>
      <w:pPr>
        <w:spacing w:after="60" w:before="200"/>
        <w:ind w:left="431"/>
        <w:jc w:val="left"/>
      </w:pPr>
      <w:r>
        <w:rPr>
          <w:rFonts w:ascii="Courier New" w:cs="Courier New" w:eastAsia="Courier New" w:hAnsi="Courier New"/>
          <w:b/>
          <w:bCs/>
          <w:color w:val="1B2A4A"/>
          <w:sz w:val="18"/>
          <w:szCs w:val="18"/>
        </w:rPr>
        <w:t xml:space="preserve">§1.16.a  </w:t>
      </w:r>
      <w:r>
        <w:rPr>
          <w:rFonts w:ascii="Garamond" w:cs="Garamond" w:eastAsia="Garamond" w:hAnsi="Garamond"/>
          <w:b/>
          <w:bCs/>
          <w:i w:val="false"/>
          <w:iCs w:val="false"/>
          <w:color w:val="1B2A4A"/>
          <w:sz w:val="22"/>
          <w:szCs w:val="22"/>
        </w:rPr>
        <w:t xml:space="preserve">Speedy Trial Principle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accused person has the right to trial without unreasonable delay. Delay caused by the State is not a neutral fact — prolonged pre-trial detention is itself a punishment imposed without verdict. What constitutes unreasonable delay is defined by the Legislature in statute, subject to judicial review.</w:t>
      </w:r>
    </w:p>
    <w:p>
      <w:pPr>
        <w:spacing w:after="60" w:before="200"/>
        <w:ind w:left="431"/>
        <w:jc w:val="left"/>
      </w:pPr>
      <w:r>
        <w:rPr>
          <w:rFonts w:ascii="Courier New" w:cs="Courier New" w:eastAsia="Courier New" w:hAnsi="Courier New"/>
          <w:b/>
          <w:bCs/>
          <w:color w:val="1B2A4A"/>
          <w:sz w:val="18"/>
          <w:szCs w:val="18"/>
        </w:rPr>
        <w:t xml:space="preserve">§1.16.b  </w:t>
      </w:r>
      <w:r>
        <w:rPr>
          <w:rFonts w:ascii="Garamond" w:cs="Garamond" w:eastAsia="Garamond" w:hAnsi="Garamond"/>
          <w:b/>
          <w:bCs/>
          <w:i w:val="false"/>
          <w:iCs w:val="false"/>
          <w:color w:val="1B2A4A"/>
          <w:sz w:val="22"/>
          <w:szCs w:val="22"/>
        </w:rPr>
        <w:t xml:space="preserve">Bail Proportionality</w:t>
      </w:r>
    </w:p>
    <w:p>
      <w:pPr>
        <w:spacing w:after="120" w:before="0"/>
        <w:ind w:left="431"/>
        <w:jc w:val="both"/>
      </w:pPr>
      <w:r>
        <w:rPr>
          <w:rFonts w:ascii="Garamond" w:cs="Garamond" w:eastAsia="Garamond" w:hAnsi="Garamond"/>
          <w:b w:val="false"/>
          <w:bCs w:val="false"/>
          <w:i w:val="false"/>
          <w:iCs w:val="false"/>
          <w:color w:val="2a2520"/>
          <w:sz w:val="22"/>
          <w:szCs w:val="22"/>
        </w:rPr>
        <w:t xml:space="preserve">Pre-trial detention may only be ordered where the court makes a specific, individualized finding that the accused poses a genuine flight risk or documented danger to an identifiable person. Financial inability to post bail does not justify detention — bail conditions must be proportionate to what the accused can actually pay.</w:t>
      </w:r>
    </w:p>
    <w:p>
      <w:pPr>
        <w:spacing w:after="60" w:before="200"/>
        <w:ind w:left="431"/>
        <w:jc w:val="left"/>
      </w:pPr>
      <w:r>
        <w:rPr>
          <w:rFonts w:ascii="Courier New" w:cs="Courier New" w:eastAsia="Courier New" w:hAnsi="Courier New"/>
          <w:b/>
          <w:bCs/>
          <w:color w:val="1B2A4A"/>
          <w:sz w:val="18"/>
          <w:szCs w:val="18"/>
        </w:rPr>
        <w:t xml:space="preserve">§1.16.c  </w:t>
      </w:r>
      <w:r>
        <w:rPr>
          <w:rFonts w:ascii="Garamond" w:cs="Garamond" w:eastAsia="Garamond" w:hAnsi="Garamond"/>
          <w:b/>
          <w:bCs/>
          <w:i w:val="false"/>
          <w:iCs w:val="false"/>
          <w:color w:val="1B2A4A"/>
          <w:sz w:val="22"/>
          <w:szCs w:val="22"/>
        </w:rPr>
        <w:t xml:space="preserve">Protection from Trial Penalties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trial may not be penalized. A defendant who exercises their right to trial may not receive a harsher sentence than they would have received by entering a guilty plea for the same offense. Sentencing 'trial penalties' are constitutionally prohibited.</w:t>
      </w:r>
    </w:p>
    <w:p>
      <w:pPr>
        <w:spacing w:after="60" w:before="200"/>
        <w:ind w:left="431"/>
        <w:jc w:val="left"/>
      </w:pPr>
      <w:r>
        <w:rPr>
          <w:rFonts w:ascii="Courier New" w:cs="Courier New" w:eastAsia="Courier New" w:hAnsi="Courier New"/>
          <w:b/>
          <w:bCs/>
          <w:color w:val="1B2A4A"/>
          <w:sz w:val="18"/>
          <w:szCs w:val="18"/>
        </w:rPr>
        <w:t xml:space="preserve">§1.16.d  </w:t>
      </w:r>
      <w:r>
        <w:rPr>
          <w:rFonts w:ascii="Garamond" w:cs="Garamond" w:eastAsia="Garamond" w:hAnsi="Garamond"/>
          <w:b/>
          <w:bCs/>
          <w:i w:val="false"/>
          <w:iCs w:val="false"/>
          <w:color w:val="1B2A4A"/>
          <w:sz w:val="22"/>
          <w:szCs w:val="22"/>
        </w:rPr>
        <w:t xml:space="preserve">Source Code Right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Any accused person has the right to inspect, challenge, and rebut any algorithm, automated system, statistical model, or raw dataset used as evidence or to generate a score influencing their case. Technology-opaque evidence against which no defense can be mounted is constitutionally inadmissible.</w:t>
      </w:r>
    </w:p>
    <w:p>
      <w:pPr>
        <w:spacing w:after="60" w:before="200"/>
        <w:ind w:left="431"/>
        <w:jc w:val="left"/>
      </w:pPr>
      <w:r>
        <w:rPr>
          <w:rFonts w:ascii="Courier New" w:cs="Courier New" w:eastAsia="Courier New" w:hAnsi="Courier New"/>
          <w:b/>
          <w:bCs/>
          <w:color w:val="1B2A4A"/>
          <w:sz w:val="18"/>
          <w:szCs w:val="18"/>
        </w:rPr>
        <w:t xml:space="preserve">§1.17  </w:t>
      </w:r>
      <w:r>
        <w:rPr>
          <w:rFonts w:ascii="Garamond" w:cs="Garamond" w:eastAsia="Garamond" w:hAnsi="Garamond"/>
          <w:b/>
          <w:bCs/>
          <w:i w:val="false"/>
          <w:iCs w:val="false"/>
          <w:color w:val="1B2A4A"/>
          <w:sz w:val="22"/>
          <w:szCs w:val="22"/>
        </w:rPr>
        <w:t xml:space="preserve">Right to Silence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compelled to testify against themselves or to produce self-incriminating evidence. The right of silence is complete — silence may not be commented upon or used to draw adverse inferences. Consistent with §1.10.c, this extends to cryptographic keys.</w:t>
      </w:r>
    </w:p>
    <w:p>
      <w:pPr>
        <w:spacing w:after="60" w:before="200"/>
        <w:ind w:left="431"/>
        <w:jc w:val="left"/>
      </w:pPr>
      <w:r>
        <w:rPr>
          <w:rFonts w:ascii="Courier New" w:cs="Courier New" w:eastAsia="Courier New" w:hAnsi="Courier New"/>
          <w:b/>
          <w:bCs/>
          <w:color w:val="1B2A4A"/>
          <w:sz w:val="18"/>
          <w:szCs w:val="18"/>
        </w:rPr>
        <w:t xml:space="preserve">§1.18  </w:t>
      </w:r>
      <w:r>
        <w:rPr>
          <w:rFonts w:ascii="Garamond" w:cs="Garamond" w:eastAsia="Garamond" w:hAnsi="Garamond"/>
          <w:b/>
          <w:bCs/>
          <w:i w:val="false"/>
          <w:iCs w:val="false"/>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accused person has the right to a public trial before a judge and, in criminal matters, a jury of peers. Secret or closed proceedings are constitutionally prohibited except for the minimal portion where a specific witness's safety requires it — and even then the verdict must be public. Also permanently unamendable.</w:t>
      </w:r>
    </w:p>
    <w:p>
      <w:pPr>
        <w:spacing w:after="60" w:before="200"/>
        <w:ind w:left="431"/>
        <w:jc w:val="left"/>
      </w:pPr>
      <w:r>
        <w:rPr>
          <w:rFonts w:ascii="Courier New" w:cs="Courier New" w:eastAsia="Courier New" w:hAnsi="Courier New"/>
          <w:b/>
          <w:bCs/>
          <w:color w:val="1B2A4A"/>
          <w:sz w:val="18"/>
          <w:szCs w:val="18"/>
        </w:rPr>
        <w:t xml:space="preserve">§1.19  </w:t>
      </w:r>
      <w:r>
        <w:rPr>
          <w:rFonts w:ascii="Garamond" w:cs="Garamond" w:eastAsia="Garamond" w:hAnsi="Garamond"/>
          <w:b/>
          <w:bCs/>
          <w:i w:val="false"/>
          <w:iCs w:val="false"/>
          <w:color w:val="1B2A4A"/>
          <w:sz w:val="22"/>
          <w:szCs w:val="22"/>
        </w:rPr>
        <w:t xml:space="preserve">Criminal Law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criminal law may not be applied retroactively or used to punish a person more than once for the same conduct. These prohibitions apply equally to the federal government and to every State.</w:t>
      </w:r>
    </w:p>
    <w:p>
      <w:pPr>
        <w:spacing w:after="60" w:before="200"/>
        <w:ind w:left="431"/>
        <w:jc w:val="left"/>
      </w:pPr>
      <w:r>
        <w:rPr>
          <w:rFonts w:ascii="Courier New" w:cs="Courier New" w:eastAsia="Courier New" w:hAnsi="Courier New"/>
          <w:b/>
          <w:bCs/>
          <w:color w:val="1B2A4A"/>
          <w:sz w:val="18"/>
          <w:szCs w:val="18"/>
        </w:rPr>
        <w:t xml:space="preserve">§1.19.a  </w:t>
      </w:r>
      <w:r>
        <w:rPr>
          <w:rFonts w:ascii="Garamond" w:cs="Garamond" w:eastAsia="Garamond" w:hAnsi="Garamond"/>
          <w:b/>
          <w:bCs/>
          <w:i w:val="false"/>
          <w:iCs w:val="false"/>
          <w:color w:val="1B2A4A"/>
          <w:sz w:val="22"/>
          <w:szCs w:val="22"/>
        </w:rPr>
        <w:t xml:space="preserve">No Retroactive Criminal Laws</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convicted of an act that was not defined as a criminal offense at the time it was committed. No sentence may exceed the maximum available at the time of the offense. The prohibition on retroactive criminal law is absolute and permanently unamendable.</w:t>
      </w:r>
    </w:p>
    <w:p>
      <w:pPr>
        <w:spacing w:after="60" w:before="200"/>
        <w:ind w:left="431"/>
        <w:jc w:val="left"/>
      </w:pPr>
      <w:r>
        <w:rPr>
          <w:rFonts w:ascii="Courier New" w:cs="Courier New" w:eastAsia="Courier New" w:hAnsi="Courier New"/>
          <w:b/>
          <w:bCs/>
          <w:color w:val="1B2A4A"/>
          <w:sz w:val="18"/>
          <w:szCs w:val="18"/>
        </w:rPr>
        <w:t xml:space="preserve">§1.19.b  </w:t>
      </w:r>
      <w:r>
        <w:rPr>
          <w:rFonts w:ascii="Garamond" w:cs="Garamond" w:eastAsia="Garamond" w:hAnsi="Garamond"/>
          <w:b/>
          <w:bCs/>
          <w:i w:val="false"/>
          <w:iCs w:val="false"/>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tried or punished more than once for the same offense arising from the same factual events. Acquittal is final. This applies across all levels of the Republic's court system — a State court acquittal cannot be retried in a federal court on the same facts.</w:t>
      </w:r>
    </w:p>
    <w:p>
      <w:pPr>
        <w:spacing w:after="60" w:before="200"/>
        <w:ind w:left="431"/>
        <w:jc w:val="left"/>
      </w:pPr>
      <w:r>
        <w:rPr>
          <w:rFonts w:ascii="Courier New" w:cs="Courier New" w:eastAsia="Courier New" w:hAnsi="Courier New"/>
          <w:b/>
          <w:bCs/>
          <w:color w:val="1B2A4A"/>
          <w:sz w:val="18"/>
          <w:szCs w:val="18"/>
        </w:rPr>
        <w:t xml:space="preserve">§1.20  </w:t>
      </w:r>
      <w:r>
        <w:rPr>
          <w:rFonts w:ascii="Garamond" w:cs="Garamond" w:eastAsia="Garamond" w:hAnsi="Garamond"/>
          <w:b/>
          <w:bCs/>
          <w:i w:val="false"/>
          <w:iCs w:val="false"/>
          <w:color w:val="1B2A4A"/>
          <w:sz w:val="22"/>
          <w:szCs w:val="22"/>
        </w:rPr>
        <w:t xml:space="preserve">Right to Democratic Participation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action may make voting materially more difficult for any eligible citizen. This covers not only formal disenfranchisement but practical barriers: polling place closures, identification requirements that function as wealth or document-access tests, registration obstacles designed to suppress participation, and reductions in early or mail voting access. This right is self-executing: a citizen facing a material barrier may bring a constitutional claim directly in court. Eligibility to vote is established in §16.4.</w:t>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Right to Marry and Found a Family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marry or form a legally recognized partnership belongs to any two consenting adults regardless of sex, gender, or sexual orientation. The Republic must recognize such partnerships for all legal purposes. The Legislature and States may not create hierarchies of partnership recognition based on the characteristics of the parties.</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Rights of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has the right to protection from exploitation, abuse, and neglect. In all State actions affecting minors, the welfare and best interests of the child are the primary consideration — not merely one factor to be weighed.</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Environmental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holds an enforceable constitutional obligation to protect communities from government-caused environmental harm and to maintain the long-term ecological integrity of the Republic's natural environment. Both obligations are subject to annual Inspectorate reporting under §8.1.</w:t>
      </w:r>
    </w:p>
    <w:p>
      <w:pPr>
        <w:spacing w:after="60" w:before="200"/>
        <w:ind w:left="431"/>
        <w:jc w:val="left"/>
      </w:pPr>
      <w:r>
        <w:rPr>
          <w:rFonts w:ascii="Courier New" w:cs="Courier New" w:eastAsia="Courier New" w:hAnsi="Courier New"/>
          <w:b/>
          <w:bCs/>
          <w:color w:val="1B2A4A"/>
          <w:sz w:val="18"/>
          <w:szCs w:val="18"/>
        </w:rPr>
        <w:t xml:space="preserve">§1.23.a  </w:t>
      </w:r>
      <w:r>
        <w:rPr>
          <w:rFonts w:ascii="Garamond" w:cs="Garamond" w:eastAsia="Garamond" w:hAnsi="Garamond"/>
          <w:b/>
          <w:bCs/>
          <w:i w:val="false"/>
          <w:iCs w:val="false"/>
          <w:color w:val="1B2A4A"/>
          <w:sz w:val="22"/>
          <w:szCs w:val="22"/>
        </w:rPr>
        <w:t xml:space="preserve">Government Non-Harm</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authority may knowingly expose any community of Inhabitants to environmental hazards without full disclosure, meaningful consultation, and proportionate mitigation. The Government Non-Harm principle makes environmental poisoning of communities a constitutional violation, not merely a policy failure.</w:t>
      </w:r>
    </w:p>
    <w:p>
      <w:pPr>
        <w:spacing w:after="60" w:before="200"/>
        <w:ind w:left="431"/>
        <w:jc w:val="left"/>
      </w:pPr>
      <w:r>
        <w:rPr>
          <w:rFonts w:ascii="Courier New" w:cs="Courier New" w:eastAsia="Courier New" w:hAnsi="Courier New"/>
          <w:b/>
          <w:bCs/>
          <w:color w:val="1B2A4A"/>
          <w:sz w:val="18"/>
          <w:szCs w:val="18"/>
        </w:rPr>
        <w:t xml:space="preserve">§1.23.b  </w:t>
      </w:r>
      <w:r>
        <w:rPr>
          <w:rFonts w:ascii="Garamond" w:cs="Garamond" w:eastAsia="Garamond" w:hAnsi="Garamond"/>
          <w:b/>
          <w:bCs/>
          <w:i w:val="false"/>
          <w:iCs w:val="false"/>
          <w:color w:val="1B2A4A"/>
          <w:sz w:val="22"/>
          <w:szCs w:val="22"/>
        </w:rPr>
        <w:t xml:space="preserve">Environmental Stewardship</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long-term stewardship of the Republic's natural environment is a constitutional obligation of the federal government — not aspirational language. It creates an enforceable duty to maintain ecological integrity that the Inspectorates are mandated to report on annually.</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Education and Literacy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holds a constitutional right to education adequate to participate fully in civic life. The Republic's obligation under this section is both corrective — addressing wealth-based inequality in educational opportunity — and foundational — ensuring public education equips every student to meet the constitutional literacy standard. Parents retain the right to educate through alternative means that meet that standard.</w:t>
      </w:r>
    </w:p>
    <w:p>
      <w:pPr>
        <w:spacing w:after="60" w:before="200"/>
        <w:ind w:left="431"/>
        <w:jc w:val="left"/>
      </w:pPr>
      <w:r>
        <w:rPr>
          <w:rFonts w:ascii="Courier New" w:cs="Courier New" w:eastAsia="Courier New" w:hAnsi="Courier New"/>
          <w:b/>
          <w:bCs/>
          <w:color w:val="1B2A4A"/>
          <w:sz w:val="18"/>
          <w:szCs w:val="18"/>
        </w:rPr>
        <w:t xml:space="preserve">§1.24.a  </w:t>
      </w:r>
      <w:r>
        <w:rPr>
          <w:rFonts w:ascii="Garamond" w:cs="Garamond" w:eastAsia="Garamond" w:hAnsi="Garamond"/>
          <w:b/>
          <w:bCs/>
          <w:i w:val="false"/>
          <w:iCs w:val="false"/>
          <w:color w:val="1B2A4A"/>
          <w:sz w:val="22"/>
          <w:szCs w:val="22"/>
        </w:rPr>
        <w:t xml:space="preserve">Federal Education Assistance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must provide adequate education assistance to States and Territories so that no child's educational opportunity is determined primarily by the wealth of their territory. Federal assistance must address the gap between what a jurisdiction can fund locally and what the constitutional literacy standard requires.</w:t>
      </w:r>
    </w:p>
    <w:p>
      <w:pPr>
        <w:spacing w:after="60" w:before="200"/>
        <w:ind w:left="431"/>
        <w:jc w:val="left"/>
      </w:pPr>
      <w:r>
        <w:rPr>
          <w:rFonts w:ascii="Courier New" w:cs="Courier New" w:eastAsia="Courier New" w:hAnsi="Courier New"/>
          <w:b/>
          <w:bCs/>
          <w:color w:val="1B2A4A"/>
          <w:sz w:val="18"/>
          <w:szCs w:val="18"/>
        </w:rPr>
        <w:t xml:space="preserve">§1.24.b  </w:t>
      </w:r>
      <w:r>
        <w:rPr>
          <w:rFonts w:ascii="Garamond" w:cs="Garamond" w:eastAsia="Garamond" w:hAnsi="Garamond"/>
          <w:b/>
          <w:bCs/>
          <w:i w:val="false"/>
          <w:iCs w:val="false"/>
          <w:color w:val="1B2A4A"/>
          <w:sz w:val="22"/>
          <w:szCs w:val="22"/>
        </w:rPr>
        <w:t xml:space="preserve">Constitutional Literacy</w:t>
      </w:r>
    </w:p>
    <w:p>
      <w:pPr>
        <w:spacing w:after="120" w:before="0"/>
        <w:ind w:left="431"/>
        <w:jc w:val="both"/>
      </w:pPr>
      <w:r>
        <w:rPr>
          <w:rFonts w:ascii="Garamond" w:cs="Garamond" w:eastAsia="Garamond" w:hAnsi="Garamond"/>
          <w:b w:val="false"/>
          <w:bCs w:val="false"/>
          <w:i w:val="false"/>
          <w:iCs w:val="false"/>
          <w:color w:val="2a2520"/>
          <w:sz w:val="22"/>
          <w:szCs w:val="22"/>
        </w:rPr>
        <w:t xml:space="preserve">Public education must equip every student to understand the structure, rights, and civic obligations established by this constitution. This is a substantive floor — not a test requirement, but an educational outcome. The constitutional literacy standard for citizenship naturalization purposes is separately established by the CLT under §5.4.</w:t>
      </w:r>
    </w:p>
    <w:p>
      <w:pPr>
        <w:spacing w:after="60" w:before="200"/>
        <w:ind w:left="431"/>
        <w:jc w:val="left"/>
      </w:pPr>
      <w:r>
        <w:rPr>
          <w:rFonts w:ascii="Courier New" w:cs="Courier New" w:eastAsia="Courier New" w:hAnsi="Courier New"/>
          <w:b/>
          <w:bCs/>
          <w:color w:val="1B2A4A"/>
          <w:sz w:val="18"/>
          <w:szCs w:val="18"/>
        </w:rPr>
        <w:t xml:space="preserve">§1.24.c  </w:t>
      </w:r>
      <w:r>
        <w:rPr>
          <w:rFonts w:ascii="Garamond" w:cs="Garamond" w:eastAsia="Garamond" w:hAnsi="Garamond"/>
          <w:b/>
          <w:bCs/>
          <w:i w:val="false"/>
          <w:iCs w:val="false"/>
          <w:color w:val="1B2A4A"/>
          <w:sz w:val="22"/>
          <w:szCs w:val="22"/>
        </w:rPr>
        <w:t xml:space="preserve">Parental Right</w:t>
      </w:r>
    </w:p>
    <w:p>
      <w:pPr>
        <w:spacing w:after="120" w:before="0"/>
        <w:ind w:left="431"/>
        <w:jc w:val="both"/>
      </w:pPr>
      <w:r>
        <w:rPr>
          <w:rFonts w:ascii="Garamond" w:cs="Garamond" w:eastAsia="Garamond" w:hAnsi="Garamond"/>
          <w:b w:val="false"/>
          <w:bCs w:val="false"/>
          <w:i w:val="false"/>
          <w:iCs w:val="false"/>
          <w:color w:val="2a2520"/>
          <w:sz w:val="22"/>
          <w:szCs w:val="22"/>
        </w:rPr>
        <w:t xml:space="preserve">Parents retain the right to educate children through alternative means — homeschooling, faith-based schools, alternative institutions — provided those alternatives meet the constitutional literacy standard. The Republic may set the floor; it may not mandate the method.</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Housing Non-Exclusion</w:t>
      </w:r>
    </w:p>
    <w:p>
      <w:pPr>
        <w:spacing w:after="120" w:before="0"/>
        <w:ind w:left="431"/>
        <w:jc w:val="both"/>
      </w:pPr>
      <w:r>
        <w:rPr>
          <w:rFonts w:ascii="Garamond" w:cs="Garamond" w:eastAsia="Garamond" w:hAnsi="Garamond"/>
          <w:b w:val="false"/>
          <w:bCs w:val="false"/>
          <w:i w:val="false"/>
          <w:iCs w:val="false"/>
          <w:color w:val="2a2520"/>
          <w:sz w:val="22"/>
          <w:szCs w:val="22"/>
        </w:rPr>
        <w:t xml:space="preserve">Housing access is a constitutional right — no government authority may use its powers to exclude persons from housing on discriminatory grounds or to deny housing to those who cannot independently secure it. The non-exclusion principle is established in §1.25.a and the BNF housing obligation in §1.25.b.</w:t>
      </w:r>
    </w:p>
    <w:p>
      <w:pPr>
        <w:spacing w:after="60" w:before="200"/>
        <w:ind w:left="431"/>
        <w:jc w:val="left"/>
      </w:pPr>
      <w:r>
        <w:rPr>
          <w:rFonts w:ascii="Courier New" w:cs="Courier New" w:eastAsia="Courier New" w:hAnsi="Courier New"/>
          <w:b/>
          <w:bCs/>
          <w:color w:val="1B2A4A"/>
          <w:sz w:val="18"/>
          <w:szCs w:val="18"/>
        </w:rPr>
        <w:t xml:space="preserve">§1.25.a  </w:t>
      </w:r>
      <w:r>
        <w:rPr>
          <w:rFonts w:ascii="Garamond" w:cs="Garamond" w:eastAsia="Garamond" w:hAnsi="Garamond"/>
          <w:b/>
          <w:bCs/>
          <w:i w:val="false"/>
          <w:iCs w:val="false"/>
          <w:color w:val="1B2A4A"/>
          <w:sz w:val="22"/>
          <w:szCs w:val="22"/>
        </w:rPr>
        <w:t xml:space="preserve">Non-Exclusion Principle</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authority — federal, State, or local — may use regulatory or land-use powers to exclude any person from access to housing on the basis of any characteristic enumerated in §1.9. Exclusionary zoning designed to keep certain populations out of a community is constitutionally prohibited.</w:t>
      </w:r>
    </w:p>
    <w:p>
      <w:pPr>
        <w:spacing w:after="60" w:before="200"/>
        <w:ind w:left="431"/>
        <w:jc w:val="left"/>
      </w:pPr>
      <w:r>
        <w:rPr>
          <w:rFonts w:ascii="Courier New" w:cs="Courier New" w:eastAsia="Courier New" w:hAnsi="Courier New"/>
          <w:b/>
          <w:bCs/>
          <w:color w:val="1B2A4A"/>
          <w:sz w:val="18"/>
          <w:szCs w:val="18"/>
        </w:rPr>
        <w:t xml:space="preserve">§1.25.b  </w:t>
      </w:r>
      <w:r>
        <w:rPr>
          <w:rFonts w:ascii="Garamond" w:cs="Garamond" w:eastAsia="Garamond" w:hAnsi="Garamond"/>
          <w:b/>
          <w:bCs/>
          <w:i w:val="false"/>
          <w:iCs w:val="false"/>
          <w:color w:val="1B2A4A"/>
          <w:sz w:val="22"/>
          <w:szCs w:val="22"/>
        </w:rPr>
        <w:t xml:space="preserve">BNF Housing Obligation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Housing access for persons who cannot independently secure it is a Basic Needs Floor obligation under §10.1. Housing exclusion is an enforceable constitutional violation.</w:t>
      </w:r>
    </w:p>
    <w:p>
      <w:pPr>
        <w:spacing w:after="60" w:before="200"/>
        <w:ind w:left="431"/>
        <w:jc w:val="left"/>
      </w:pPr>
      <w:r>
        <w:rPr>
          <w:rFonts w:ascii="Courier New" w:cs="Courier New" w:eastAsia="Courier New" w:hAnsi="Courier New"/>
          <w:b/>
          <w:bCs/>
          <w:color w:val="1B2A4A"/>
          <w:sz w:val="18"/>
          <w:szCs w:val="18"/>
        </w:rPr>
        <w:t xml:space="preserve">§1.26  </w:t>
      </w:r>
      <w:r>
        <w:rPr>
          <w:rFonts w:ascii="Garamond" w:cs="Garamond" w:eastAsia="Garamond" w:hAnsi="Garamond"/>
          <w:b/>
          <w:bCs/>
          <w:i w:val="false"/>
          <w:iCs w:val="false"/>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 however severe — suspends the Individual Sovereignty Floor in full. Temporary derogation of certain rights is permitted only under the strict conditions of this section; the rights enumerated in §1.26.b may not be derogated under any circumstances.</w:t>
      </w:r>
    </w:p>
    <w:p>
      <w:pPr>
        <w:spacing w:after="60" w:before="200"/>
        <w:ind w:left="431"/>
        <w:jc w:val="left"/>
      </w:pPr>
      <w:r>
        <w:rPr>
          <w:rFonts w:ascii="Courier New" w:cs="Courier New" w:eastAsia="Courier New" w:hAnsi="Courier New"/>
          <w:b/>
          <w:bCs/>
          <w:color w:val="1B2A4A"/>
          <w:sz w:val="18"/>
          <w:szCs w:val="18"/>
        </w:rPr>
        <w:t xml:space="preserve">§1.26.a  </w:t>
      </w:r>
      <w:r>
        <w:rPr>
          <w:rFonts w:ascii="Garamond" w:cs="Garamond" w:eastAsia="Garamond" w:hAnsi="Garamond"/>
          <w:b/>
          <w:bCs/>
          <w:i w:val="false"/>
          <w:iCs w:val="false"/>
          <w:color w:val="1B2A4A"/>
          <w:sz w:val="22"/>
          <w:szCs w:val="22"/>
        </w:rPr>
        <w:t xml:space="preserve">Emergency Derogation — Declaration Requirements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derogation of Article I rights requires a precisely structured declaration specifying: the nature of the emergency, which rights are limited, the geographic scope, the duration, and the review mechanism. The specificity requirement prevents open-ended emergency licenses — the government must commit in advance to exactly what it is doing, for how long, and where. Blanket declarations are constitutionally invalid. The declaration is published to the NRS immediately: an undisclosed emergency is not a constitutionally recognized emergency. Automatic expiry (§1.26.d) without renewal.</w:t>
      </w:r>
    </w:p>
    <w:p>
      <w:pPr>
        <w:spacing w:after="60" w:before="200"/>
        <w:ind w:left="431"/>
        <w:jc w:val="left"/>
      </w:pPr>
      <w:r>
        <w:rPr>
          <w:rFonts w:ascii="Courier New" w:cs="Courier New" w:eastAsia="Courier New" w:hAnsi="Courier New"/>
          <w:b/>
          <w:bCs/>
          <w:color w:val="1B2A4A"/>
          <w:sz w:val="18"/>
          <w:szCs w:val="18"/>
        </w:rPr>
        <w:t xml:space="preserve">§1.26.b  </w:t>
      </w:r>
      <w:r>
        <w:rPr>
          <w:rFonts w:ascii="Garamond" w:cs="Garamond" w:eastAsia="Garamond" w:hAnsi="Garamond"/>
          <w:b/>
          <w:bCs/>
          <w:i w:val="false"/>
          <w:iCs w:val="false"/>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six rights are absolute under any circumstances: the prohibition on torture (§1.3); slavery (§1.4); habeas corpus (§1.14); the right to a public trial (§1.18); no retroactive punishment (§1.19); and non-refoulement (§1.28). No emergency declaration, executive order, or legislative act may derogate any of these rights. They are non-derogable by their nature — their value derives precisely from the fact that they hold under the worst circumstances, not only the ordinary ones.</w:t>
      </w:r>
    </w:p>
    <w:p>
      <w:pPr>
        <w:spacing w:after="60" w:before="200"/>
        <w:ind w:left="431"/>
        <w:jc w:val="left"/>
      </w:pPr>
      <w:r>
        <w:rPr>
          <w:rFonts w:ascii="Courier New" w:cs="Courier New" w:eastAsia="Courier New" w:hAnsi="Courier New"/>
          <w:b/>
          <w:bCs/>
          <w:color w:val="1B2A4A"/>
          <w:sz w:val="18"/>
          <w:szCs w:val="18"/>
        </w:rPr>
        <w:t xml:space="preserve">§1.26.c  </w:t>
      </w:r>
      <w:r>
        <w:rPr>
          <w:rFonts w:ascii="Garamond" w:cs="Garamond" w:eastAsia="Garamond" w:hAnsi="Garamond"/>
          <w:b/>
          <w:bCs/>
          <w:i w:val="false"/>
          <w:iCs w:val="false"/>
          <w:color w:val="1B2A4A"/>
          <w:sz w:val="22"/>
          <w:szCs w:val="22"/>
        </w:rPr>
        <w:t xml:space="preserve">Inspectorate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continue to operate with full constitutional authority throughout any emergency — they cannot be suspended or have their mandate reduced by emergency declaration. Accountability infrastructure is precisely most important when emergency powers are active.</w:t>
      </w:r>
    </w:p>
    <w:p>
      <w:pPr>
        <w:spacing w:after="60" w:before="200"/>
        <w:ind w:left="431"/>
        <w:jc w:val="left"/>
      </w:pPr>
      <w:r>
        <w:rPr>
          <w:rFonts w:ascii="Courier New" w:cs="Courier New" w:eastAsia="Courier New" w:hAnsi="Courier New"/>
          <w:b/>
          <w:bCs/>
          <w:color w:val="1B2A4A"/>
          <w:sz w:val="18"/>
          <w:szCs w:val="18"/>
        </w:rPr>
        <w:t xml:space="preserve">§1.26.d  </w:t>
      </w:r>
      <w:r>
        <w:rPr>
          <w:rFonts w:ascii="Garamond" w:cs="Garamond" w:eastAsia="Garamond" w:hAnsi="Garamond"/>
          <w:b/>
          <w:bCs/>
          <w:i w:val="false"/>
          <w:iCs w:val="false"/>
          <w:color w:val="1B2A4A"/>
          <w:sz w:val="22"/>
          <w:szCs w:val="22"/>
        </w:rPr>
        <w:t xml:space="preserve">Automatic Expiry and 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measures lapse automatically at the expiry of the Declaration. Judicial review of any emergency measure is available to any citizen at any time, and courts may rule during the emergency that a specific measure is unconstitutional.</w:t>
      </w:r>
    </w:p>
    <w:p>
      <w:pPr>
        <w:spacing w:after="60" w:before="200"/>
        <w:ind w:left="431"/>
        <w:jc w:val="left"/>
      </w:pPr>
      <w:r>
        <w:rPr>
          <w:rFonts w:ascii="Courier New" w:cs="Courier New" w:eastAsia="Courier New" w:hAnsi="Courier New"/>
          <w:b/>
          <w:bCs/>
          <w:color w:val="1B2A4A"/>
          <w:sz w:val="18"/>
          <w:szCs w:val="18"/>
        </w:rPr>
        <w:t xml:space="preserve">§1.26.e  </w:t>
      </w:r>
      <w:r>
        <w:rPr>
          <w:rFonts w:ascii="Garamond" w:cs="Garamond" w:eastAsia="Garamond" w:hAnsi="Garamond"/>
          <w:b/>
          <w:bCs/>
          <w:i w:val="false"/>
          <w:iCs w:val="false"/>
          <w:color w:val="1B2A4A"/>
          <w:sz w:val="22"/>
          <w:szCs w:val="22"/>
        </w:rPr>
        <w:t xml:space="preserve">No Permanent Emergency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extend an emergency measure by re-declaration within 60 days of its expiry, or at all unless a 2/3 majority certifies continued necessity.</w:t>
      </w:r>
    </w:p>
    <w:p>
      <w:pPr>
        <w:spacing w:after="60" w:before="200"/>
        <w:ind w:left="431"/>
        <w:jc w:val="left"/>
      </w:pPr>
      <w:r>
        <w:rPr>
          <w:rFonts w:ascii="Courier New" w:cs="Courier New" w:eastAsia="Courier New" w:hAnsi="Courier New"/>
          <w:b/>
          <w:bCs/>
          <w:color w:val="1B2A4A"/>
          <w:sz w:val="18"/>
          <w:szCs w:val="18"/>
        </w:rPr>
        <w:t xml:space="preserve">§1.27  </w:t>
      </w:r>
      <w:r>
        <w:rPr>
          <w:rFonts w:ascii="Garamond" w:cs="Garamond" w:eastAsia="Garamond" w:hAnsi="Garamond"/>
          <w:b/>
          <w:bCs/>
          <w:i w:val="false"/>
          <w:iCs w:val="false"/>
          <w:color w:val="1B2A4A"/>
          <w:sz w:val="22"/>
          <w:szCs w:val="22"/>
        </w:rPr>
        <w:t xml:space="preserve">Associated Community Residents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residing within any Associated Community operating under a compact with the Republic holds the full protections of Article I, enforceable directly by federal courts regardless of the Associated Community's internal governance structure. No compact provision may limit or qualify any Article I right for any resident of Associated Community territory.</w:t>
      </w:r>
    </w:p>
    <w:p>
      <w:pPr>
        <w:spacing w:after="60" w:before="200"/>
        <w:ind w:left="431"/>
        <w:jc w:val="left"/>
      </w:pPr>
      <w:r>
        <w:rPr>
          <w:rFonts w:ascii="Courier New" w:cs="Courier New" w:eastAsia="Courier New" w:hAnsi="Courier New"/>
          <w:b/>
          <w:bCs/>
          <w:color w:val="1B2A4A"/>
          <w:sz w:val="18"/>
          <w:szCs w:val="18"/>
        </w:rPr>
        <w:t xml:space="preserve">§1.28  </w:t>
      </w:r>
      <w:r>
        <w:rPr>
          <w:rFonts w:ascii="Garamond" w:cs="Garamond" w:eastAsia="Garamond" w:hAnsi="Garamond"/>
          <w:b/>
          <w:bCs/>
          <w:i w:val="false"/>
          <w:iCs w:val="false"/>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within the Republic's jurisdiction may be returned, expelled, or extradited to any territory where they face genuine risk of persecution, torture, or deprivation of life based on race, religion, nationality, political opinion, or group membership. No exception applies for immigration status, mode of entry, or any emergency declaration. A pending §6.4 asylum application stays removal.</w:t>
      </w:r>
    </w:p>
    <w:p>
      <w:pPr>
        <w:spacing w:after="60" w:before="200"/>
        <w:ind w:left="431"/>
        <w:jc w:val="left"/>
      </w:pPr>
      <w:r>
        <w:rPr>
          <w:rFonts w:ascii="Courier New" w:cs="Courier New" w:eastAsia="Courier New" w:hAnsi="Courier New"/>
          <w:b/>
          <w:bCs/>
          <w:color w:val="1B2A4A"/>
          <w:sz w:val="18"/>
          <w:szCs w:val="18"/>
        </w:rPr>
        <w:t xml:space="preserve">§1.29  </w:t>
      </w:r>
      <w:r>
        <w:rPr>
          <w:rFonts w:ascii="Garamond" w:cs="Garamond" w:eastAsia="Garamond" w:hAnsi="Garamond"/>
          <w:b/>
          <w:bCs/>
          <w:i w:val="false"/>
          <w:iCs w:val="false"/>
          <w:color w:val="1B2A4A"/>
          <w:sz w:val="22"/>
          <w:szCs w:val="22"/>
        </w:rPr>
        <w:t xml:space="preserve">Medical Autonomy</w:t>
      </w:r>
    </w:p>
    <w:p>
      <w:pPr>
        <w:spacing w:after="120" w:before="0"/>
        <w:ind w:left="431"/>
        <w:jc w:val="both"/>
      </w:pPr>
      <w:r>
        <w:rPr>
          <w:rFonts w:ascii="Garamond" w:cs="Garamond" w:eastAsia="Garamond" w:hAnsi="Garamond"/>
          <w:b w:val="false"/>
          <w:bCs w:val="false"/>
          <w:i w:val="false"/>
          <w:iCs w:val="false"/>
          <w:color w:val="2a2520"/>
          <w:sz w:val="22"/>
          <w:szCs w:val="22"/>
        </w:rPr>
        <w:t xml:space="preserve">Medical decisions belong to the patient and their licensed provider. The State's legitimate role is safety and standards: licensing, scope of practice, and quality regulation. State governments may regulate which services licensed professionals offer within their jurisdiction. No State may impose civil or criminal liability on a person for receiving lawful medical care outside that State's jurisdiction, on a person who assists another in travelling to receive such care, on a provider within the State who refers a patient to out-of-state care or provides information about it, or on an out-of-state provider who performs care lawful where it is performed.</w:t>
      </w:r>
    </w:p>
    <w:p>
      <w:pPr>
        <w:spacing w:after="60" w:before="200"/>
        <w:ind w:left="431"/>
        <w:jc w:val="left"/>
      </w:pPr>
      <w:r>
        <w:rPr>
          <w:rFonts w:ascii="Courier New" w:cs="Courier New" w:eastAsia="Courier New" w:hAnsi="Courier New"/>
          <w:b/>
          <w:bCs/>
          <w:color w:val="1B2A4A"/>
          <w:sz w:val="18"/>
          <w:szCs w:val="18"/>
        </w:rPr>
        <w:t xml:space="preserve">§1.30  </w:t>
      </w:r>
      <w:r>
        <w:rPr>
          <w:rFonts w:ascii="Garamond" w:cs="Garamond" w:eastAsia="Garamond" w:hAnsi="Garamond"/>
          <w:b/>
          <w:bCs/>
          <w:i w:val="false"/>
          <w:iCs w:val="false"/>
          <w:color w:val="1B2A4A"/>
          <w:sz w:val="22"/>
          <w:szCs w:val="22"/>
        </w:rPr>
        <w:t xml:space="preserve">Right to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a right to privacy in their person, home, communications, associations, health, and personal data. The government may abridge this right only on a showing of specific, articulable necessity and only to the minimum extent that necessity requires. The general right governs wherever no specific sub-provision addresses the question; the more specific provision controls where one exists.</w:t>
      </w:r>
    </w:p>
    <w:p>
      <w:pPr>
        <w:spacing w:after="60" w:before="200"/>
        <w:ind w:left="431"/>
        <w:jc w:val="left"/>
      </w:pPr>
      <w:r>
        <w:rPr>
          <w:rFonts w:ascii="Courier New" w:cs="Courier New" w:eastAsia="Courier New" w:hAnsi="Courier New"/>
          <w:b/>
          <w:bCs/>
          <w:color w:val="1B2A4A"/>
          <w:sz w:val="18"/>
          <w:szCs w:val="18"/>
        </w:rPr>
        <w:t xml:space="preserve">§1.30.a  </w:t>
      </w:r>
      <w:r>
        <w:rPr>
          <w:rFonts w:ascii="Garamond" w:cs="Garamond" w:eastAsia="Garamond" w:hAnsi="Garamond"/>
          <w:b/>
          <w:bCs/>
          <w:i w:val="false"/>
          <w:iCs w:val="false"/>
          <w:color w:val="1B2A4A"/>
          <w:sz w:val="22"/>
          <w:szCs w:val="22"/>
        </w:rPr>
        <w:t xml:space="preserve">Searches and Seizures</w:t>
      </w:r>
    </w:p>
    <w:p>
      <w:pPr>
        <w:spacing w:after="120" w:before="0"/>
        <w:ind w:left="431"/>
        <w:jc w:val="both"/>
      </w:pPr>
      <w:r>
        <w:rPr>
          <w:rFonts w:ascii="Garamond" w:cs="Garamond" w:eastAsia="Garamond" w:hAnsi="Garamond"/>
          <w:b w:val="false"/>
          <w:bCs w:val="false"/>
          <w:i w:val="false"/>
          <w:iCs w:val="false"/>
          <w:color w:val="2a2520"/>
          <w:sz w:val="22"/>
          <w:szCs w:val="22"/>
        </w:rPr>
        <w:t xml:space="preserve">No unreasonable search or seizure of person, home, property, communications, or data. Any authorized search must be narrowly scoped, judicially approved before execution, and recorded on the NRS. General warrants — broad or unspecified authorizations — are absolutely prohibited. Digital spaces secured by private cryptographic keys are treated as equivalent to a physical home.</w:t>
      </w:r>
    </w:p>
    <w:p>
      <w:pPr>
        <w:spacing w:after="60" w:before="200"/>
        <w:ind w:left="431"/>
        <w:jc w:val="left"/>
      </w:pPr>
      <w:r>
        <w:rPr>
          <w:rFonts w:ascii="Courier New" w:cs="Courier New" w:eastAsia="Courier New" w:hAnsi="Courier New"/>
          <w:b/>
          <w:bCs/>
          <w:color w:val="1B2A4A"/>
          <w:sz w:val="18"/>
          <w:szCs w:val="18"/>
        </w:rPr>
        <w:t xml:space="preserve">§1.30.b  </w:t>
      </w:r>
      <w:r>
        <w:rPr>
          <w:rFonts w:ascii="Garamond" w:cs="Garamond" w:eastAsia="Garamond" w:hAnsi="Garamond"/>
          <w:b/>
          <w:bCs/>
          <w:i w:val="false"/>
          <w:iCs w:val="false"/>
          <w:color w:val="1B2A4A"/>
          <w:sz w:val="22"/>
          <w:szCs w:val="22"/>
        </w:rPr>
        <w:t xml:space="preserve">Medical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Medical information, health records, genetic data, and bodily condition are private. Government compulsion requires a specific judicial order in active legal proceedings, limited to what those proceedings directly require. Public health law disclosures must be proportionate, time-limited, and NRS-recorded.</w:t>
      </w:r>
    </w:p>
    <w:p>
      <w:pPr>
        <w:spacing w:after="60" w:before="200"/>
        <w:ind w:left="431"/>
        <w:jc w:val="left"/>
      </w:pPr>
      <w:r>
        <w:rPr>
          <w:rFonts w:ascii="Courier New" w:cs="Courier New" w:eastAsia="Courier New" w:hAnsi="Courier New"/>
          <w:b/>
          <w:bCs/>
          <w:color w:val="1B2A4A"/>
          <w:sz w:val="18"/>
          <w:szCs w:val="18"/>
        </w:rPr>
        <w:t xml:space="preserve">§1.30.c  </w:t>
      </w:r>
      <w:r>
        <w:rPr>
          <w:rFonts w:ascii="Garamond" w:cs="Garamond" w:eastAsia="Garamond" w:hAnsi="Garamond"/>
          <w:b/>
          <w:bCs/>
          <w:i w:val="false"/>
          <w:iCs w:val="false"/>
          <w:color w:val="1B2A4A"/>
          <w:sz w:val="22"/>
          <w:szCs w:val="22"/>
        </w:rPr>
        <w:t xml:space="preserve">Communications and Data</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collection of private communications or personal data requires specific judicial authorization identifying the person, the data sought, and the collection period. Bulk collection without individual identification is prohibited outright. Private-sector entities cannot be compelled to collect or disclose on the government's behalf beyond what independent judicial authorization would permit. The Legislature may establish data minimization and retention limits for government-held data.</w:t>
      </w:r>
    </w:p>
    <w:p>
      <w:pPr>
        <w:spacing w:after="60" w:before="200"/>
        <w:ind w:left="431"/>
        <w:jc w:val="left"/>
      </w:pPr>
      <w:r>
        <w:rPr>
          <w:rFonts w:ascii="Courier New" w:cs="Courier New" w:eastAsia="Courier New" w:hAnsi="Courier New"/>
          <w:b/>
          <w:bCs/>
          <w:color w:val="1B2A4A"/>
          <w:sz w:val="18"/>
          <w:szCs w:val="18"/>
        </w:rPr>
        <w:t xml:space="preserve">§1.30.d  </w:t>
      </w:r>
      <w:r>
        <w:rPr>
          <w:rFonts w:ascii="Garamond" w:cs="Garamond" w:eastAsia="Garamond" w:hAnsi="Garamond"/>
          <w:b/>
          <w:bCs/>
          <w:i w:val="false"/>
          <w:iCs w:val="false"/>
          <w:color w:val="1B2A4A"/>
          <w:sz w:val="22"/>
          <w:szCs w:val="22"/>
        </w:rPr>
        <w:t xml:space="preserve">Intelligence Firewall</w:t>
      </w:r>
    </w:p>
    <w:p>
      <w:pPr>
        <w:spacing w:after="120" w:before="0"/>
        <w:ind w:left="431"/>
        <w:jc w:val="both"/>
      </w:pPr>
      <w:r>
        <w:rPr>
          <w:rFonts w:ascii="Garamond" w:cs="Garamond" w:eastAsia="Garamond" w:hAnsi="Garamond"/>
          <w:b w:val="false"/>
          <w:bCs w:val="false"/>
          <w:i w:val="false"/>
          <w:iCs w:val="false"/>
          <w:color w:val="2a2520"/>
          <w:sz w:val="22"/>
          <w:szCs w:val="22"/>
        </w:rPr>
        <w:t xml:space="preserve">All domestic intelligence operations against Republic citizens are prohibited and constitutionally void. Any such order is reported to the NRS by the EI. This prohibition is non-derogable — no emergency, treaty, or statute can suspend it.</w:t>
      </w:r>
    </w:p>
    <w:p>
      <w:pPr>
        <w:spacing w:after="60" w:before="200"/>
        <w:ind w:left="431"/>
        <w:jc w:val="left"/>
      </w:pPr>
      <w:r>
        <w:rPr>
          <w:rFonts w:ascii="Courier New" w:cs="Courier New" w:eastAsia="Courier New" w:hAnsi="Courier New"/>
          <w:b/>
          <w:bCs/>
          <w:color w:val="1B2A4A"/>
          <w:sz w:val="18"/>
          <w:szCs w:val="18"/>
        </w:rPr>
        <w:t xml:space="preserve">§1.30.e  </w:t>
      </w:r>
      <w:r>
        <w:rPr>
          <w:rFonts w:ascii="Garamond" w:cs="Garamond" w:eastAsia="Garamond" w:hAnsi="Garamond"/>
          <w:b/>
          <w:bCs/>
          <w:i w:val="false"/>
          <w:iCs w:val="false"/>
          <w:color w:val="1B2A4A"/>
          <w:sz w:val="22"/>
          <w:szCs w:val="22"/>
        </w:rPr>
        <w:t xml:space="preserve">Associational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mapping of associations — who a person knows, meets, communicates with, or joins — requires the same specific judicial authorization as communications collection under §1.30.c. Bulk mapping of associational activity is prohibited on the same terms as bulk collection. The privacy of associational membership is protected separately from the right to associate under §1.7 — a government may not compel disclosure of membership even where it refrains from prohibiting association.</w:t>
      </w:r>
    </w:p>
    <w:p>
      <w:pPr>
        <w:spacing w:after="60" w:before="200"/>
        <w:jc w:val="left"/>
      </w:pPr>
      <w:r>
        <w:rPr>
          <w:rFonts w:ascii="Garamond" w:cs="Garamond" w:eastAsia="Garamond" w:hAnsi="Garamond"/>
          <w:b/>
          <w:bCs/>
          <w:i w:val="false"/>
          <w:iCs w:val="false"/>
          <w:color w:val="1B2A4A"/>
          <w:sz w:val="34"/>
          <w:szCs w:val="34"/>
        </w:rPr>
        <w:t xml:space="preserve">Article II — The Dual Executive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§2.1  </w:t>
      </w:r>
      <w:r>
        <w:rPr>
          <w:rFonts w:ascii="Garamond" w:cs="Garamond" w:eastAsia="Garamond" w:hAnsi="Garamond"/>
          <w:b/>
          <w:bCs/>
          <w:i w:val="false"/>
          <w:iCs w:val="false"/>
          <w:color w:val="1B2A4A"/>
          <w:sz w:val="22"/>
          <w:szCs w:val="22"/>
        </w:rPr>
        <w:t xml:space="preserve">The President — Term and Transfer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holds enumerated executive authority over: military command, foreign affairs, intelligence, treaty negotiation, trade agreements, and domain officer appointments. Presidential authority is enumerated; PM authority is residual. Upon expiration of the presidential term, all authority transfers immediately to the incoming President. No holdover power, acting authority, or transitional executive capacity remains with the outgoing President after the moment of transfer. The outgoing President retains no access to classified information, government systems, or official residence beyond the day of transfer.</w:t>
      </w:r>
    </w:p>
    <w:p>
      <w:pPr>
        <w:spacing w:after="60" w:before="200"/>
        <w:ind w:left="431"/>
        <w:jc w:val="left"/>
      </w:pPr>
      <w:r>
        <w:rPr>
          <w:rFonts w:ascii="Courier New" w:cs="Courier New" w:eastAsia="Courier New" w:hAnsi="Courier New"/>
          <w:b/>
          <w:bCs/>
          <w:color w:val="1B2A4A"/>
          <w:sz w:val="18"/>
          <w:szCs w:val="18"/>
        </w:rPr>
        <w:t xml:space="preserve">§2.1.a  </w:t>
      </w:r>
      <w:r>
        <w:rPr>
          <w:rFonts w:ascii="Garamond" w:cs="Garamond" w:eastAsia="Garamond" w:hAnsi="Garamond"/>
          <w:b/>
          <w:bCs/>
          <w:i w:val="false"/>
          <w:iCs w:val="false"/>
          <w:color w:val="1B2A4A"/>
          <w:sz w:val="22"/>
          <w:szCs w:val="22"/>
        </w:rPr>
        <w:t xml:space="preserve">Tier 1 — Immediate Defensive Response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respond immediately to an active, imminent, or ongoing attack on Republic territory, Republic citizens abroad, or treaty allies without prior legislative authorization. The only presidential power that can be exercised without legislative consent. Strictly bounded: defensive operations only, expires when the immediate threat is neutralized, 12-hour notification to both chambers and the PM. Cannot initiate a conflict or extend operations — those require Tier 2 authorization within 96 hours.</w:t>
      </w:r>
    </w:p>
    <w:p>
      <w:pPr>
        <w:spacing w:after="60" w:before="200"/>
        <w:ind w:left="431"/>
        <w:jc w:val="left"/>
      </w:pPr>
      <w:r>
        <w:rPr>
          <w:rFonts w:ascii="Courier New" w:cs="Courier New" w:eastAsia="Courier New" w:hAnsi="Courier New"/>
          <w:b/>
          <w:bCs/>
          <w:color w:val="1B2A4A"/>
          <w:sz w:val="18"/>
          <w:szCs w:val="18"/>
        </w:rPr>
        <w:t xml:space="preserve">§2.1.b  </w:t>
      </w:r>
      <w:r>
        <w:rPr>
          <w:rFonts w:ascii="Garamond" w:cs="Garamond" w:eastAsia="Garamond" w:hAnsi="Garamond"/>
          <w:b/>
          <w:bCs/>
          <w:i w:val="false"/>
          <w:iCs w:val="false"/>
          <w:color w:val="1B2A4A"/>
          <w:sz w:val="22"/>
          <w:szCs w:val="22"/>
        </w:rPr>
        <w:t xml:space="preserve">Tier 2 — Senate Armed Services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Required within 96 hours for any offensive operation or sustained defensive deployment. Simple majority of the Committee following a classified presidential briefing. Covers 30 days. If the full Legislature does not pass a Tier 3 Declaration within 30 days, all operations except immediate territorial defense must cease automatically. No presidential override.</w:t>
      </w:r>
    </w:p>
    <w:p>
      <w:pPr>
        <w:spacing w:after="60" w:before="200"/>
        <w:ind w:left="431"/>
        <w:jc w:val="left"/>
      </w:pPr>
      <w:r>
        <w:rPr>
          <w:rFonts w:ascii="Courier New" w:cs="Courier New" w:eastAsia="Courier New" w:hAnsi="Courier New"/>
          <w:b/>
          <w:bCs/>
          <w:color w:val="1B2A4A"/>
          <w:sz w:val="18"/>
          <w:szCs w:val="18"/>
        </w:rPr>
        <w:t xml:space="preserve">§2.1.c  </w:t>
      </w:r>
      <w:r>
        <w:rPr>
          <w:rFonts w:ascii="Garamond" w:cs="Garamond" w:eastAsia="Garamond" w:hAnsi="Garamond"/>
          <w:b/>
          <w:bCs/>
          <w:i w:val="false"/>
          <w:iCs w:val="false"/>
          <w:color w:val="1B2A4A"/>
          <w:sz w:val="22"/>
          <w:szCs w:val="22"/>
        </w:rPr>
        <w:t xml:space="preserve">Tier 3 — Legislative Declaration of Defense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democratic authorization. 2/3 concurrent majority of both chambers. Must state the §12.1 authorized purpose. Renewable every 180 days — failure to renew terminates all operations and expenditure with no presidential override. Maximum 5 years then mandatory 90-day cessation.</w:t>
      </w:r>
    </w:p>
    <w:p>
      <w:pPr>
        <w:spacing w:after="60" w:before="200"/>
        <w:ind w:left="431"/>
        <w:jc w:val="left"/>
      </w:pPr>
      <w:r>
        <w:rPr>
          <w:rFonts w:ascii="Courier New" w:cs="Courier New" w:eastAsia="Courier New" w:hAnsi="Courier New"/>
          <w:b/>
          <w:bCs/>
          <w:color w:val="1B2A4A"/>
          <w:sz w:val="18"/>
          <w:szCs w:val="18"/>
        </w:rPr>
        <w:t xml:space="preserve">§2.1.d  </w:t>
      </w:r>
      <w:r>
        <w:rPr>
          <w:rFonts w:ascii="Garamond" w:cs="Garamond" w:eastAsia="Garamond" w:hAnsi="Garamond"/>
          <w:b/>
          <w:bCs/>
          <w:i w:val="false"/>
          <w:iCs w:val="false"/>
          <w:color w:val="1B2A4A"/>
          <w:sz w:val="22"/>
          <w:szCs w:val="22"/>
        </w:rPr>
        <w:t xml:space="preserve">Funding Lock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has no authority to spend domestic funds. All military expenditure requires PM certification. Tier 1 defensive operations carry an automatic 96-hour Emergency Defense Allocation — self-executing, not subject to PM Fiscal Objection. Beyond 96 hours, PM must certify or uncertified spending is void, triggering an immediate pay freeze on military personnel and federal civilian employees directly supporting military operations. Separates the decision to use force from the decision to fund it.</w:t>
      </w:r>
    </w:p>
    <w:p>
      <w:pPr>
        <w:spacing w:after="60" w:before="200"/>
        <w:ind w:left="431"/>
        <w:jc w:val="left"/>
      </w:pPr>
      <w:r>
        <w:rPr>
          <w:rFonts w:ascii="Courier New" w:cs="Courier New" w:eastAsia="Courier New" w:hAnsi="Courier New"/>
          <w:b/>
          <w:bCs/>
          <w:color w:val="1B2A4A"/>
          <w:sz w:val="18"/>
          <w:szCs w:val="18"/>
        </w:rPr>
        <w:t xml:space="preserve">§2.1.e  </w:t>
      </w:r>
      <w:r>
        <w:rPr>
          <w:rFonts w:ascii="Garamond" w:cs="Garamond" w:eastAsia="Garamond" w:hAnsi="Garamond"/>
          <w:b/>
          <w:bCs/>
          <w:i w:val="false"/>
          <w:iCs w:val="false"/>
          <w:color w:val="1B2A4A"/>
          <w:sz w:val="22"/>
          <w:szCs w:val="22"/>
        </w:rPr>
        <w:t xml:space="preserve">Presidential Intelligence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prohibition on domestic intelligence operations against Republic citizens is non-derogable and permanent under §1.30.d. Any order authorizing domestic intelligence operations against Republic citizens is constitutionally void. The EI reports any such order to the NRS.</w:t>
      </w:r>
    </w:p>
    <w:p>
      <w:pPr>
        <w:spacing w:after="60" w:before="200"/>
        <w:ind w:left="431"/>
        <w:jc w:val="left"/>
      </w:pPr>
      <w:r>
        <w:rPr>
          <w:rFonts w:ascii="Courier New" w:cs="Courier New" w:eastAsia="Courier New" w:hAnsi="Courier New"/>
          <w:b/>
          <w:bCs/>
          <w:color w:val="1B2A4A"/>
          <w:sz w:val="18"/>
          <w:szCs w:val="18"/>
        </w:rPr>
        <w:t xml:space="preserve">§2.1.f  </w:t>
      </w:r>
      <w:r>
        <w:rPr>
          <w:rFonts w:ascii="Garamond" w:cs="Garamond" w:eastAsia="Garamond" w:hAnsi="Garamond"/>
          <w:b/>
          <w:bCs/>
          <w:i w:val="false"/>
          <w:iCs w:val="false"/>
          <w:color w:val="1B2A4A"/>
          <w:sz w:val="22"/>
          <w:szCs w:val="22"/>
        </w:rPr>
        <w:t xml:space="preserve">Presidential Veto —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veto only bills that raise a genuine constitutional concern within the security domain: military operations, intelligence, treaty obligations, or border security. A general or speculative security connection is not sufficient. The SC reviews any Presidential veto within 48 hours on petition from either Speaker.</w:t>
      </w:r>
    </w:p>
    <w:p>
      <w:pPr>
        <w:spacing w:after="60" w:before="200"/>
        <w:ind w:left="431"/>
        <w:jc w:val="left"/>
      </w:pPr>
      <w:r>
        <w:rPr>
          <w:rFonts w:ascii="Courier New" w:cs="Courier New" w:eastAsia="Courier New" w:hAnsi="Courier New"/>
          <w:b/>
          <w:bCs/>
          <w:color w:val="1B2A4A"/>
          <w:sz w:val="18"/>
          <w:szCs w:val="18"/>
        </w:rPr>
        <w:t xml:space="preserve">§2.1.f.i  </w:t>
      </w:r>
      <w:r>
        <w:rPr>
          <w:rFonts w:ascii="Garamond" w:cs="Garamond" w:eastAsia="Garamond" w:hAnsi="Garamond"/>
          <w:b/>
          <w:bCs/>
          <w:i w:val="false"/>
          <w:iCs w:val="false"/>
          <w:color w:val="1B2A4A"/>
          <w:sz w:val="22"/>
          <w:szCs w:val="22"/>
        </w:rPr>
        <w:t xml:space="preserve">Judicial Review and Override</w:t>
      </w:r>
    </w:p>
    <w:p>
      <w:pPr>
        <w:spacing w:after="120" w:before="0"/>
        <w:ind w:left="431"/>
        <w:jc w:val="both"/>
      </w:pPr>
      <w:r>
        <w:rPr>
          <w:rFonts w:ascii="Garamond" w:cs="Garamond" w:eastAsia="Garamond" w:hAnsi="Garamond"/>
          <w:b w:val="false"/>
          <w:bCs w:val="false"/>
          <w:i w:val="false"/>
          <w:iCs w:val="false"/>
          <w:color w:val="2a2520"/>
          <w:sz w:val="22"/>
          <w:szCs w:val="22"/>
        </w:rPr>
        <w:t xml:space="preserve">Automatic expedited SC review within 48 hours of petition by either Speaker. The Court determines only whether the bill genuinely raises a constitutional concern within the President's defined domain — not whether the President's security judgment is correct. If the bill does not raise a genuine domain concern, the veto fails.</w:t>
      </w:r>
    </w:p>
    <w:p>
      <w:pPr>
        <w:spacing w:after="60" w:before="200"/>
        <w:ind w:left="431"/>
        <w:jc w:val="left"/>
      </w:pPr>
      <w:r>
        <w:rPr>
          <w:rFonts w:ascii="Courier New" w:cs="Courier New" w:eastAsia="Courier New" w:hAnsi="Courier New"/>
          <w:b/>
          <w:bCs/>
          <w:color w:val="1B2A4A"/>
          <w:sz w:val="18"/>
          <w:szCs w:val="18"/>
        </w:rPr>
        <w:t xml:space="preserve">§2.1.f.ii  </w:t>
      </w:r>
      <w:r>
        <w:rPr>
          <w:rFonts w:ascii="Garamond" w:cs="Garamond" w:eastAsia="Garamond" w:hAnsi="Garamond"/>
          <w:b/>
          <w:bCs/>
          <w:i w:val="false"/>
          <w:iCs w:val="false"/>
          <w:color w:val="1B2A4A"/>
          <w:sz w:val="22"/>
          <w:szCs w:val="22"/>
        </w:rPr>
        <w:t xml:space="preserve">Veto Suspension for Repeated Void Vetoes</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Supreme Court voids three Presidential vetoes on scope or justification grounds within any 180-day period, the President's veto authority is suspended for the remainder of that period. The Legislative Inspectorate publishes a finding to the NRS upon suspension. Suspension affects only the veto power — all other presidential authority, including Tier 1 through Tier 3 military authorization, remains fully operative.</w:t>
      </w:r>
    </w:p>
    <w:p>
      <w:pPr>
        <w:spacing w:after="60" w:before="200"/>
        <w:ind w:left="431"/>
        <w:jc w:val="left"/>
      </w:pPr>
      <w:r>
        <w:rPr>
          <w:rFonts w:ascii="Courier New" w:cs="Courier New" w:eastAsia="Courier New" w:hAnsi="Courier New"/>
          <w:b/>
          <w:bCs/>
          <w:color w:val="1B2A4A"/>
          <w:sz w:val="18"/>
          <w:szCs w:val="18"/>
        </w:rPr>
        <w:t xml:space="preserve">§2.1.g  </w:t>
      </w:r>
      <w:r>
        <w:rPr>
          <w:rFonts w:ascii="Garamond" w:cs="Garamond" w:eastAsia="Garamond" w:hAnsi="Garamond"/>
          <w:b/>
          <w:bCs/>
          <w:i w:val="false"/>
          <w:iCs w:val="false"/>
          <w:color w:val="1B2A4A"/>
          <w:sz w:val="22"/>
          <w:szCs w:val="22"/>
        </w:rPr>
        <w:t xml:space="preserve">Presidential 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Presidential clemency is domain-scoped: military law and national security offenses only. Before any grant, the EI publishes a factual background report to the NRS. Clemency may not be granted for: any offense in which the President was a participant, co-conspirator, or direct beneficiary; any offense committed by a current or former official abusing their official position; or any offense for which the convicted person is simultaneously subject to constitutional violation proceedings. Self-clemency is prohibited under §2.9.b. Every petition, every EI report, and every grant or decline is published to the NRS permanently. Every grant is subject to cross-chamber legislative review under §2.9.c.</w:t>
      </w:r>
    </w:p>
    <w:p>
      <w:pPr>
        <w:spacing w:after="60" w:before="200"/>
        <w:ind w:left="431"/>
        <w:jc w:val="left"/>
      </w:pPr>
      <w:r>
        <w:rPr>
          <w:rFonts w:ascii="Courier New" w:cs="Courier New" w:eastAsia="Courier New" w:hAnsi="Courier New"/>
          <w:b/>
          <w:bCs/>
          <w:color w:val="1B2A4A"/>
          <w:sz w:val="18"/>
          <w:szCs w:val="18"/>
        </w:rPr>
        <w:t xml:space="preserve">§2.1.h  </w:t>
      </w:r>
      <w:r>
        <w:rPr>
          <w:rFonts w:ascii="Garamond" w:cs="Garamond" w:eastAsia="Garamond" w:hAnsi="Garamond"/>
          <w:b/>
          <w:bCs/>
          <w:i w:val="false"/>
          <w:iCs w:val="false"/>
          <w:color w:val="1B2A4A"/>
          <w:sz w:val="22"/>
          <w:szCs w:val="22"/>
        </w:rPr>
        <w:t xml:space="preserve">Dual Executive Conflict Resolution During Active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both executives disagree on whether a military operation falls within the Presidential military domain during active operations, either executive may file a written NRS objection within 6 hours. The executives have 12 hours to resolve the dispute by negotiation. Where no resolution is reached, either executive may petition the Supreme Court for an emergency domain determination; the Court must rule within 24 hours of petition. Pending an SC ruling, the Presidential order governs only operations directly connected to the active military situation while all other government functions follow the PM. Where an SC emergency domain determination under this provision is pending, Tier 1 defensive operations continue on the authority of the Presidential order and are deemed certified for funding purposes until the ruling is published, provided the SC petition was filed before the Emergency Defense Allocation window expired.</w:t>
      </w:r>
    </w:p>
    <w:p>
      <w:pPr>
        <w:spacing w:after="60" w:before="200"/>
        <w:ind w:left="431"/>
        <w:jc w:val="left"/>
      </w:pPr>
      <w:r>
        <w:rPr>
          <w:rFonts w:ascii="Courier New" w:cs="Courier New" w:eastAsia="Courier New" w:hAnsi="Courier New"/>
          <w:b/>
          <w:bCs/>
          <w:color w:val="1B2A4A"/>
          <w:sz w:val="18"/>
          <w:szCs w:val="18"/>
        </w:rPr>
        <w:t xml:space="preserve">§2.1.i  </w:t>
      </w:r>
      <w:r>
        <w:rPr>
          <w:rFonts w:ascii="Garamond" w:cs="Garamond" w:eastAsia="Garamond" w:hAnsi="Garamond"/>
          <w:b/>
          <w:bCs/>
          <w:i w:val="false"/>
          <w:iCs w:val="false"/>
          <w:color w:val="1B2A4A"/>
          <w:sz w:val="22"/>
          <w:szCs w:val="22"/>
        </w:rPr>
        <w:t xml:space="preserve">International Trade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negotiates and concludes trade agreements; PM written concurrence is required where the agreement materially affects the domestic economy. National treatment obligations within Republic territory require PM concurrence, as they directly govern how domestic industry is regulated. Where PM concurrence is withheld, domestic provisions may be transmitted to the House Speaker as ordinary legislation. Ratification requires a 2/3 Senate majority under §3.2.e.</w:t>
      </w:r>
    </w:p>
    <w:p>
      <w:pPr>
        <w:spacing w:after="60" w:before="200"/>
        <w:ind w:left="431"/>
        <w:jc w:val="left"/>
      </w:pPr>
      <w:r>
        <w:rPr>
          <w:rFonts w:ascii="Courier New" w:cs="Courier New" w:eastAsia="Courier New" w:hAnsi="Courier New"/>
          <w:b/>
          <w:bCs/>
          <w:color w:val="1B2A4A"/>
          <w:sz w:val="18"/>
          <w:szCs w:val="18"/>
        </w:rPr>
        <w:t xml:space="preserve">§2.1.j  </w:t>
      </w:r>
      <w:r>
        <w:rPr>
          <w:rFonts w:ascii="Garamond" w:cs="Garamond" w:eastAsia="Garamond" w:hAnsi="Garamond"/>
          <w:b/>
          <w:bCs/>
          <w:i w:val="false"/>
          <w:iCs w:val="false"/>
          <w:color w:val="1B2A4A"/>
          <w:sz w:val="22"/>
          <w:szCs w:val="22"/>
        </w:rPr>
        <w:t xml:space="preserve">Presidential Officer Appointments and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nominates the Director of Intelligence, Secretary for Foreign Affairs, and Secretary for Defense. The Senate confirms each nomination by simple majority within a period the Legislature defines by statute. If the Senate has not voted within that period, the President may name an Acting officer from among civil service employees or existing confirmed executive branch officers. All nominations, confirmations, and Acting appointments are published to the NRS within 24 hours. Acting status runs for up to 6 months from the date of appointment. After 6 months, the Acting officer must either be confirmed by the Senate under the standard process or be re-appointed by the President for one further 30-day extension. After that extension expires without Senate confirmation, the most senior career officer in the relevant department holds the role until a nomination is confirmed. The one-extension limit prevents indefinite Acting appointments circumventing Senate confirmation. An officer subject to an active §3.8 impeachment proceeding may not be removed by the President until those proceedings conclude.</w:t>
      </w:r>
    </w:p>
    <w:p>
      <w:pPr>
        <w:spacing w:after="60" w:before="200"/>
        <w:ind w:left="431"/>
        <w:jc w:val="left"/>
      </w:pPr>
      <w:r>
        <w:rPr>
          <w:rFonts w:ascii="Courier New" w:cs="Courier New" w:eastAsia="Courier New" w:hAnsi="Courier New"/>
          <w:b/>
          <w:bCs/>
          <w:color w:val="1B2A4A"/>
          <w:sz w:val="18"/>
          <w:szCs w:val="18"/>
        </w:rPr>
        <w:t xml:space="preserve">§2.2  </w:t>
      </w:r>
      <w:r>
        <w:rPr>
          <w:rFonts w:ascii="Garamond" w:cs="Garamond" w:eastAsia="Garamond" w:hAnsi="Garamond"/>
          <w:b/>
          <w:bCs/>
          <w:i w:val="false"/>
          <w:iCs w:val="false"/>
          <w:color w:val="1B2A4A"/>
          <w:sz w:val="22"/>
          <w:szCs w:val="22"/>
        </w:rPr>
        <w:t xml:space="preserve">The Prime Minister — Domestic Executive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residual executive authority over all functions not enumerated as Presidential. To be eligible, a person must have held citizenship for at least 10 years. The PM answers to the House through the confidence mechanism and does not require presidential confirmation for the exercise of the domestic domain.</w:t>
      </w:r>
    </w:p>
    <w:p>
      <w:pPr>
        <w:spacing w:after="60" w:before="200"/>
        <w:ind w:left="431"/>
        <w:jc w:val="left"/>
      </w:pPr>
      <w:r>
        <w:rPr>
          <w:rFonts w:ascii="Courier New" w:cs="Courier New" w:eastAsia="Courier New" w:hAnsi="Courier New"/>
          <w:b/>
          <w:bCs/>
          <w:color w:val="1B2A4A"/>
          <w:sz w:val="18"/>
          <w:szCs w:val="18"/>
        </w:rPr>
        <w:t xml:space="preserve">§2.2.a  </w:t>
      </w:r>
      <w:r>
        <w:rPr>
          <w:rFonts w:ascii="Garamond" w:cs="Garamond" w:eastAsia="Garamond" w:hAnsi="Garamond"/>
          <w:b/>
          <w:bCs/>
          <w:i w:val="false"/>
          <w:iCs w:val="false"/>
          <w:color w:val="1B2A4A"/>
          <w:sz w:val="22"/>
          <w:szCs w:val="22"/>
        </w:rPr>
        <w:t xml:space="preserve">Domestic Policy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Prime Minister holds authority over all domestic policy — healthcare, education, infrastructure, housing, labour, environment, and all domestic regulatory frameworks. This authority is residual: it covers every function not expressly enumerated as Presidential under §2.1.</w:t>
      </w:r>
    </w:p>
    <w:p>
      <w:pPr>
        <w:spacing w:after="60" w:before="200"/>
        <w:ind w:left="431"/>
        <w:jc w:val="left"/>
      </w:pPr>
      <w:r>
        <w:rPr>
          <w:rFonts w:ascii="Courier New" w:cs="Courier New" w:eastAsia="Courier New" w:hAnsi="Courier New"/>
          <w:b/>
          <w:bCs/>
          <w:color w:val="1B2A4A"/>
          <w:sz w:val="18"/>
          <w:szCs w:val="18"/>
        </w:rPr>
        <w:t xml:space="preserve">§2.2.b  </w:t>
      </w:r>
      <w:r>
        <w:rPr>
          <w:rFonts w:ascii="Garamond" w:cs="Garamond" w:eastAsia="Garamond" w:hAnsi="Garamond"/>
          <w:b/>
          <w:bCs/>
          <w:i w:val="false"/>
          <w:iCs w:val="false"/>
          <w:color w:val="1B2A4A"/>
          <w:sz w:val="22"/>
          <w:szCs w:val="22"/>
        </w:rPr>
        <w:t xml:space="preserve">Ministerial Appointments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PM appoints senior domestic officers from candidates whose qualifications have been certified by the JI against criteria established by statute. The registry requirement prevents purely political appointments. Senate confirmation provides a further check. PM removal of appointed officers requires published NRS reasons — arbitrary or politically motivated removal is constitutionally visible.</w:t>
      </w:r>
    </w:p>
    <w:p>
      <w:pPr>
        <w:spacing w:after="60" w:before="200"/>
        <w:ind w:left="431"/>
        <w:jc w:val="left"/>
      </w:pPr>
      <w:r>
        <w:rPr>
          <w:rFonts w:ascii="Courier New" w:cs="Courier New" w:eastAsia="Courier New" w:hAnsi="Courier New"/>
          <w:b/>
          <w:bCs/>
          <w:color w:val="1B2A4A"/>
          <w:sz w:val="18"/>
          <w:szCs w:val="18"/>
        </w:rPr>
        <w:t xml:space="preserve">§2.2.c  </w:t>
      </w:r>
      <w:r>
        <w:rPr>
          <w:rFonts w:ascii="Garamond" w:cs="Garamond" w:eastAsia="Garamond" w:hAnsi="Garamond"/>
          <w:b/>
          <w:bCs/>
          <w:i w:val="false"/>
          <w:iCs w:val="false"/>
          <w:color w:val="1B2A4A"/>
          <w:sz w:val="22"/>
          <w:szCs w:val="22"/>
        </w:rPr>
        <w:t xml:space="preserve">PM Fiscal and Budget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budget originates with the PM and requires House passage. The PM's certification function for military expenditure is the financial check on the President's domain: no military operation runs without PM-certified funds.</w:t>
      </w:r>
    </w:p>
    <w:p>
      <w:pPr>
        <w:spacing w:after="60" w:before="200"/>
        <w:ind w:left="431"/>
        <w:jc w:val="left"/>
      </w:pPr>
      <w:r>
        <w:rPr>
          <w:rFonts w:ascii="Courier New" w:cs="Courier New" w:eastAsia="Courier New" w:hAnsi="Courier New"/>
          <w:b/>
          <w:bCs/>
          <w:color w:val="1B2A4A"/>
          <w:sz w:val="18"/>
          <w:szCs w:val="18"/>
        </w:rPr>
        <w:t xml:space="preserve">§2.2.d  </w:t>
      </w:r>
      <w:r>
        <w:rPr>
          <w:rFonts w:ascii="Garamond" w:cs="Garamond" w:eastAsia="Garamond" w:hAnsi="Garamond"/>
          <w:b/>
          <w:bCs/>
          <w:i w:val="false"/>
          <w:iCs w:val="false"/>
          <w:color w:val="1B2A4A"/>
          <w:sz w:val="22"/>
          <w:szCs w:val="22"/>
        </w:rPr>
        <w:t xml:space="preserve">Legislative Review Period</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reviews all enacted legislation and may sign, apply a Fiscal Objection, or apply a Suspensive Veto. Silence within the Legislative Review Period triggers Deemed Enactment — there is no veto by inaction. The Suspensive Veto returns the bill to the Legislature, which may override by 2/3 of both chambers simultaneously.</w:t>
      </w:r>
    </w:p>
    <w:p>
      <w:pPr>
        <w:spacing w:after="60" w:before="200"/>
        <w:ind w:left="431"/>
        <w:jc w:val="left"/>
      </w:pPr>
      <w:r>
        <w:rPr>
          <w:rFonts w:ascii="Courier New" w:cs="Courier New" w:eastAsia="Courier New" w:hAnsi="Courier New"/>
          <w:b/>
          <w:bCs/>
          <w:color w:val="1B2A4A"/>
          <w:sz w:val="18"/>
          <w:szCs w:val="18"/>
        </w:rPr>
        <w:t xml:space="preserve">§2.2.e  </w:t>
      </w:r>
      <w:r>
        <w:rPr>
          <w:rFonts w:ascii="Garamond" w:cs="Garamond" w:eastAsia="Garamond" w:hAnsi="Garamond"/>
          <w:b/>
          <w:bCs/>
          <w:i w:val="false"/>
          <w:iCs w:val="false"/>
          <w:color w:val="1B2A4A"/>
          <w:sz w:val="22"/>
          <w:szCs w:val="22"/>
        </w:rPr>
        <w:t xml:space="preserve">Domestic Emergency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may declare a domestic emergency in response to natural disaster, public health crisis, or civil infrastructure failure. Strictly bounded: no suspension of Article I rights, 30-day initial period renewable by House approval, all emergency orders published to the NRS within 6 hours. The President has no role in domestic emergencies.</w:t>
      </w:r>
    </w:p>
    <w:p>
      <w:pPr>
        <w:spacing w:after="60" w:before="200"/>
        <w:ind w:left="431"/>
        <w:jc w:val="left"/>
      </w:pPr>
      <w:r>
        <w:rPr>
          <w:rFonts w:ascii="Courier New" w:cs="Courier New" w:eastAsia="Courier New" w:hAnsi="Courier New"/>
          <w:b/>
          <w:bCs/>
          <w:color w:val="1B2A4A"/>
          <w:sz w:val="18"/>
          <w:szCs w:val="18"/>
        </w:rPr>
        <w:t xml:space="preserve">§2.2.f  </w:t>
      </w:r>
      <w:r>
        <w:rPr>
          <w:rFonts w:ascii="Garamond" w:cs="Garamond" w:eastAsia="Garamond" w:hAnsi="Garamond"/>
          <w:b/>
          <w:bCs/>
          <w:i w:val="false"/>
          <w:iCs w:val="false"/>
          <w:color w:val="1B2A4A"/>
          <w:sz w:val="22"/>
          <w:szCs w:val="22"/>
        </w:rPr>
        <w:t xml:space="preserve">PM 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Same procedural structure as Presidential clemency: EI factual report published to NRS before any grant. Self-clemency prohibited under §2.9.b. The PM may not pardon Presidential domain offenses under §2.9.c. Broad amnesty for groups requires legislative action under §2.9.a.</w:t>
      </w:r>
    </w:p>
    <w:p>
      <w:pPr>
        <w:spacing w:after="60" w:before="200"/>
        <w:ind w:left="431"/>
        <w:jc w:val="left"/>
      </w:pPr>
      <w:r>
        <w:rPr>
          <w:rFonts w:ascii="Courier New" w:cs="Courier New" w:eastAsia="Courier New" w:hAnsi="Courier New"/>
          <w:b/>
          <w:bCs/>
          <w:color w:val="1B2A4A"/>
          <w:sz w:val="18"/>
          <w:szCs w:val="18"/>
        </w:rPr>
        <w:t xml:space="preserve">§2.2.g  </w:t>
      </w:r>
      <w:r>
        <w:rPr>
          <w:rFonts w:ascii="Garamond" w:cs="Garamond" w:eastAsia="Garamond" w:hAnsi="Garamond"/>
          <w:b/>
          <w:bCs/>
          <w:i w:val="false"/>
          <w:iCs w:val="false"/>
          <w:color w:val="1B2A4A"/>
          <w:sz w:val="22"/>
          <w:szCs w:val="22"/>
        </w:rPr>
        <w:t xml:space="preserve">PM Information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has a constitutional right to full and timely briefing on all national security matters affecting domestic interests. The President may not withhold information from the PM on grounds of security classification where those matters bear on the PM's domestic responsibilities. The Intelligence Firewall under §1.30.d applies equally to both executives.</w:t>
      </w:r>
    </w:p>
    <w:p>
      <w:pPr>
        <w:spacing w:after="60" w:before="200"/>
        <w:ind w:left="431"/>
        <w:jc w:val="left"/>
      </w:pPr>
      <w:r>
        <w:rPr>
          <w:rFonts w:ascii="Courier New" w:cs="Courier New" w:eastAsia="Courier New" w:hAnsi="Courier New"/>
          <w:b/>
          <w:bCs/>
          <w:color w:val="1B2A4A"/>
          <w:sz w:val="18"/>
          <w:szCs w:val="18"/>
        </w:rPr>
        <w:t xml:space="preserve">§2.2.h  </w:t>
      </w:r>
      <w:r>
        <w:rPr>
          <w:rFonts w:ascii="Garamond" w:cs="Garamond" w:eastAsia="Garamond" w:hAnsi="Garamond"/>
          <w:b/>
          <w:bCs/>
          <w:i w:val="false"/>
          <w:iCs w:val="false"/>
          <w:color w:val="1B2A4A"/>
          <w:sz w:val="22"/>
          <w:szCs w:val="22"/>
        </w:rPr>
        <w:t xml:space="preserve">Caretaker PM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PM is temporarily unable to exercise authority, the most senior confirmed Cabinet Minister by continuous length of service, as certified by the JI, serves as Caretaker PM. The Caretaker PM's authority is limited to maintaining existing policy and emergency functions. Caretaker status expires when a new PM is confirmed by the House or the PM resumes their duties, whichever occurs first.</w:t>
      </w:r>
    </w:p>
    <w:p>
      <w:pPr>
        <w:spacing w:after="60" w:before="200"/>
        <w:ind w:left="431"/>
        <w:jc w:val="left"/>
      </w:pPr>
      <w:r>
        <w:rPr>
          <w:rFonts w:ascii="Courier New" w:cs="Courier New" w:eastAsia="Courier New" w:hAnsi="Courier New"/>
          <w:b/>
          <w:bCs/>
          <w:color w:val="1B2A4A"/>
          <w:sz w:val="18"/>
          <w:szCs w:val="18"/>
        </w:rPr>
        <w:t xml:space="preserve">§2.2.i  </w:t>
      </w:r>
      <w:r>
        <w:rPr>
          <w:rFonts w:ascii="Garamond" w:cs="Garamond" w:eastAsia="Garamond" w:hAnsi="Garamond"/>
          <w:b/>
          <w:bCs/>
          <w:i w:val="false"/>
          <w:iCs w:val="false"/>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520"/>
          <w:sz w:val="22"/>
          <w:szCs w:val="22"/>
        </w:rPr>
        <w:t xml:space="preserve">Civil servants must refuse and report any order that lacks required PM fund certification, violates any Article I right, or has not been recorded on the National Record System. A civil servant who refuses an unconstitutional order may not be dismissed, demoted, or penalized for that refusal. The EI reports any attempt to penalize a refusing civil servant to the NRS.</w:t>
      </w:r>
    </w:p>
    <w:p>
      <w:pPr>
        <w:spacing w:after="60" w:before="200"/>
        <w:ind w:left="431"/>
        <w:jc w:val="left"/>
      </w:pPr>
      <w:r>
        <w:rPr>
          <w:rFonts w:ascii="Courier New" w:cs="Courier New" w:eastAsia="Courier New" w:hAnsi="Courier New"/>
          <w:b/>
          <w:bCs/>
          <w:color w:val="1B2A4A"/>
          <w:sz w:val="18"/>
          <w:szCs w:val="18"/>
        </w:rPr>
        <w:t xml:space="preserve">§2.2.j  </w:t>
      </w:r>
      <w:r>
        <w:rPr>
          <w:rFonts w:ascii="Garamond" w:cs="Garamond" w:eastAsia="Garamond" w:hAnsi="Garamond"/>
          <w:b/>
          <w:bCs/>
          <w:i w:val="false"/>
          <w:iCs w:val="false"/>
          <w:color w:val="1B2A4A"/>
          <w:sz w:val="22"/>
          <w:szCs w:val="22"/>
        </w:rPr>
        <w:t xml:space="preserve">Civil Service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has constitutional responsibility for the integrity of the civil service. Civil service appointments, promotions, and assignments must be made on the basis of merit and qualification, not political affiliation. Civil servants are protected from retaliation for exercising their duty of refusal under §2.2.i. The Legislature must by statute establish a Civil Service Commission with independent oversight of hiring, promotion, and disciplinary processes within the civil service.</w:t>
      </w:r>
    </w:p>
    <w:p>
      <w:pPr>
        <w:spacing w:after="60" w:before="200"/>
        <w:ind w:left="431"/>
        <w:jc w:val="left"/>
      </w:pPr>
      <w:r>
        <w:rPr>
          <w:rFonts w:ascii="Courier New" w:cs="Courier New" w:eastAsia="Courier New" w:hAnsi="Courier New"/>
          <w:b/>
          <w:bCs/>
          <w:color w:val="1B2A4A"/>
          <w:sz w:val="18"/>
          <w:szCs w:val="18"/>
        </w:rPr>
        <w:t xml:space="preserve">§2.2.k  </w:t>
      </w:r>
      <w:r>
        <w:rPr>
          <w:rFonts w:ascii="Garamond" w:cs="Garamond" w:eastAsia="Garamond" w:hAnsi="Garamond"/>
          <w:b/>
          <w:bCs/>
          <w:i w:val="false"/>
          <w:iCs w:val="false"/>
          <w:color w:val="1B2A4A"/>
          <w:sz w:val="22"/>
          <w:szCs w:val="22"/>
        </w:rPr>
        <w:t xml:space="preserve">Domestic Affairs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administers domestic executive functions through the Domestic Affairs Council — the coordinating body of senior Cabinet Ministers responsible for the delivery of BNF obligations, oversight of devolved Territories, co-management of National Trust lands, and other domestic functions assigned by statute. The Domestic Affairs Council is chaired by the PM. Its membership, structure, and operational mandate are defined by statute. The Council operates under the PM's constitutional domestic authority and is not an independent constitutional body.</w:t>
      </w:r>
    </w:p>
    <w:p>
      <w:pPr>
        <w:spacing w:after="60" w:before="200"/>
        <w:ind w:left="431"/>
        <w:jc w:val="left"/>
      </w:pPr>
      <w:r>
        <w:rPr>
          <w:rFonts w:ascii="Courier New" w:cs="Courier New" w:eastAsia="Courier New" w:hAnsi="Courier New"/>
          <w:b/>
          <w:bCs/>
          <w:color w:val="1B2A4A"/>
          <w:sz w:val="18"/>
          <w:szCs w:val="18"/>
        </w:rPr>
        <w:t xml:space="preserve">§2.3  </w:t>
      </w:r>
      <w:r>
        <w:rPr>
          <w:rFonts w:ascii="Garamond" w:cs="Garamond" w:eastAsia="Garamond" w:hAnsi="Garamond"/>
          <w:b/>
          <w:bCs/>
          <w:i w:val="false"/>
          <w:iCs w:val="false"/>
          <w:color w:val="1B2A4A"/>
          <w:sz w:val="22"/>
          <w:szCs w:val="22"/>
        </w:rPr>
        <w:t xml:space="preserve">Prime Minister — Accountability and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Prime Minister is accountable to the House through the mechanisms of this section. The House's power to remove the PM is matched by its constitutional obligation to maintain a functioning government.</w:t>
      </w:r>
    </w:p>
    <w:p>
      <w:pPr>
        <w:spacing w:after="60" w:before="200"/>
        <w:ind w:left="431"/>
        <w:jc w:val="left"/>
      </w:pPr>
      <w:r>
        <w:rPr>
          <w:rFonts w:ascii="Courier New" w:cs="Courier New" w:eastAsia="Courier New" w:hAnsi="Courier New"/>
          <w:b/>
          <w:bCs/>
          <w:color w:val="1B2A4A"/>
          <w:sz w:val="18"/>
          <w:szCs w:val="18"/>
        </w:rPr>
        <w:t xml:space="preserve">§2.3.a  </w:t>
      </w:r>
      <w:r>
        <w:rPr>
          <w:rFonts w:ascii="Garamond" w:cs="Garamond" w:eastAsia="Garamond" w:hAnsi="Garamond"/>
          <w:b/>
          <w:bCs/>
          <w:i w:val="false"/>
          <w:iCs w:val="false"/>
          <w:color w:val="1B2A4A"/>
          <w:sz w:val="22"/>
          <w:szCs w:val="22"/>
        </w:rPr>
        <w:t xml:space="preserve">Constructive Vote of No Confidence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cannot simply vote 'no confidence' and leave a vacuum; it must simultaneously elect a replacement by absolute majority of full seated House membership. Both the removal and successor election occur in the same vote.</w:t>
      </w:r>
    </w:p>
    <w:p>
      <w:pPr>
        <w:spacing w:after="60" w:before="200"/>
        <w:ind w:left="431"/>
        <w:jc w:val="left"/>
      </w:pPr>
      <w:r>
        <w:rPr>
          <w:rFonts w:ascii="Courier New" w:cs="Courier New" w:eastAsia="Courier New" w:hAnsi="Courier New"/>
          <w:b/>
          <w:bCs/>
          <w:color w:val="1B2A4A"/>
          <w:sz w:val="18"/>
          <w:szCs w:val="18"/>
        </w:rPr>
        <w:t xml:space="preserve">§2.3.b  </w:t>
      </w:r>
      <w:r>
        <w:rPr>
          <w:rFonts w:ascii="Garamond" w:cs="Garamond" w:eastAsia="Garamond" w:hAnsi="Garamond"/>
          <w:b/>
          <w:bCs/>
          <w:i w:val="false"/>
          <w:iCs w:val="false"/>
          <w:color w:val="1B2A4A"/>
          <w:sz w:val="22"/>
          <w:szCs w:val="22"/>
        </w:rPr>
        <w:t xml:space="preserve">PM Maximum Consecutive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8-year maximum — no PM may serve more than 8 consecutive years. After 8 years, the PM must stand down even if the House would re-elect them. The 8-year maximum and the constructive vote operate independently — a PM reaching 8 years is replaced through a House election of a successor.</w:t>
      </w:r>
    </w:p>
    <w:p>
      <w:pPr>
        <w:spacing w:after="60" w:before="200"/>
        <w:ind w:left="431"/>
        <w:jc w:val="left"/>
      </w:pPr>
      <w:r>
        <w:rPr>
          <w:rFonts w:ascii="Courier New" w:cs="Courier New" w:eastAsia="Courier New" w:hAnsi="Courier New"/>
          <w:b/>
          <w:bCs/>
          <w:color w:val="1B2A4A"/>
          <w:sz w:val="18"/>
          <w:szCs w:val="18"/>
        </w:rPr>
        <w:t xml:space="preserve">§2.3.c  </w:t>
      </w:r>
      <w:r>
        <w:rPr>
          <w:rFonts w:ascii="Garamond" w:cs="Garamond" w:eastAsia="Garamond" w:hAnsi="Garamond"/>
          <w:b/>
          <w:bCs/>
          <w:i w:val="false"/>
          <w:iCs w:val="false"/>
          <w:color w:val="1B2A4A"/>
          <w:sz w:val="22"/>
          <w:szCs w:val="22"/>
        </w:rPr>
        <w:t xml:space="preserve">PM Formation and Senate Designation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elects the PM by absolute majority of full seated membership within 30 days of any general election. The House may attempt to elect a PM at any time. If the House has not elected a PM within 30 days, the most senior confirmed Cabinet Minister by continuous length of service continues as Caretaker PM under §2.2.h. Where the House has not elected a PM within 30 days, the Senate may, by 2/3 supermajority of full seated membership, designate a serving House member as PM. A PM designated under this provision holds full constitutional PM authority and is subject to the same obligations, term limits, and removal procedures as a PM elected by the House, including constructive no-confidence under §2.3.a and the 8-year maximum under §2.3.b. If the House subsequently elects a PM by absolute majority, that election terminates the Senate designation. Where the House has not elected a PM within 30 days, the Legislative Inspectorate publishes a weekly report to the NRS naming each member's participation record — votes taken, candidates proposed, and each member's individual participation — forming the permanent constitutional accountability record for that term.</w:t>
      </w:r>
    </w:p>
    <w:p>
      <w:pPr>
        <w:spacing w:after="60" w:before="200"/>
        <w:ind w:left="431"/>
        <w:jc w:val="left"/>
      </w:pPr>
      <w:r>
        <w:rPr>
          <w:rFonts w:ascii="Courier New" w:cs="Courier New" w:eastAsia="Courier New" w:hAnsi="Courier New"/>
          <w:b/>
          <w:bCs/>
          <w:color w:val="1B2A4A"/>
          <w:sz w:val="18"/>
          <w:szCs w:val="18"/>
        </w:rPr>
        <w:t xml:space="preserve">§2.4  </w:t>
      </w:r>
      <w:r>
        <w:rPr>
          <w:rFonts w:ascii="Garamond" w:cs="Garamond" w:eastAsia="Garamond" w:hAnsi="Garamond"/>
          <w:b/>
          <w:bCs/>
          <w:i w:val="false"/>
          <w:iCs w:val="false"/>
          <w:color w:val="1B2A4A"/>
          <w:sz w:val="22"/>
          <w:szCs w:val="22"/>
        </w:rPr>
        <w:t xml:space="preserve">Prime Minister — Legislative Instruments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two instruments for engaging the Legislature on enacted bills: the Suspensive Veto and the Fiscal Objection.</w:t>
      </w:r>
    </w:p>
    <w:p>
      <w:pPr>
        <w:spacing w:after="60" w:before="200"/>
        <w:ind w:left="431"/>
        <w:jc w:val="left"/>
      </w:pPr>
      <w:r>
        <w:rPr>
          <w:rFonts w:ascii="Courier New" w:cs="Courier New" w:eastAsia="Courier New" w:hAnsi="Courier New"/>
          <w:b/>
          <w:bCs/>
          <w:color w:val="1B2A4A"/>
          <w:sz w:val="18"/>
          <w:szCs w:val="18"/>
        </w:rPr>
        <w:t xml:space="preserve">§2.4.a  </w:t>
      </w:r>
      <w:r>
        <w:rPr>
          <w:rFonts w:ascii="Garamond" w:cs="Garamond" w:eastAsia="Garamond" w:hAnsi="Garamond"/>
          <w:b/>
          <w:bCs/>
          <w:i w:val="false"/>
          <w:iCs w:val="false"/>
          <w:color w:val="1B2A4A"/>
          <w:sz w:val="22"/>
          <w:szCs w:val="22"/>
        </w:rPr>
        <w:t xml:space="preserve">Suspensive Veto</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may return any bill to the Legislature with a written Statement of Objection specifying the constitutional, fiscal, or operational grounds. The statement is recorded permanently on the NRS. The Legislature may override by 2/3 of both chambers simultaneously. The suspensive veto may not be used on: the annual budget; any bill the Legislature has certified as directly implementing a constitutional obligation; or any bill passed under the §2.8 Emergency Governance Protocol. If the Legislature does not hold an override vote within 90 days of the bill being returned, the bill lapses. The PM may apply the suspensive veto to any single bill only once.</w:t>
      </w:r>
    </w:p>
    <w:p>
      <w:pPr>
        <w:spacing w:after="60" w:before="200"/>
        <w:ind w:left="431"/>
        <w:jc w:val="left"/>
      </w:pPr>
      <w:r>
        <w:rPr>
          <w:rFonts w:ascii="Courier New" w:cs="Courier New" w:eastAsia="Courier New" w:hAnsi="Courier New"/>
          <w:b/>
          <w:bCs/>
          <w:color w:val="1B2A4A"/>
          <w:sz w:val="18"/>
          <w:szCs w:val="18"/>
        </w:rPr>
        <w:t xml:space="preserve">§2.4.b  </w:t>
      </w:r>
      <w:r>
        <w:rPr>
          <w:rFonts w:ascii="Garamond" w:cs="Garamond" w:eastAsia="Garamond" w:hAnsi="Garamond"/>
          <w:b/>
          <w:bCs/>
          <w:i w:val="false"/>
          <w:iCs w:val="false"/>
          <w:color w:val="1B2A4A"/>
          <w:sz w:val="22"/>
          <w:szCs w:val="22"/>
        </w:rPr>
        <w:t xml:space="preserve">Fiscal Objection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narrower tool than the Suspensive Veto. The PM may object to legislation on specific solvency grounds: the bill, if enacted, would cause or materially worsen a structural deficit beyond constitutional thresholds. Requires MA assessment within 21 days. House may override by simple majority after receiving the assessment.</w:t>
      </w:r>
    </w:p>
    <w:p>
      <w:pPr>
        <w:spacing w:after="60" w:before="200"/>
        <w:ind w:left="431"/>
        <w:jc w:val="left"/>
      </w:pPr>
      <w:r>
        <w:rPr>
          <w:rFonts w:ascii="Courier New" w:cs="Courier New" w:eastAsia="Courier New" w:hAnsi="Courier New"/>
          <w:b/>
          <w:bCs/>
          <w:color w:val="1B2A4A"/>
          <w:sz w:val="18"/>
          <w:szCs w:val="18"/>
        </w:rPr>
        <w:t xml:space="preserve">§2.4.c  </w:t>
      </w:r>
      <w:r>
        <w:rPr>
          <w:rFonts w:ascii="Garamond" w:cs="Garamond" w:eastAsia="Garamond" w:hAnsi="Garamond"/>
          <w:b/>
          <w:bCs/>
          <w:i w:val="false"/>
          <w:iCs w:val="false"/>
          <w:color w:val="1B2A4A"/>
          <w:sz w:val="22"/>
          <w:szCs w:val="22"/>
        </w:rPr>
        <w:t xml:space="preserve">Deemed Enactment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PM neither signs nor objects within the Legislative Review Period, the bill is automatically enacted. Silence is not a veto.</w:t>
      </w:r>
    </w:p>
    <w:p>
      <w:pPr>
        <w:spacing w:after="60" w:before="200"/>
        <w:ind w:left="431"/>
        <w:jc w:val="left"/>
      </w:pPr>
      <w:r>
        <w:rPr>
          <w:rFonts w:ascii="Courier New" w:cs="Courier New" w:eastAsia="Courier New" w:hAnsi="Courier New"/>
          <w:b/>
          <w:bCs/>
          <w:color w:val="1B2A4A"/>
          <w:sz w:val="18"/>
          <w:szCs w:val="18"/>
        </w:rPr>
        <w:t xml:space="preserve">§2.5  </w:t>
      </w:r>
      <w:r>
        <w:rPr>
          <w:rFonts w:ascii="Garamond" w:cs="Garamond" w:eastAsia="Garamond" w:hAnsi="Garamond"/>
          <w:b/>
          <w:bCs/>
          <w:i w:val="false"/>
          <w:iCs w:val="false"/>
          <w:color w:val="1B2A4A"/>
          <w:sz w:val="22"/>
          <w:szCs w:val="22"/>
        </w:rPr>
        <w:t xml:space="preserve">Legislative Review Period</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hold a concurrent review period following final passage of any bill.</w:t>
      </w:r>
    </w:p>
    <w:p>
      <w:pPr>
        <w:spacing w:after="60" w:before="200"/>
        <w:ind w:left="431"/>
        <w:jc w:val="left"/>
      </w:pPr>
      <w:r>
        <w:rPr>
          <w:rFonts w:ascii="Courier New" w:cs="Courier New" w:eastAsia="Courier New" w:hAnsi="Courier New"/>
          <w:b/>
          <w:bCs/>
          <w:color w:val="1B2A4A"/>
          <w:sz w:val="18"/>
          <w:szCs w:val="18"/>
        </w:rPr>
        <w:t xml:space="preserve">§2.5.a  </w:t>
      </w:r>
      <w:r>
        <w:rPr>
          <w:rFonts w:ascii="Garamond" w:cs="Garamond" w:eastAsia="Garamond" w:hAnsi="Garamond"/>
          <w:b/>
          <w:bCs/>
          <w:i w:val="false"/>
          <w:iCs w:val="false"/>
          <w:color w:val="1B2A4A"/>
          <w:sz w:val="22"/>
          <w:szCs w:val="22"/>
        </w:rPr>
        <w:t xml:space="preserve">Legislative Review Period — Duration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presidential veto period may not exceed 20 days; the PM objection period may not exceed 45 days. The periods run concurrently from the date of final passage in both chambers. If neither executive acts within their respective period, the bill is deemed enacted. The President and PM may jointly agree to shorten a review period but may not extend it beyond the statutory maximum. Where both executives act on the same bill, the instruments operate in parallel. A legislative override of a Presidential veto restores the bill; any pending PM objection period continues from where it stands. Resolution of one executive's instrument does not moot the other's.</w:t>
      </w:r>
    </w:p>
    <w:p>
      <w:pPr>
        <w:spacing w:after="60" w:before="200"/>
        <w:ind w:left="431"/>
        <w:jc w:val="left"/>
      </w:pPr>
      <w:r>
        <w:rPr>
          <w:rFonts w:ascii="Courier New" w:cs="Courier New" w:eastAsia="Courier New" w:hAnsi="Courier New"/>
          <w:b/>
          <w:bCs/>
          <w:color w:val="1B2A4A"/>
          <w:sz w:val="18"/>
          <w:szCs w:val="18"/>
        </w:rPr>
        <w:t xml:space="preserve">§2.6  </w:t>
      </w:r>
      <w:r>
        <w:rPr>
          <w:rFonts w:ascii="Garamond" w:cs="Garamond" w:eastAsia="Garamond" w:hAnsi="Garamond"/>
          <w:b/>
          <w:bCs/>
          <w:i w:val="false"/>
          <w:iCs w:val="false"/>
          <w:color w:val="1B2A4A"/>
          <w:sz w:val="22"/>
          <w:szCs w:val="22"/>
        </w:rPr>
        <w:t xml:space="preserve">Presidential Succession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President's succession and acting authority framework is established in §2.6.a through §2.6.c.</w:t>
      </w:r>
    </w:p>
    <w:p>
      <w:pPr>
        <w:spacing w:after="60" w:before="200"/>
        <w:ind w:left="431"/>
        <w:jc w:val="left"/>
      </w:pPr>
      <w:r>
        <w:rPr>
          <w:rFonts w:ascii="Courier New" w:cs="Courier New" w:eastAsia="Courier New" w:hAnsi="Courier New"/>
          <w:b/>
          <w:bCs/>
          <w:color w:val="1B2A4A"/>
          <w:sz w:val="18"/>
          <w:szCs w:val="18"/>
        </w:rPr>
        <w:t xml:space="preserve">§2.6.a  </w:t>
      </w:r>
      <w:r>
        <w:rPr>
          <w:rFonts w:ascii="Garamond" w:cs="Garamond" w:eastAsia="Garamond" w:hAnsi="Garamond"/>
          <w:b/>
          <w:bCs/>
          <w:i w:val="false"/>
          <w:iCs w:val="false"/>
          <w:color w:val="1B2A4A"/>
          <w:sz w:val="22"/>
          <w:szCs w:val="22"/>
        </w:rPr>
        <w:t xml:space="preserve">Presidential Succession Line</w:t>
      </w:r>
    </w:p>
    <w:p>
      <w:pPr>
        <w:spacing w:after="120" w:before="0"/>
        <w:ind w:left="431"/>
        <w:jc w:val="both"/>
      </w:pPr>
      <w:r>
        <w:rPr>
          <w:rFonts w:ascii="Garamond" w:cs="Garamond" w:eastAsia="Garamond" w:hAnsi="Garamond"/>
          <w:b w:val="false"/>
          <w:bCs w:val="false"/>
          <w:i w:val="false"/>
          <w:iCs w:val="false"/>
          <w:color w:val="2a2520"/>
          <w:sz w:val="22"/>
          <w:szCs w:val="22"/>
        </w:rPr>
        <w:t xml:space="preserve">Full succession activates on Presidential death, resignation, removal, or certified permanent incapacity under §2.6.b. Authority transfers in order: (1) the Senate Speaker; (2) the Senate Deputy Speaker; (3) the most senior member of the Senate Armed Services Committee by years of Senate service. Where the Senate Speaker assumes the presidency — a permanent succession event — their Senate seat is immediately vacated and the Deputy Speaker assumes the Speaker role. A special presidential election must be held within 90 days of the vacancy. This seat vacation applies only to §2.6.a permanent succession; it does not apply to Temporary Acting Presidential Authority under §2.6.b.</w:t>
      </w:r>
    </w:p>
    <w:p>
      <w:pPr>
        <w:spacing w:after="60" w:before="200"/>
        <w:ind w:left="431"/>
        <w:jc w:val="left"/>
      </w:pPr>
      <w:r>
        <w:rPr>
          <w:rFonts w:ascii="Courier New" w:cs="Courier New" w:eastAsia="Courier New" w:hAnsi="Courier New"/>
          <w:b/>
          <w:bCs/>
          <w:color w:val="1B2A4A"/>
          <w:sz w:val="18"/>
          <w:szCs w:val="18"/>
        </w:rPr>
        <w:t xml:space="preserve">§2.6.b  </w:t>
      </w:r>
      <w:r>
        <w:rPr>
          <w:rFonts w:ascii="Garamond" w:cs="Garamond" w:eastAsia="Garamond" w:hAnsi="Garamond"/>
          <w:b/>
          <w:bCs/>
          <w:i w:val="false"/>
          <w:iCs w:val="false"/>
          <w:color w:val="1B2A4A"/>
          <w:sz w:val="22"/>
          <w:szCs w:val="22"/>
        </w:rPr>
        <w:t xml:space="preserve">Temporary Acting Presidential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Temporary Acting Presidential Authority activates through one of two mechanisms. (a) Voluntary transfer: the President publishes a declaration of temporary transfer to the NRS specifying the reason and expected duration; Acting Presidential Authority activates at the moment of NRS publication. (b) Involuntary certification: where the President is suddenly incapacitated and cannot make a voluntary declaration, the Executive Inspectorate and Legislative Inspectorate jointly assess the President's capacity to perform presidential functions. If both Inspectorates reach the same conclusion, they publish a joint assessment to the NRS within 6 hours. The Prime Minister must affirm or formally decline the joint assessment within 3 hours of its NRS publication. If the PM affirms, the Senate Speaker activates Acting Presidential Authority immediately upon NRS publication of the PM's affirmation. If the PM formally declines or fails to respond within 3 hours, either Inspectorate may refer the matter to the most senior available Supreme Court justice. If the justice agrees with the joint Inspectorate assessment, the Senate Speaker acts as Acting President on a provisional basis until an emergency Supreme Court panel delivers a definitive ruling, or the President resumes presidential duties, whichever occurs first. If the justice does not agree, no provisional activation occurs; the matter proceeds to the court panel with the President remaining in office. If the EI and LI reach different conclusions in their assessments, no certification is possible and there is no further recourse under this provision; the President remains in office. A PM who formally declines a joint Inspectorate incapacity assessment without stating constitutional grounds is in constitutional compliance failure; the EI publishes a finding of that failure to the NRS. During any period of Temporary Acting Presidential Authority: (1) the Senate Speaker exercises all constitutional powers of the presidential office, including Tier 1 through Tier 3 military authority, treaty functions, and intelligence oversight; (2) the Senate Speaker retains their Senate seat, which is not vacated; (3) the Deputy Speaker assumes the Senate's presiding functions and the Speaker's position in the presidential succession line for the duration; (4) no special presidential election is triggered; (5) the acting period does not constitute a succession event under §2.6.a and does not expend or initiate any presidential term. Temporary Acting Presidential Authority ends upon: (i) the President publishing a restoration declaration to the NRS, at which point the President immediately resumes full authority; or (ii) the EI and LI jointly certifying and publishing to the NRS that the incapacity has ended, with PM affirmation within 3 hours, at which point the President immediately resumes full authority. Where Temporary Acting Presidential Authority extends beyond 90 consecutive days without restoration, the EI and LI must jointly assess whether the incapacity has become permanent and publish their assessment to the NRS within 7 days of the 90-day mark, with PM affirmation required within 3 hours. The PM refusal mechanism applies identically to this reassessment. If permanent incapacity is certified, §2.6.a succession activates immediately — Acting Presidential Authority converts to full succession, the Speaker's Senate seat is vacated, and the Deputy Speaker assumes the Speaker role permanently. If continued temporary incapacity is certified, Acting Presidential Authority continues and the assessment repeats every 30 days until restoration or permanent certification.</w:t>
      </w:r>
    </w:p>
    <w:p>
      <w:pPr>
        <w:spacing w:after="60" w:before="200"/>
        <w:ind w:left="431"/>
        <w:jc w:val="left"/>
      </w:pPr>
      <w:r>
        <w:rPr>
          <w:rFonts w:ascii="Courier New" w:cs="Courier New" w:eastAsia="Courier New" w:hAnsi="Courier New"/>
          <w:b/>
          <w:bCs/>
          <w:color w:val="1B2A4A"/>
          <w:sz w:val="18"/>
          <w:szCs w:val="18"/>
        </w:rPr>
        <w:t xml:space="preserve">§2.6.c  </w:t>
      </w:r>
      <w:r>
        <w:rPr>
          <w:rFonts w:ascii="Garamond" w:cs="Garamond" w:eastAsia="Garamond" w:hAnsi="Garamond"/>
          <w:b/>
          <w:bCs/>
          <w:i w:val="false"/>
          <w:iCs w:val="false"/>
          <w:color w:val="1B2A4A"/>
          <w:sz w:val="22"/>
          <w:szCs w:val="22"/>
        </w:rPr>
        <w:t xml:space="preserve">Succession-Based Presidential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A person who assumes the presidency by succession under §2.6.a does not thereby expend their single non-renewable term. They must stand for election at the next regular National Election Day presidential cycle, or at a special presidential election called by the Legislature within 90 days of succession, to continue serving beyond the succession period. If elected, that term constitutes their single non-renewable term. If not elected, the next person in the succession line assumes the office or a new election is called.</w:t>
      </w:r>
    </w:p>
    <w:p>
      <w:pPr>
        <w:spacing w:after="60" w:before="200"/>
        <w:ind w:left="431"/>
        <w:jc w:val="left"/>
      </w:pPr>
      <w:r>
        <w:rPr>
          <w:rFonts w:ascii="Courier New" w:cs="Courier New" w:eastAsia="Courier New" w:hAnsi="Courier New"/>
          <w:b/>
          <w:bCs/>
          <w:color w:val="1B2A4A"/>
          <w:sz w:val="18"/>
          <w:szCs w:val="18"/>
        </w:rPr>
        <w:t xml:space="preserve">§2.7  </w:t>
      </w:r>
      <w:r>
        <w:rPr>
          <w:rFonts w:ascii="Garamond" w:cs="Garamond" w:eastAsia="Garamond" w:hAnsi="Garamond"/>
          <w:b/>
          <w:bCs/>
          <w:i w:val="false"/>
          <w:iCs w:val="false"/>
          <w:color w:val="1B2A4A"/>
          <w:sz w:val="22"/>
          <w:szCs w:val="22"/>
        </w:rPr>
        <w:t xml:space="preserve">Executive Transparency and NRS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must publish all official acts — orders, certifications, vetoes, objections, determinations — to the NRS within 48 hours of issuance. No executive may classify, delay, or suppress publication of an act this constitution requires to be published. Failure to publish within 48 hours is a constitutional compliance breach; a late-published act is not void.</w:t>
      </w:r>
    </w:p>
    <w:p>
      <w:pPr>
        <w:spacing w:after="60" w:before="200"/>
        <w:ind w:left="431"/>
        <w:jc w:val="left"/>
      </w:pPr>
      <w:r>
        <w:rPr>
          <w:rFonts w:ascii="Courier New" w:cs="Courier New" w:eastAsia="Courier New" w:hAnsi="Courier New"/>
          <w:b/>
          <w:bCs/>
          <w:color w:val="1B2A4A"/>
          <w:sz w:val="18"/>
          <w:szCs w:val="18"/>
        </w:rPr>
        <w:t xml:space="preserve">§2.8  </w:t>
      </w:r>
      <w:r>
        <w:rPr>
          <w:rFonts w:ascii="Garamond" w:cs="Garamond" w:eastAsia="Garamond" w:hAnsi="Garamond"/>
          <w:b/>
          <w:bCs/>
          <w:i w:val="false"/>
          <w:iCs w:val="false"/>
          <w:color w:val="1B2A4A"/>
          <w:sz w:val="22"/>
          <w:szCs w:val="22"/>
        </w:rPr>
        <w:t xml:space="preserve">Emergency Governance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Caretaker PM period extends beyond 90 days without a seated House — accounting for a 60-day election period and a 30-day seating grace period — the Senate automatically assumes joint emergency legislative authority by simple majority for three functions only: election administration, Basic Needs funding continuity, and active national security obligations. All Senate emergency actions under this provision require co-signature of the Caretaker PM and are published to the NRS. This authority expires automatically the moment a new House is seated.</w:t>
      </w:r>
    </w:p>
    <w:p>
      <w:pPr>
        <w:spacing w:after="60" w:before="200"/>
        <w:ind w:left="431"/>
        <w:jc w:val="left"/>
      </w:pPr>
      <w:r>
        <w:rPr>
          <w:rFonts w:ascii="Courier New" w:cs="Courier New" w:eastAsia="Courier New" w:hAnsi="Courier New"/>
          <w:b/>
          <w:bCs/>
          <w:color w:val="1B2A4A"/>
          <w:sz w:val="18"/>
          <w:szCs w:val="18"/>
        </w:rPr>
        <w:t xml:space="preserve">§2.8.a  </w:t>
      </w:r>
      <w:r>
        <w:rPr>
          <w:rFonts w:ascii="Garamond" w:cs="Garamond" w:eastAsia="Garamond" w:hAnsi="Garamond"/>
          <w:b/>
          <w:bCs/>
          <w:i w:val="false"/>
          <w:iCs w:val="false"/>
          <w:color w:val="1B2A4A"/>
          <w:sz w:val="22"/>
          <w:szCs w:val="22"/>
        </w:rPr>
        <w:t xml:space="preserve">Expedited Activation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Legislature has been physically unable to convene due to an attack on the seat of government or other catastrophic external event, the 90-day waiting period of §2.8 is waived. Expedited activation requires joint certification by the Caretaker PM and the most senior available Supreme Court justice, published to the NRS, stating that the Legislature cannot convene due to catastrophic external circumstances. Upon such certification, the Senate may immediately assume the three emergency functions of §2.8 by majority of surviving members. Expedited activation expires automatically upon the House maintaining quorum and electing a Speaker.</w:t>
      </w:r>
    </w:p>
    <w:p>
      <w:pPr>
        <w:spacing w:after="60" w:before="200"/>
        <w:ind w:left="431"/>
        <w:jc w:val="left"/>
      </w:pPr>
      <w:r>
        <w:rPr>
          <w:rFonts w:ascii="Courier New" w:cs="Courier New" w:eastAsia="Courier New" w:hAnsi="Courier New"/>
          <w:b/>
          <w:bCs/>
          <w:color w:val="1B2A4A"/>
          <w:sz w:val="18"/>
          <w:szCs w:val="18"/>
        </w:rPr>
        <w:t xml:space="preserve">§2.9  </w:t>
      </w:r>
      <w:r>
        <w:rPr>
          <w:rFonts w:ascii="Garamond" w:cs="Garamond" w:eastAsia="Garamond" w:hAnsi="Garamond"/>
          <w:b/>
          <w:bCs/>
          <w:i w:val="false"/>
          <w:iCs w:val="false"/>
          <w:color w:val="1B2A4A"/>
          <w:sz w:val="22"/>
          <w:szCs w:val="22"/>
        </w:rPr>
        <w:t xml:space="preserve">Clemency and Amnesty</w:t>
      </w:r>
    </w:p>
    <w:p>
      <w:pPr>
        <w:spacing w:after="120" w:before="0"/>
        <w:ind w:left="431"/>
        <w:jc w:val="both"/>
      </w:pPr>
      <w:r>
        <w:rPr>
          <w:rFonts w:ascii="Garamond" w:cs="Garamond" w:eastAsia="Garamond" w:hAnsi="Garamond"/>
          <w:b w:val="false"/>
          <w:bCs w:val="false"/>
          <w:i w:val="false"/>
          <w:iCs w:val="false"/>
          <w:color w:val="2a2520"/>
          <w:sz w:val="22"/>
          <w:szCs w:val="22"/>
        </w:rPr>
        <w:t xml:space="preserve">Clemency may only be granted within each executive's domain, with full transparency, and subject to cross-chamber review. Presidential clemency is subject to cross-chamber review under §2.9.c. Self-clemency is absolutely prohibited for all constitutional officers.</w:t>
      </w:r>
    </w:p>
    <w:p>
      <w:pPr>
        <w:spacing w:after="60" w:before="200"/>
        <w:ind w:left="431"/>
        <w:jc w:val="left"/>
      </w:pPr>
      <w:r>
        <w:rPr>
          <w:rFonts w:ascii="Courier New" w:cs="Courier New" w:eastAsia="Courier New" w:hAnsi="Courier New"/>
          <w:b/>
          <w:bCs/>
          <w:color w:val="1B2A4A"/>
          <w:sz w:val="18"/>
          <w:szCs w:val="18"/>
        </w:rPr>
        <w:t xml:space="preserve">§2.9.a  </w:t>
      </w:r>
      <w:r>
        <w:rPr>
          <w:rFonts w:ascii="Garamond" w:cs="Garamond" w:eastAsia="Garamond" w:hAnsi="Garamond"/>
          <w:b/>
          <w:bCs/>
          <w:i w:val="false"/>
          <w:iCs w:val="false"/>
          <w:color w:val="1B2A4A"/>
          <w:sz w:val="22"/>
          <w:szCs w:val="22"/>
        </w:rPr>
        <w:t xml:space="preserve">Legislative Amnesty</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Legislature may grant group amnesty, by simple majority of both chambers. No executive may grant group amnesty. Cannot extend to constitutional violations, official misconduct offenses, or crimes against the fundamental rights of §1.3 and §1.4. Subject to judicial review within 60 days of enactment.</w:t>
      </w:r>
    </w:p>
    <w:p>
      <w:pPr>
        <w:spacing w:after="60" w:before="200"/>
        <w:ind w:left="431"/>
        <w:jc w:val="left"/>
      </w:pPr>
      <w:r>
        <w:rPr>
          <w:rFonts w:ascii="Courier New" w:cs="Courier New" w:eastAsia="Courier New" w:hAnsi="Courier New"/>
          <w:b/>
          <w:bCs/>
          <w:color w:val="1B2A4A"/>
          <w:sz w:val="18"/>
          <w:szCs w:val="18"/>
        </w:rPr>
        <w:t xml:space="preserve">§2.9.b  </w:t>
      </w:r>
      <w:r>
        <w:rPr>
          <w:rFonts w:ascii="Garamond" w:cs="Garamond" w:eastAsia="Garamond" w:hAnsi="Garamond"/>
          <w:b/>
          <w:bCs/>
          <w:i w:val="false"/>
          <w:iCs w:val="false"/>
          <w:color w:val="1B2A4A"/>
          <w:sz w:val="22"/>
          <w:szCs w:val="22"/>
        </w:rPr>
        <w:t xml:space="preserve">Self-Clemency Absolute Prohibition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Self-clemency is absolutely prohibited. No elected or appointed official may grant clemency to themselves or to any person whose conviction, if enforced, would directly benefit the official financially, politically, or personally. An attempted self-clemency act is constitutionally void and itself a constitutional violation.</w:t>
      </w:r>
    </w:p>
    <w:p>
      <w:pPr>
        <w:spacing w:after="60" w:before="200"/>
        <w:ind w:left="431"/>
        <w:jc w:val="left"/>
      </w:pPr>
      <w:r>
        <w:rPr>
          <w:rFonts w:ascii="Courier New" w:cs="Courier New" w:eastAsia="Courier New" w:hAnsi="Courier New"/>
          <w:b/>
          <w:bCs/>
          <w:color w:val="1B2A4A"/>
          <w:sz w:val="18"/>
          <w:szCs w:val="18"/>
        </w:rPr>
        <w:t xml:space="preserve">§2.9.c  </w:t>
      </w:r>
      <w:r>
        <w:rPr>
          <w:rFonts w:ascii="Garamond" w:cs="Garamond" w:eastAsia="Garamond" w:hAnsi="Garamond"/>
          <w:b/>
          <w:bCs/>
          <w:i w:val="false"/>
          <w:iCs w:val="false"/>
          <w:color w:val="1B2A4A"/>
          <w:sz w:val="22"/>
          <w:szCs w:val="22"/>
        </w:rPr>
        <w:t xml:space="preserve">Cross-Chamber Clemency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clemency grant — whether by the President under §2.1.g or by the PM under §2.2.f — is subject to cross-chamber legislative review. The Senate reviews PM clemency grants. The House reviews Presidential clemency grants. Within 7 days of any grant, the granting executive files a written explanatory report with the Executive Inspectorate stating: the identity of the recipient, the nature of the offense pardoned, the grounds for the grant, and any relevant circumstances the executive considered. The EI reviews the report for factual accuracy and completeness within 14 days and publishes its findings to the NRS. The reviewing chamber then has 45 days from the date of EI publication to vote to disapprove the grant by simple majority of those present and voting. If no disapproval vote is held within the 45-day period, the grant is deemed approved and takes full effect. If the reviewing chamber votes to disapprove, the grant is void and the original sentence or legal status is reinstated. Where a grant is voided by disapproval, the executive may not resubmit clemency for the same recipient for one year from the date of the disapproval vote. The EI pre-grant factual background report required under §2.1.g and §2.2.f is distinct from the executive's post-grant explanatory report required by this provision — both are published to the NRS and together form the complete clemency record for any grant. The reviewing chamber's 45-day period begins from the date of EI publication. Neither executive may grant clemency for offenses committed within the other executive's domain; any such grant is void without requiring a disapproval vote.</w:t>
      </w:r>
    </w:p>
    <w:p>
      <w:pPr>
        <w:spacing w:after="60" w:before="200"/>
        <w:ind w:left="431"/>
        <w:jc w:val="left"/>
      </w:pPr>
      <w:r>
        <w:rPr>
          <w:rFonts w:ascii="Courier New" w:cs="Courier New" w:eastAsia="Courier New" w:hAnsi="Courier New"/>
          <w:b/>
          <w:bCs/>
          <w:color w:val="1B2A4A"/>
          <w:sz w:val="18"/>
          <w:szCs w:val="18"/>
        </w:rPr>
        <w:t xml:space="preserve">§2.10  </w:t>
      </w:r>
      <w:r>
        <w:rPr>
          <w:rFonts w:ascii="Garamond" w:cs="Garamond" w:eastAsia="Garamond" w:hAnsi="Garamond"/>
          <w:b/>
          <w:bCs/>
          <w:i w:val="false"/>
          <w:iCs w:val="false"/>
          <w:color w:val="1B2A4A"/>
          <w:sz w:val="22"/>
          <w:szCs w:val="22"/>
        </w:rPr>
        <w:t xml:space="preserve">Presidential Removal — Two Political Tracks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be removed on two independent tracks. The legislative track requires 2/3 of both chambers simultaneously following Inspectorate-certified findings. The popular track requires a Senate majority referral to a national recall referendum under §2.10.b.</w:t>
      </w:r>
    </w:p>
    <w:p>
      <w:pPr>
        <w:spacing w:after="60" w:before="200"/>
        <w:ind w:left="431"/>
        <w:jc w:val="left"/>
      </w:pPr>
      <w:r>
        <w:rPr>
          <w:rFonts w:ascii="Courier New" w:cs="Courier New" w:eastAsia="Courier New" w:hAnsi="Courier New"/>
          <w:b/>
          <w:bCs/>
          <w:color w:val="1B2A4A"/>
          <w:sz w:val="18"/>
          <w:szCs w:val="18"/>
        </w:rPr>
        <w:t xml:space="preserve">§2.10.a  </w:t>
      </w:r>
      <w:r>
        <w:rPr>
          <w:rFonts w:ascii="Garamond" w:cs="Garamond" w:eastAsia="Garamond" w:hAnsi="Garamond"/>
          <w:b/>
          <w:bCs/>
          <w:i w:val="false"/>
          <w:iCs w:val="false"/>
          <w:color w:val="1B2A4A"/>
          <w:sz w:val="22"/>
          <w:szCs w:val="22"/>
        </w:rPr>
        <w:t xml:space="preserve">Legislative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removal grounds: verified constitutional breach, demonstrated permanent incapacity, or conviction for a disqualifying criminal offense. The LI and EI must jointly certify the grounds before a removal vote can proceed.</w:t>
      </w:r>
    </w:p>
    <w:p>
      <w:pPr>
        <w:spacing w:after="60" w:before="200"/>
        <w:ind w:left="431"/>
        <w:jc w:val="left"/>
      </w:pPr>
      <w:r>
        <w:rPr>
          <w:rFonts w:ascii="Courier New" w:cs="Courier New" w:eastAsia="Courier New" w:hAnsi="Courier New"/>
          <w:b/>
          <w:bCs/>
          <w:color w:val="1B2A4A"/>
          <w:sz w:val="18"/>
          <w:szCs w:val="18"/>
        </w:rPr>
        <w:t xml:space="preserve">§2.10.b  </w:t>
      </w:r>
      <w:r>
        <w:rPr>
          <w:rFonts w:ascii="Garamond" w:cs="Garamond" w:eastAsia="Garamond" w:hAnsi="Garamond"/>
          <w:b/>
          <w:bCs/>
          <w:i w:val="false"/>
          <w:iCs w:val="false"/>
          <w:color w:val="1B2A4A"/>
          <w:sz w:val="22"/>
          <w:szCs w:val="22"/>
        </w:rPr>
        <w:t xml:space="preserve">Senate Referral to Popular Recall</w:t>
      </w:r>
    </w:p>
    <w:p>
      <w:pPr>
        <w:spacing w:after="120" w:before="0"/>
        <w:ind w:left="431"/>
        <w:jc w:val="both"/>
      </w:pPr>
      <w:r>
        <w:rPr>
          <w:rFonts w:ascii="Garamond" w:cs="Garamond" w:eastAsia="Garamond" w:hAnsi="Garamond"/>
          <w:b w:val="false"/>
          <w:bCs w:val="false"/>
          <w:i w:val="false"/>
          <w:iCs w:val="false"/>
          <w:color w:val="2a2520"/>
          <w:sz w:val="22"/>
          <w:szCs w:val="22"/>
        </w:rPr>
        <w:t xml:space="preserve">A simple majority of the full Senate membership may refer the question of presidential removal to a national recall referendum. The EC administers the referendum within 90 days of the Senate vote. The President is removed if 60% of votes cast are affirmative with at least 55% citizen participation. A failed referendum cannot be re-initiated within the same presidential term. The Senate Speaker assumes Acting Presidential Authority under §2.6.b from the date the Senate votes to refer until the referendum result is certified — the Speaker's Senate seat is not vacated during this period. If the referendum fails, the President resumes full authority immediately upon certification. If the referendum succeeds, §2.6.a permanent succession activates at the moment of result certification.</w:t>
      </w:r>
    </w:p>
    <w:p>
      <w:pPr>
        <w:spacing w:after="60" w:before="200"/>
        <w:ind w:left="431"/>
        <w:jc w:val="left"/>
      </w:pPr>
      <w:r>
        <w:rPr>
          <w:rFonts w:ascii="Courier New" w:cs="Courier New" w:eastAsia="Courier New" w:hAnsi="Courier New"/>
          <w:b/>
          <w:bCs/>
          <w:color w:val="1B2A4A"/>
          <w:sz w:val="18"/>
          <w:szCs w:val="18"/>
        </w:rPr>
        <w:t xml:space="preserve">§2.10.c  </w:t>
      </w:r>
      <w:r>
        <w:rPr>
          <w:rFonts w:ascii="Garamond" w:cs="Garamond" w:eastAsia="Garamond" w:hAnsi="Garamond"/>
          <w:b/>
          <w:bCs/>
          <w:i w:val="false"/>
          <w:iCs w:val="false"/>
          <w:color w:val="1B2A4A"/>
          <w:sz w:val="22"/>
          <w:szCs w:val="22"/>
        </w:rPr>
        <w:t xml:space="preserve">One Referral Per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No second Senate referral to popular recall within the same presidential term. One-shot rule prevents a hostile Senate from using repeated recall elections as attrition. After a failed recall, the President serves out their term with the NRS record intact.</w:t>
      </w:r>
    </w:p>
    <w:p>
      <w:pPr>
        <w:spacing w:after="60" w:before="200"/>
        <w:jc w:val="left"/>
      </w:pPr>
      <w:r>
        <w:rPr>
          <w:rFonts w:ascii="Garamond" w:cs="Garamond" w:eastAsia="Garamond" w:hAnsi="Garamond"/>
          <w:b/>
          <w:bCs/>
          <w:i w:val="false"/>
          <w:iCs w:val="false"/>
          <w:color w:val="1B2A4A"/>
          <w:sz w:val="34"/>
          <w:szCs w:val="34"/>
        </w:rPr>
        <w:t xml:space="preserve">Article III — The Legislature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§3.1  </w:t>
      </w:r>
      <w:r>
        <w:rPr>
          <w:rFonts w:ascii="Garamond" w:cs="Garamond" w:eastAsia="Garamond" w:hAnsi="Garamond"/>
          <w:b/>
          <w:bCs/>
          <w:i w:val="false"/>
          <w:iCs w:val="false"/>
          <w:color w:val="1B2A4A"/>
          <w:sz w:val="22"/>
          <w:szCs w:val="22"/>
        </w:rPr>
        <w:t xml:space="preserve">The House of Representatives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of Representatives is the proportional chamber of the Legislature — directly elected by citizens on the basis of population. All legislation originates in the House and the PM is elected and accountable to it. Both States and Territories send voting members to the House. Territorial members hold full voting rights on all House business, including legislation, confidence motions, and committee assignments. There are no second-class members of the House.</w:t>
      </w:r>
    </w:p>
    <w:p>
      <w:pPr>
        <w:spacing w:after="60" w:before="200"/>
        <w:ind w:left="431"/>
        <w:jc w:val="left"/>
      </w:pPr>
      <w:r>
        <w:rPr>
          <w:rFonts w:ascii="Courier New" w:cs="Courier New" w:eastAsia="Courier New" w:hAnsi="Courier New"/>
          <w:b/>
          <w:bCs/>
          <w:color w:val="1B2A4A"/>
          <w:sz w:val="18"/>
          <w:szCs w:val="18"/>
        </w:rPr>
        <w:t xml:space="preserve">§3.1.a  </w:t>
      </w:r>
      <w:r>
        <w:rPr>
          <w:rFonts w:ascii="Garamond" w:cs="Garamond" w:eastAsia="Garamond" w:hAnsi="Garamond"/>
          <w:b/>
          <w:bCs/>
          <w:i w:val="false"/>
          <w:iCs w:val="false"/>
          <w:color w:val="1B2A4A"/>
          <w:sz w:val="22"/>
          <w:szCs w:val="22"/>
        </w:rPr>
        <w:t xml:space="preserve">House Seat Allocation — Webster Method</w:t>
      </w:r>
    </w:p>
    <w:p>
      <w:pPr>
        <w:spacing w:after="120" w:before="0"/>
        <w:ind w:left="431"/>
        <w:jc w:val="both"/>
      </w:pPr>
      <w:r>
        <w:rPr>
          <w:rFonts w:ascii="Garamond" w:cs="Garamond" w:eastAsia="Garamond" w:hAnsi="Garamond"/>
          <w:b w:val="false"/>
          <w:bCs w:val="false"/>
          <w:i w:val="false"/>
          <w:iCs w:val="false"/>
          <w:color w:val="2a2520"/>
          <w:sz w:val="22"/>
          <w:szCs w:val="22"/>
        </w:rPr>
        <w:t xml:space="preserve">House seats are allocated by the Webster method: each State and Territory receives the number of seats nearest to its population divided by the Republic's standard constituency divisor, with a minimum of one seat per State or Territory regardless of population. The constituency divisor is set at 750,000 citizens per seat and may be adjusted by the Legislature by statute, provided no adjustment reduces any State or Territory below its one-seat minimum and no adjustment takes effect until the census following its enactment. The LI administers the allocation following each census and publishes the certified seat counts to the NRS within 30 days of census completion. No adjustment to the constituency divisor may be made in the 12 months preceding or during a census year.</w:t>
      </w:r>
    </w:p>
    <w:p>
      <w:pPr>
        <w:spacing w:after="60" w:before="200"/>
        <w:ind w:left="431"/>
        <w:jc w:val="left"/>
      </w:pPr>
      <w:r>
        <w:rPr>
          <w:rFonts w:ascii="Courier New" w:cs="Courier New" w:eastAsia="Courier New" w:hAnsi="Courier New"/>
          <w:b/>
          <w:bCs/>
          <w:color w:val="1B2A4A"/>
          <w:sz w:val="18"/>
          <w:szCs w:val="18"/>
        </w:rPr>
        <w:t xml:space="preserve">§3.1.b  </w:t>
      </w:r>
      <w:r>
        <w:rPr>
          <w:rFonts w:ascii="Garamond" w:cs="Garamond" w:eastAsia="Garamond" w:hAnsi="Garamond"/>
          <w:b/>
          <w:bCs/>
          <w:i w:val="false"/>
          <w:iCs w:val="false"/>
          <w:color w:val="1B2A4A"/>
          <w:sz w:val="22"/>
          <w:szCs w:val="22"/>
        </w:rPr>
        <w:t xml:space="preserve">Census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population census is conducted by the Legislative Inspectorate every ten years and whenever the Legislature requires reapportionment. Census methodology is published to the NRS before each census. Results are published to the NRS within 90 days of completion and used as the basis for House seat allocation.</w:t>
      </w:r>
    </w:p>
    <w:p>
      <w:pPr>
        <w:spacing w:after="60" w:before="200"/>
        <w:ind w:left="431"/>
        <w:jc w:val="left"/>
      </w:pPr>
      <w:r>
        <w:rPr>
          <w:rFonts w:ascii="Courier New" w:cs="Courier New" w:eastAsia="Courier New" w:hAnsi="Courier New"/>
          <w:b/>
          <w:bCs/>
          <w:color w:val="1B2A4A"/>
          <w:sz w:val="18"/>
          <w:szCs w:val="18"/>
        </w:rPr>
        <w:t xml:space="preserve">§3.1.c  </w:t>
      </w:r>
      <w:r>
        <w:rPr>
          <w:rFonts w:ascii="Garamond" w:cs="Garamond" w:eastAsia="Garamond" w:hAnsi="Garamond"/>
          <w:b/>
          <w:bCs/>
          <w:i w:val="false"/>
          <w:iCs w:val="false"/>
          <w:color w:val="1B2A4A"/>
          <w:sz w:val="22"/>
          <w:szCs w:val="22"/>
        </w:rPr>
        <w:t xml:space="preserve">Single-Subject Rule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bill must address a single, clearly defined subject. Self-executing: a court finding that a bill addresses multiple unrelated subjects voids the entire act. The LI publishes a germaneness analysis for any amended bill returned to the House. No riders, no logrolling through combined legislation. The rule applies to the final text — a bill that begins as single-subject but picks up unrelated amendments in the Senate can still be voided.</w:t>
      </w:r>
    </w:p>
    <w:p>
      <w:pPr>
        <w:spacing w:after="60" w:before="200"/>
        <w:ind w:left="431"/>
        <w:jc w:val="left"/>
      </w:pPr>
      <w:r>
        <w:rPr>
          <w:rFonts w:ascii="Courier New" w:cs="Courier New" w:eastAsia="Courier New" w:hAnsi="Courier New"/>
          <w:b/>
          <w:bCs/>
          <w:color w:val="1B2A4A"/>
          <w:sz w:val="18"/>
          <w:szCs w:val="18"/>
        </w:rPr>
        <w:t xml:space="preserve">§3.1.d  </w:t>
      </w:r>
      <w:r>
        <w:rPr>
          <w:rFonts w:ascii="Garamond" w:cs="Garamond" w:eastAsia="Garamond" w:hAnsi="Garamond"/>
          <w:b/>
          <w:bCs/>
          <w:i w:val="false"/>
          <w:iCs w:val="false"/>
          <w:color w:val="1B2A4A"/>
          <w:sz w:val="22"/>
          <w:szCs w:val="22"/>
        </w:rPr>
        <w:t xml:space="preserve">Bill Exposure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text of every bill must be published to the NRS for the minimum exposure period (Legislature defines by statute, not less than 7 days) before any final passage vote. A substantially amended bill resets the exposure clock.</w:t>
      </w:r>
    </w:p>
    <w:p>
      <w:pPr>
        <w:spacing w:after="60" w:before="200"/>
        <w:ind w:left="431"/>
        <w:jc w:val="left"/>
      </w:pPr>
      <w:r>
        <w:rPr>
          <w:rFonts w:ascii="Courier New" w:cs="Courier New" w:eastAsia="Courier New" w:hAnsi="Courier New"/>
          <w:b/>
          <w:bCs/>
          <w:color w:val="1B2A4A"/>
          <w:sz w:val="18"/>
          <w:szCs w:val="18"/>
        </w:rPr>
        <w:t xml:space="preserve">§3.1.e  </w:t>
      </w:r>
      <w:r>
        <w:rPr>
          <w:rFonts w:ascii="Garamond" w:cs="Garamond" w:eastAsia="Garamond" w:hAnsi="Garamond"/>
          <w:b/>
          <w:bCs/>
          <w:i w:val="false"/>
          <w:iCs w:val="false"/>
          <w:color w:val="1B2A4A"/>
          <w:sz w:val="22"/>
          <w:szCs w:val="22"/>
        </w:rPr>
        <w:t xml:space="preserve">Legislative Calendar and Session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sit for a minimum number of days per year defined by statute. Emergency sessions may be called by the PM or by petition of 1/3 of either chamber. Prevents pocket-session governance — the Legislature cannot be prorogued into ineffectiveness.</w:t>
      </w:r>
    </w:p>
    <w:p>
      <w:pPr>
        <w:spacing w:after="60" w:before="200"/>
        <w:ind w:left="431"/>
        <w:jc w:val="left"/>
      </w:pPr>
      <w:r>
        <w:rPr>
          <w:rFonts w:ascii="Courier New" w:cs="Courier New" w:eastAsia="Courier New" w:hAnsi="Courier New"/>
          <w:b/>
          <w:bCs/>
          <w:color w:val="1B2A4A"/>
          <w:sz w:val="18"/>
          <w:szCs w:val="18"/>
        </w:rPr>
        <w:t xml:space="preserve">§3.1.f  </w:t>
      </w:r>
      <w:r>
        <w:rPr>
          <w:rFonts w:ascii="Garamond" w:cs="Garamond" w:eastAsia="Garamond" w:hAnsi="Garamond"/>
          <w:b/>
          <w:bCs/>
          <w:i w:val="false"/>
          <w:iCs w:val="false"/>
          <w:color w:val="1B2A4A"/>
          <w:sz w:val="22"/>
          <w:szCs w:val="22"/>
        </w:rPr>
        <w:t xml:space="preserve">Legislative Compensation and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compensation is set by the LI on a formula tied to median citizen income, not by the Legislature itself. All financial interests of members must be disclosed to the EI and published to the NRS. The compensation formula prevents legislators from voting themselves raises.</w:t>
      </w:r>
    </w:p>
    <w:p>
      <w:pPr>
        <w:spacing w:after="60" w:before="200"/>
        <w:ind w:left="431"/>
        <w:jc w:val="left"/>
      </w:pPr>
      <w:r>
        <w:rPr>
          <w:rFonts w:ascii="Courier New" w:cs="Courier New" w:eastAsia="Courier New" w:hAnsi="Courier New"/>
          <w:b/>
          <w:bCs/>
          <w:color w:val="1B2A4A"/>
          <w:sz w:val="18"/>
          <w:szCs w:val="18"/>
        </w:rPr>
        <w:t xml:space="preserve">§3.1.g  </w:t>
      </w:r>
      <w:r>
        <w:rPr>
          <w:rFonts w:ascii="Garamond" w:cs="Garamond" w:eastAsia="Garamond" w:hAnsi="Garamond"/>
          <w:b/>
          <w:bCs/>
          <w:i w:val="false"/>
          <w:iCs w:val="false"/>
          <w:color w:val="1B2A4A"/>
          <w:sz w:val="22"/>
          <w:szCs w:val="22"/>
        </w:rPr>
        <w:t xml:space="preserve">House Term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serve more than six consecutive 2-year terms in the House — a maximum of 12 consecutive years. After six consecutive terms, the member must sit out one full House electoral cycle (2 years) before standing again. After the cooling-off period, the member is again eligible with no further cumulative lifetime restriction. A partial term served following a mid-term vacancy counts as a full consecutive term.</w:t>
      </w:r>
    </w:p>
    <w:p>
      <w:pPr>
        <w:spacing w:after="60" w:before="200"/>
        <w:ind w:left="431"/>
        <w:jc w:val="left"/>
      </w:pPr>
      <w:r>
        <w:rPr>
          <w:rFonts w:ascii="Courier New" w:cs="Courier New" w:eastAsia="Courier New" w:hAnsi="Courier New"/>
          <w:b/>
          <w:bCs/>
          <w:color w:val="1B2A4A"/>
          <w:sz w:val="18"/>
          <w:szCs w:val="18"/>
        </w:rPr>
        <w:t xml:space="preserve">§3.2  </w:t>
      </w:r>
      <w:r>
        <w:rPr>
          <w:rFonts w:ascii="Garamond" w:cs="Garamond" w:eastAsia="Garamond" w:hAnsi="Garamond"/>
          <w:b/>
          <w:bCs/>
          <w:i w:val="false"/>
          <w:iCs w:val="false"/>
          <w:color w:val="1B2A4A"/>
          <w:sz w:val="22"/>
          <w:szCs w:val="22"/>
        </w:rPr>
        <w:t xml:space="preserve">The Senate — States as Constitutional Actors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comprises two senators per State regardless of population, elected for 6-year staggered terms. The Senate serves as the checking chamber: it must act on every House-passed bill within the Legislature-defined period, may amend within the bounds of germaneness, and holds exclusive authority over judicial confirmations and treaty ratification.</w:t>
      </w:r>
    </w:p>
    <w:p>
      <w:pPr>
        <w:spacing w:after="60" w:before="200"/>
        <w:ind w:left="431"/>
        <w:jc w:val="left"/>
      </w:pPr>
      <w:r>
        <w:rPr>
          <w:rFonts w:ascii="Courier New" w:cs="Courier New" w:eastAsia="Courier New" w:hAnsi="Courier New"/>
          <w:b/>
          <w:bCs/>
          <w:color w:val="1B2A4A"/>
          <w:sz w:val="18"/>
          <w:szCs w:val="18"/>
        </w:rPr>
        <w:t xml:space="preserve">§3.2.a  </w:t>
      </w:r>
      <w:r>
        <w:rPr>
          <w:rFonts w:ascii="Garamond" w:cs="Garamond" w:eastAsia="Garamond" w:hAnsi="Garamond"/>
          <w:b/>
          <w:bCs/>
          <w:i w:val="false"/>
          <w:iCs w:val="false"/>
          <w:color w:val="1B2A4A"/>
          <w:sz w:val="22"/>
          <w:szCs w:val="22"/>
        </w:rPr>
        <w:t xml:space="preserve">Senate Composition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Two senators per State regardless of population, elected by citizens of that State for 6-year staggered terms. No Senator may serve more than two consecutive terms (12 consecutive years). After two consecutive terms, a Senator must sit out one full term (6 years) before standing for Senate election again. After the cooling-off period, the Senator is again eligible with no further cumulative lifetime restriction.</w:t>
      </w:r>
    </w:p>
    <w:p>
      <w:pPr>
        <w:spacing w:after="60" w:before="200"/>
        <w:ind w:left="431"/>
        <w:jc w:val="left"/>
      </w:pPr>
      <w:r>
        <w:rPr>
          <w:rFonts w:ascii="Courier New" w:cs="Courier New" w:eastAsia="Courier New" w:hAnsi="Courier New"/>
          <w:b/>
          <w:bCs/>
          <w:color w:val="1B2A4A"/>
          <w:sz w:val="18"/>
          <w:szCs w:val="18"/>
        </w:rPr>
        <w:t xml:space="preserve">§3.2.b  </w:t>
      </w:r>
      <w:r>
        <w:rPr>
          <w:rFonts w:ascii="Garamond" w:cs="Garamond" w:eastAsia="Garamond" w:hAnsi="Garamond"/>
          <w:b/>
          <w:bCs/>
          <w:i w:val="false"/>
          <w:iCs w:val="false"/>
          <w:color w:val="1B2A4A"/>
          <w:sz w:val="22"/>
          <w:szCs w:val="22"/>
        </w:rPr>
        <w:t xml:space="preserve">Legislative Origination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All legislation must originate in the House. The Senate reviews, may amend within the bounds of germaneness, and may pass or decline — but may not initiate any bill. All revenue measures, appropriations, and debt ceiling changes must additionally originate in the House; the Senate may amend fiscal legislation but cannot initiate it.</w:t>
      </w:r>
    </w:p>
    <w:p>
      <w:pPr>
        <w:spacing w:after="60" w:before="200"/>
        <w:ind w:left="431"/>
        <w:jc w:val="left"/>
      </w:pPr>
      <w:r>
        <w:rPr>
          <w:rFonts w:ascii="Courier New" w:cs="Courier New" w:eastAsia="Courier New" w:hAnsi="Courier New"/>
          <w:b/>
          <w:bCs/>
          <w:color w:val="1B2A4A"/>
          <w:sz w:val="18"/>
          <w:szCs w:val="18"/>
        </w:rPr>
        <w:t xml:space="preserve">§3.2.c  </w:t>
      </w:r>
      <w:r>
        <w:rPr>
          <w:rFonts w:ascii="Garamond" w:cs="Garamond" w:eastAsia="Garamond" w:hAnsi="Garamond"/>
          <w:b/>
          <w:bCs/>
          <w:i w:val="false"/>
          <w:iCs w:val="false"/>
          <w:color w:val="1B2A4A"/>
          <w:sz w:val="22"/>
          <w:szCs w:val="22"/>
        </w:rPr>
        <w:t xml:space="preserve">Senate Must Act on Every House Bill</w:t>
      </w:r>
    </w:p>
    <w:p>
      <w:pPr>
        <w:spacing w:after="120" w:before="0"/>
        <w:ind w:left="431"/>
        <w:jc w:val="both"/>
      </w:pPr>
      <w:r>
        <w:rPr>
          <w:rFonts w:ascii="Garamond" w:cs="Garamond" w:eastAsia="Garamond" w:hAnsi="Garamond"/>
          <w:b w:val="false"/>
          <w:bCs w:val="false"/>
          <w:i w:val="false"/>
          <w:iCs w:val="false"/>
          <w:color w:val="2a2520"/>
          <w:sz w:val="22"/>
          <w:szCs w:val="22"/>
        </w:rPr>
        <w:t xml:space="preserve">Senate Must Act — the Senate cannot table or indefinitely delay House-passed legislation. Must vote within the Legislature-defined period. If it does not act, Deemed Approval triggers automatically. The Senate may, by simple majority vote before the original review period expires, extend its review period once by a duration defined by statute where a bill's complexity warrants expert testimony or additional committee review; the extension vote and its duration are published to the NRS. The Senate has three options: pass, amend (returned to House), or decline (bill dies). Inaction is not an option.</w:t>
      </w:r>
    </w:p>
    <w:p>
      <w:pPr>
        <w:spacing w:after="60" w:before="200"/>
        <w:ind w:left="431"/>
        <w:jc w:val="left"/>
      </w:pPr>
      <w:r>
        <w:rPr>
          <w:rFonts w:ascii="Courier New" w:cs="Courier New" w:eastAsia="Courier New" w:hAnsi="Courier New"/>
          <w:b/>
          <w:bCs/>
          <w:color w:val="1B2A4A"/>
          <w:sz w:val="18"/>
          <w:szCs w:val="18"/>
        </w:rPr>
        <w:t xml:space="preserve">§3.2.d  </w:t>
      </w:r>
      <w:r>
        <w:rPr>
          <w:rFonts w:ascii="Garamond" w:cs="Garamond" w:eastAsia="Garamond" w:hAnsi="Garamond"/>
          <w:b/>
          <w:bCs/>
          <w:i w:val="false"/>
          <w:iCs w:val="false"/>
          <w:color w:val="1B2A4A"/>
          <w:sz w:val="22"/>
          <w:szCs w:val="22"/>
        </w:rPr>
        <w:t xml:space="preserve">Judicial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confirms all judicial appointments by a supermajority defined by statute (not less than 55%, not more than 67% of full Senate membership). Failure to vote within the confirmation period triggers Deemed Confirmation. The supermajority requirement ensures judicial appointments require cross-party support.</w:t>
      </w:r>
    </w:p>
    <w:p>
      <w:pPr>
        <w:spacing w:after="60" w:before="200"/>
        <w:ind w:left="431"/>
        <w:jc w:val="left"/>
      </w:pPr>
      <w:r>
        <w:rPr>
          <w:rFonts w:ascii="Courier New" w:cs="Courier New" w:eastAsia="Courier New" w:hAnsi="Courier New"/>
          <w:b/>
          <w:bCs/>
          <w:color w:val="1B2A4A"/>
          <w:sz w:val="18"/>
          <w:szCs w:val="18"/>
        </w:rPr>
        <w:t xml:space="preserve">§3.2.e  </w:t>
      </w:r>
      <w:r>
        <w:rPr>
          <w:rFonts w:ascii="Garamond" w:cs="Garamond" w:eastAsia="Garamond" w:hAnsi="Garamond"/>
          <w:b/>
          <w:bCs/>
          <w:i w:val="false"/>
          <w:iCs w:val="false"/>
          <w:color w:val="1B2A4A"/>
          <w:sz w:val="22"/>
          <w:szCs w:val="22"/>
        </w:rPr>
        <w:t xml:space="preserve">Treaty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ratification requires a 2/3 majority of the full seated Senate.</w:t>
      </w:r>
    </w:p>
    <w:p>
      <w:pPr>
        <w:spacing w:after="60" w:before="200"/>
        <w:ind w:left="431"/>
        <w:jc w:val="left"/>
      </w:pPr>
      <w:r>
        <w:rPr>
          <w:rFonts w:ascii="Courier New" w:cs="Courier New" w:eastAsia="Courier New" w:hAnsi="Courier New"/>
          <w:b/>
          <w:bCs/>
          <w:color w:val="1B2A4A"/>
          <w:sz w:val="18"/>
          <w:szCs w:val="18"/>
        </w:rPr>
        <w:t xml:space="preserve">§3.2.e.i  </w:t>
      </w:r>
      <w:r>
        <w:rPr>
          <w:rFonts w:ascii="Garamond" w:cs="Garamond" w:eastAsia="Garamond" w:hAnsi="Garamond"/>
          <w:b/>
          <w:bCs/>
          <w:i w:val="false"/>
          <w:iCs w:val="false"/>
          <w:color w:val="1B2A4A"/>
          <w:sz w:val="22"/>
          <w:szCs w:val="22"/>
        </w:rPr>
        <w:t xml:space="preserve">Treaty Domestic Application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Senate fails to ratify a treaty, if portions of the treaty's domestic provisions have standalone value independent of the international obligations, the President may transmit those portions to the House Speaker for consideration as ordinary domestic legislation. Prevents failed treaty ratification from defeating domestically beneficial measures when the failure was due to international concerns.</w:t>
      </w:r>
    </w:p>
    <w:p>
      <w:pPr>
        <w:spacing w:after="60" w:before="200"/>
        <w:ind w:left="431"/>
        <w:jc w:val="left"/>
      </w:pPr>
      <w:r>
        <w:rPr>
          <w:rFonts w:ascii="Courier New" w:cs="Courier New" w:eastAsia="Courier New" w:hAnsi="Courier New"/>
          <w:b/>
          <w:bCs/>
          <w:color w:val="1B2A4A"/>
          <w:sz w:val="18"/>
          <w:szCs w:val="18"/>
        </w:rPr>
        <w:t xml:space="preserve">§3.2.e.ii  </w:t>
      </w:r>
      <w:r>
        <w:rPr>
          <w:rFonts w:ascii="Garamond" w:cs="Garamond" w:eastAsia="Garamond" w:hAnsi="Garamond"/>
          <w:b/>
          <w:bCs/>
          <w:i w:val="false"/>
          <w:iCs w:val="false"/>
          <w:color w:val="1B2A4A"/>
          <w:sz w:val="22"/>
          <w:szCs w:val="22"/>
        </w:rPr>
        <w:t xml:space="preserve">Non-Disaggregable Treaties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treaty is bilateral and designed as an integrated whole — with reciprocal obligations that are interdependent — the President may not disaggregate and transmit domestic provisions separately. The treaty must be renegotiated or abandoned in its entirety.</w:t>
      </w:r>
    </w:p>
    <w:p>
      <w:pPr>
        <w:spacing w:after="60" w:before="200"/>
        <w:ind w:left="431"/>
        <w:jc w:val="left"/>
      </w:pPr>
      <w:r>
        <w:rPr>
          <w:rFonts w:ascii="Courier New" w:cs="Courier New" w:eastAsia="Courier New" w:hAnsi="Courier New"/>
          <w:b/>
          <w:bCs/>
          <w:color w:val="1B2A4A"/>
          <w:sz w:val="18"/>
          <w:szCs w:val="18"/>
        </w:rPr>
        <w:t xml:space="preserve">§3.2.e.iii  </w:t>
      </w:r>
      <w:r>
        <w:rPr>
          <w:rFonts w:ascii="Garamond" w:cs="Garamond" w:eastAsia="Garamond" w:hAnsi="Garamond"/>
          <w:b/>
          <w:bCs/>
          <w:i w:val="false"/>
          <w:iCs w:val="false"/>
          <w:color w:val="1B2A4A"/>
          <w:sz w:val="22"/>
          <w:szCs w:val="22"/>
        </w:rPr>
        <w:t xml:space="preserve">Treaty Withdrawal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initiate withdrawal from any ratified treaty by publishing a formal notice of withdrawal to the NRS specifying the treaty, the effective withdrawal date (not less than 6 months from NRS publication), and the grounds. Withdrawal operates differently by treaty type: (a) General treaties — the Senate may block withdrawal by simple majority within the 6-month notice period; if the Senate does not vote to block, withdrawal takes effect automatically on the effective date; (b) Mutual defense treaties — the Senate must affirmatively confirm withdrawal by simple majority within the 6-month period; if the Senate does not confirm, the treaty remains in force; withdrawal from a mutual defense treaty may not be initiated while the Republic is engaged in active Tier 2 or Tier 3 operations under that treaty; (c) Indigenous treaties — no treaty with an indigenous nation recognized under Article XIV may be withdrawn or unilaterally modified; Article XIV governs. All withdrawal notices, blocking votes, confirmation votes, and withdrawal completion dates are published to the NRS as permanent records.</w:t>
      </w:r>
    </w:p>
    <w:p>
      <w:pPr>
        <w:spacing w:after="60" w:before="200"/>
        <w:ind w:left="431"/>
        <w:jc w:val="left"/>
      </w:pPr>
      <w:r>
        <w:rPr>
          <w:rFonts w:ascii="Courier New" w:cs="Courier New" w:eastAsia="Courier New" w:hAnsi="Courier New"/>
          <w:b/>
          <w:bCs/>
          <w:color w:val="1B2A4A"/>
          <w:sz w:val="18"/>
          <w:szCs w:val="18"/>
        </w:rPr>
        <w:t xml:space="preserve">§3.2.f  </w:t>
      </w:r>
      <w:r>
        <w:rPr>
          <w:rFonts w:ascii="Garamond" w:cs="Garamond" w:eastAsia="Garamond" w:hAnsi="Garamond"/>
          <w:b/>
          <w:bCs/>
          <w:i w:val="false"/>
          <w:iCs w:val="false"/>
          <w:color w:val="1B2A4A"/>
          <w:sz w:val="22"/>
          <w:szCs w:val="22"/>
        </w:rPr>
        <w:t xml:space="preserve">Senate Electoral Functions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administers the Presidential election in the absence of a functioning Electoral Commission — as certified by the JI following a finding that the EC cannot administer a constitutionally valid election — presides over contested electoral proceedings, and certifies Presidential election results. A direct role in executive accountability that does not depend on the House.</w:t>
      </w:r>
    </w:p>
    <w:p>
      <w:pPr>
        <w:spacing w:after="60" w:before="200"/>
        <w:ind w:left="431"/>
        <w:jc w:val="left"/>
      </w:pPr>
      <w:r>
        <w:rPr>
          <w:rFonts w:ascii="Courier New" w:cs="Courier New" w:eastAsia="Courier New" w:hAnsi="Courier New"/>
          <w:b/>
          <w:bCs/>
          <w:color w:val="1B2A4A"/>
          <w:sz w:val="18"/>
          <w:szCs w:val="18"/>
        </w:rPr>
        <w:t xml:space="preserve">§3.2.g  </w:t>
      </w:r>
      <w:r>
        <w:rPr>
          <w:rFonts w:ascii="Garamond" w:cs="Garamond" w:eastAsia="Garamond" w:hAnsi="Garamond"/>
          <w:b/>
          <w:bCs/>
          <w:i w:val="false"/>
          <w:iCs w:val="false"/>
          <w:color w:val="1B2A4A"/>
          <w:sz w:val="22"/>
          <w:szCs w:val="22"/>
        </w:rPr>
        <w:t xml:space="preserve">Senate Internal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defines its own internal procedures by standing order, subject to constitutional constraints. The presiding officer is the Speaker of the Senate, elected by Senate members. The Senate's procedural autonomy prevents the House from using procedural leverage to control Senate deliberation.</w:t>
      </w:r>
    </w:p>
    <w:p>
      <w:pPr>
        <w:spacing w:after="60" w:before="200"/>
        <w:ind w:left="431"/>
        <w:jc w:val="left"/>
      </w:pPr>
      <w:r>
        <w:rPr>
          <w:rFonts w:ascii="Courier New" w:cs="Courier New" w:eastAsia="Courier New" w:hAnsi="Courier New"/>
          <w:b/>
          <w:bCs/>
          <w:color w:val="1B2A4A"/>
          <w:sz w:val="18"/>
          <w:szCs w:val="18"/>
        </w:rPr>
        <w:t xml:space="preserve">§3.2.h  </w:t>
      </w:r>
      <w:r>
        <w:rPr>
          <w:rFonts w:ascii="Garamond" w:cs="Garamond" w:eastAsia="Garamond" w:hAnsi="Garamond"/>
          <w:b/>
          <w:bCs/>
          <w:i w:val="false"/>
          <w:iCs w:val="false"/>
          <w:color w:val="1B2A4A"/>
          <w:sz w:val="22"/>
          <w:szCs w:val="22"/>
        </w:rPr>
        <w:t xml:space="preserve">Senate Committees</w:t>
      </w:r>
    </w:p>
    <w:p>
      <w:pPr>
        <w:spacing w:after="120" w:before="0"/>
        <w:ind w:left="431"/>
        <w:jc w:val="both"/>
      </w:pPr>
      <w:r>
        <w:rPr>
          <w:rFonts w:ascii="Garamond" w:cs="Garamond" w:eastAsia="Garamond" w:hAnsi="Garamond"/>
          <w:b w:val="false"/>
          <w:bCs w:val="false"/>
          <w:i w:val="false"/>
          <w:iCs w:val="false"/>
          <w:color w:val="2a2520"/>
          <w:sz w:val="22"/>
          <w:szCs w:val="22"/>
        </w:rPr>
        <w:t xml:space="preserve">Standing committees are constitutionally mandated for certain functions (the Senate Armed Services Committee for Tier 2 military authorization is the most significant). Committee composition must reflect chamber balance — no party may hold all seats on a standing committee.</w:t>
      </w:r>
    </w:p>
    <w:p>
      <w:pPr>
        <w:spacing w:after="60" w:before="200"/>
        <w:ind w:left="431"/>
        <w:jc w:val="left"/>
      </w:pPr>
      <w:r>
        <w:rPr>
          <w:rFonts w:ascii="Courier New" w:cs="Courier New" w:eastAsia="Courier New" w:hAnsi="Courier New"/>
          <w:b/>
          <w:bCs/>
          <w:color w:val="1B2A4A"/>
          <w:sz w:val="18"/>
          <w:szCs w:val="18"/>
        </w:rPr>
        <w:t xml:space="preserve">§3.2.i  </w:t>
      </w:r>
      <w:r>
        <w:rPr>
          <w:rFonts w:ascii="Garamond" w:cs="Garamond" w:eastAsia="Garamond" w:hAnsi="Garamond"/>
          <w:b/>
          <w:bCs/>
          <w:i w:val="false"/>
          <w:iCs w:val="false"/>
          <w:color w:val="1B2A4A"/>
          <w:sz w:val="22"/>
          <w:szCs w:val="22"/>
        </w:rPr>
        <w:t xml:space="preserve">Senate Amendment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may amend House-passed bills, but amendments must be germane to the bill's subject matter. The LI publishes a germaneness analysis before the amended bill is returned to the House. The PM must give the LI's analysis due consideration during the Legislative Review Period. Non-germane amendments can void the non-germane portion.</w:t>
      </w:r>
    </w:p>
    <w:p>
      <w:pPr>
        <w:spacing w:after="60" w:before="200"/>
        <w:ind w:left="431"/>
        <w:jc w:val="left"/>
      </w:pPr>
      <w:r>
        <w:rPr>
          <w:rFonts w:ascii="Courier New" w:cs="Courier New" w:eastAsia="Courier New" w:hAnsi="Courier New"/>
          <w:b/>
          <w:bCs/>
          <w:color w:val="1B2A4A"/>
          <w:sz w:val="18"/>
          <w:szCs w:val="18"/>
        </w:rPr>
        <w:t xml:space="preserve">§3.2.j  </w:t>
      </w:r>
      <w:r>
        <w:rPr>
          <w:rFonts w:ascii="Garamond" w:cs="Garamond" w:eastAsia="Garamond" w:hAnsi="Garamond"/>
          <w:b/>
          <w:bCs/>
          <w:i w:val="false"/>
          <w:iCs w:val="false"/>
          <w:color w:val="1B2A4A"/>
          <w:sz w:val="22"/>
          <w:szCs w:val="22"/>
        </w:rPr>
        <w:t xml:space="preserve">Senate Speaker Role Limit</w:t>
      </w:r>
    </w:p>
    <w:p>
      <w:pPr>
        <w:spacing w:after="120" w:before="0"/>
        <w:ind w:left="431"/>
        <w:jc w:val="both"/>
      </w:pPr>
      <w:r>
        <w:rPr>
          <w:rFonts w:ascii="Garamond" w:cs="Garamond" w:eastAsia="Garamond" w:hAnsi="Garamond"/>
          <w:b w:val="false"/>
          <w:bCs w:val="false"/>
          <w:i w:val="false"/>
          <w:iCs w:val="false"/>
          <w:color w:val="2a2520"/>
          <w:sz w:val="22"/>
          <w:szCs w:val="22"/>
        </w:rPr>
        <w:t xml:space="preserve">No Senator may serve as Speaker for more than three consecutive sessions (6 years). After three consecutive sessions as Speaker, the Senator must sit out at least one full session as a non-Speaker Senator before standing for Speaker again. This limit applies to the Speaker role only and does not affect the Senator's ability to continue serving their State in their Senate seat.</w:t>
      </w:r>
    </w:p>
    <w:p>
      <w:pPr>
        <w:spacing w:after="60" w:before="200"/>
        <w:ind w:left="431"/>
        <w:jc w:val="left"/>
      </w:pPr>
      <w:r>
        <w:rPr>
          <w:rFonts w:ascii="Courier New" w:cs="Courier New" w:eastAsia="Courier New" w:hAnsi="Courier New"/>
          <w:b/>
          <w:bCs/>
          <w:color w:val="1B2A4A"/>
          <w:sz w:val="18"/>
          <w:szCs w:val="18"/>
        </w:rPr>
        <w:t xml:space="preserve">§3.3  </w:t>
      </w:r>
      <w:r>
        <w:rPr>
          <w:rFonts w:ascii="Garamond" w:cs="Garamond" w:eastAsia="Garamond" w:hAnsi="Garamond"/>
          <w:b/>
          <w:bCs/>
          <w:i w:val="false"/>
          <w:iCs w:val="false"/>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become law by absolute majority of the full seated membership of both chambers; higher thresholds apply as specified.</w:t>
      </w:r>
    </w:p>
    <w:p>
      <w:pPr>
        <w:spacing w:after="60" w:before="200"/>
        <w:ind w:left="431"/>
        <w:jc w:val="left"/>
      </w:pPr>
      <w:r>
        <w:rPr>
          <w:rFonts w:ascii="Courier New" w:cs="Courier New" w:eastAsia="Courier New" w:hAnsi="Courier New"/>
          <w:b/>
          <w:bCs/>
          <w:color w:val="1B2A4A"/>
          <w:sz w:val="18"/>
          <w:szCs w:val="18"/>
        </w:rPr>
        <w:t xml:space="preserve">§3.3.a  </w:t>
      </w:r>
      <w:r>
        <w:rPr>
          <w:rFonts w:ascii="Garamond" w:cs="Garamond" w:eastAsia="Garamond" w:hAnsi="Garamond"/>
          <w:b/>
          <w:bCs/>
          <w:i w:val="false"/>
          <w:iCs w:val="false"/>
          <w:color w:val="1B2A4A"/>
          <w:sz w:val="22"/>
          <w:szCs w:val="22"/>
        </w:rPr>
        <w:t xml:space="preserve">Standard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pass by absolute majority of the full seated membership of both chambers, not just those present. The 'full seated membership' standard prevents passage by small quorums. Applies to ordinary legislation; higher thresholds apply to constitutional amendments, veto overrides, and removal proceedings.</w:t>
      </w:r>
    </w:p>
    <w:p>
      <w:pPr>
        <w:spacing w:after="60" w:before="200"/>
        <w:ind w:left="431"/>
        <w:jc w:val="left"/>
      </w:pPr>
      <w:r>
        <w:rPr>
          <w:rFonts w:ascii="Courier New" w:cs="Courier New" w:eastAsia="Courier New" w:hAnsi="Courier New"/>
          <w:b/>
          <w:bCs/>
          <w:color w:val="1B2A4A"/>
          <w:sz w:val="18"/>
          <w:szCs w:val="18"/>
        </w:rPr>
        <w:t xml:space="preserve">§3.3.b  </w:t>
      </w:r>
      <w:r>
        <w:rPr>
          <w:rFonts w:ascii="Garamond" w:cs="Garamond" w:eastAsia="Garamond" w:hAnsi="Garamond"/>
          <w:b/>
          <w:bCs/>
          <w:i w:val="false"/>
          <w:iCs w:val="false"/>
          <w:color w:val="1B2A4A"/>
          <w:sz w:val="22"/>
          <w:szCs w:val="22"/>
        </w:rPr>
        <w:t xml:space="preserve">Presidential Veto Override</w:t>
      </w:r>
    </w:p>
    <w:p>
      <w:pPr>
        <w:spacing w:after="120" w:before="0"/>
        <w:ind w:left="431"/>
        <w:jc w:val="both"/>
      </w:pPr>
      <w:r>
        <w:rPr>
          <w:rFonts w:ascii="Garamond" w:cs="Garamond" w:eastAsia="Garamond" w:hAnsi="Garamond"/>
          <w:b w:val="false"/>
          <w:bCs w:val="false"/>
          <w:i w:val="false"/>
          <w:iCs w:val="false"/>
          <w:color w:val="2a2520"/>
          <w:sz w:val="22"/>
          <w:szCs w:val="22"/>
        </w:rPr>
        <w:t xml:space="preserve">Requires 2/3 of both chambers simultaneously. The simultaneous requirement means both chambers must vote in the same session. The SC reviews the presidential veto under §2.1.f.i before any override vote may proceed.</w:t>
      </w:r>
    </w:p>
    <w:p>
      <w:pPr>
        <w:spacing w:after="60" w:before="200"/>
        <w:ind w:left="431"/>
        <w:jc w:val="left"/>
      </w:pPr>
      <w:r>
        <w:rPr>
          <w:rFonts w:ascii="Courier New" w:cs="Courier New" w:eastAsia="Courier New" w:hAnsi="Courier New"/>
          <w:b/>
          <w:bCs/>
          <w:color w:val="1B2A4A"/>
          <w:sz w:val="18"/>
          <w:szCs w:val="18"/>
        </w:rPr>
        <w:t xml:space="preserve">§3.3.c  </w:t>
      </w:r>
      <w:r>
        <w:rPr>
          <w:rFonts w:ascii="Garamond" w:cs="Garamond" w:eastAsia="Garamond" w:hAnsi="Garamond"/>
          <w:b/>
          <w:bCs/>
          <w:i w:val="false"/>
          <w:iCs w:val="false"/>
          <w:color w:val="1B2A4A"/>
          <w:sz w:val="22"/>
          <w:szCs w:val="22"/>
        </w:rPr>
        <w:t xml:space="preserve">Record System Entry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presiding officer of each chamber must certify and publish the final text of every enacted law to the NRS within 24 hours. All prior versions, committee reports, Inspectorate findings, and veto records are indexed alongside the enacted text. The NRS entry is the definitive legal record.</w:t>
      </w:r>
    </w:p>
    <w:p>
      <w:pPr>
        <w:spacing w:after="60" w:before="200"/>
        <w:ind w:left="431"/>
        <w:jc w:val="left"/>
      </w:pPr>
      <w:r>
        <w:rPr>
          <w:rFonts w:ascii="Courier New" w:cs="Courier New" w:eastAsia="Courier New" w:hAnsi="Courier New"/>
          <w:b/>
          <w:bCs/>
          <w:color w:val="1B2A4A"/>
          <w:sz w:val="18"/>
          <w:szCs w:val="18"/>
        </w:rPr>
        <w:t xml:space="preserve">§3.3.d  </w:t>
      </w:r>
      <w:r>
        <w:rPr>
          <w:rFonts w:ascii="Garamond" w:cs="Garamond" w:eastAsia="Garamond" w:hAnsi="Garamond"/>
          <w:b/>
          <w:bCs/>
          <w:i w:val="false"/>
          <w:iCs w:val="false"/>
          <w:color w:val="1B2A4A"/>
          <w:sz w:val="22"/>
          <w:szCs w:val="22"/>
        </w:rPr>
        <w:t xml:space="preserve">Legislative Mandate Enforcement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constitution requires the Legislature to enact specific legislation by statute and the Legislature fails to do so within a specified period: the LI publishes a non-compliance finding; the mandate becomes justiciable in the SC; for mandates tied to constitutional rights, affected parties may bring direct constitutional claims. The Legislature's statutory delegations are genuine constitutional mandates.</w:t>
      </w:r>
    </w:p>
    <w:p>
      <w:pPr>
        <w:spacing w:after="60" w:before="200"/>
        <w:ind w:left="431"/>
        <w:jc w:val="left"/>
      </w:pPr>
      <w:r>
        <w:rPr>
          <w:rFonts w:ascii="Courier New" w:cs="Courier New" w:eastAsia="Courier New" w:hAnsi="Courier New"/>
          <w:b/>
          <w:bCs/>
          <w:color w:val="1B2A4A"/>
          <w:sz w:val="18"/>
          <w:szCs w:val="18"/>
        </w:rPr>
        <w:t xml:space="preserve">§3.4  </w:t>
      </w:r>
      <w:r>
        <w:rPr>
          <w:rFonts w:ascii="Garamond" w:cs="Garamond" w:eastAsia="Garamond" w:hAnsi="Garamond"/>
          <w:b/>
          <w:bCs/>
          <w:i w:val="false"/>
          <w:iCs w:val="false"/>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draw their own House district maps following each census, subject to compliance review by the Legislative Inspectorate against the criteria established in §3.4.a. Where a State fails repeated review, the Electoral Commission draws an interim compliant map under §3.4.b pending State compliance. A State may request drawing consulting from the EC at any point in the redistricting process; such consulting is advisory and does not transfer the State's map-drawing responsibility to the EC. Territorial district maps are drawn by the Electoral Commission under §3.4.c, subject to the same §3.4.a criteria and LI compliance review. District maps are drawn after each census, every ten years. Emergency redistricting may occur if a State's population changes significantly between census cycles. A State may not redistrict more than once per census cycle without LI approval.</w:t>
      </w:r>
    </w:p>
    <w:p>
      <w:pPr>
        <w:spacing w:after="60" w:before="200"/>
        <w:ind w:left="431"/>
        <w:jc w:val="left"/>
      </w:pPr>
      <w:r>
        <w:rPr>
          <w:rFonts w:ascii="Courier New" w:cs="Courier New" w:eastAsia="Courier New" w:hAnsi="Courier New"/>
          <w:b/>
          <w:bCs/>
          <w:color w:val="1B2A4A"/>
          <w:sz w:val="18"/>
          <w:szCs w:val="18"/>
        </w:rPr>
        <w:t xml:space="preserve">§3.4.a  </w:t>
      </w:r>
      <w:r>
        <w:rPr>
          <w:rFonts w:ascii="Garamond" w:cs="Garamond" w:eastAsia="Garamond" w:hAnsi="Garamond"/>
          <w:b/>
          <w:bCs/>
          <w:i w:val="false"/>
          <w:iCs w:val="false"/>
          <w:color w:val="1B2A4A"/>
          <w:sz w:val="22"/>
          <w:szCs w:val="22"/>
        </w:rPr>
        <w:t xml:space="preserve">Criteria Hierarchy</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 district maps must meet five criteria: population equality within tolerance, geographic contiguity, compliance with §1.9 non-discrimination, no intentional dilution of minority voting power, and reasonable geographic compactness. States have discretion within these bounds — there is no single correct map. The following data may not be used at any stage of the district-drawing process: partisan registration data, voting history data, incumbent or candidate residence, and racial or ethnic composition as a primary consideration.</w:t>
      </w:r>
    </w:p>
    <w:p>
      <w:pPr>
        <w:spacing w:after="60" w:before="200"/>
        <w:ind w:left="431"/>
        <w:jc w:val="left"/>
      </w:pPr>
      <w:r>
        <w:rPr>
          <w:rFonts w:ascii="Courier New" w:cs="Courier New" w:eastAsia="Courier New" w:hAnsi="Courier New"/>
          <w:b/>
          <w:bCs/>
          <w:color w:val="1B2A4A"/>
          <w:sz w:val="18"/>
          <w:szCs w:val="18"/>
        </w:rPr>
        <w:t xml:space="preserve">§3.4.b  </w:t>
      </w:r>
      <w:r>
        <w:rPr>
          <w:rFonts w:ascii="Garamond" w:cs="Garamond" w:eastAsia="Garamond" w:hAnsi="Garamond"/>
          <w:b/>
          <w:bCs/>
          <w:i w:val="false"/>
          <w:iCs w:val="false"/>
          <w:color w:val="1B2A4A"/>
          <w:sz w:val="22"/>
          <w:szCs w:val="22"/>
        </w:rPr>
        <w:t xml:space="preserve">LI Redistricting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reviews all State-drawn district maps within 60 days of submission and publishes its compliance findings to the NRS. If a map fails the §3.4.a criteria, the LI publishes specific findings and the State must submit a corrected map within 30 days. If the corrected map still fails, the Electoral Commission draws an interim compliant map using the §3.4.a criteria, which takes effect at the next election. The EC-drawn interim map is not permanent — it is retired automatically when the State submits and the LI certifies a compliant State-drawn map. Until then, elections proceed on the EC-drawn map. The LI cannot draw district maps; its role is compliance review only. The EC cannot impose a permanent map; its interim map creates an incentive for State compliance, not a substitute for it.</w:t>
      </w:r>
    </w:p>
    <w:p>
      <w:pPr>
        <w:spacing w:after="60" w:before="200"/>
        <w:ind w:left="431"/>
        <w:jc w:val="left"/>
      </w:pPr>
      <w:r>
        <w:rPr>
          <w:rFonts w:ascii="Courier New" w:cs="Courier New" w:eastAsia="Courier New" w:hAnsi="Courier New"/>
          <w:b/>
          <w:bCs/>
          <w:color w:val="1B2A4A"/>
          <w:sz w:val="18"/>
          <w:szCs w:val="18"/>
        </w:rPr>
        <w:t xml:space="preserve">§3.4.c  </w:t>
      </w:r>
      <w:r>
        <w:rPr>
          <w:rFonts w:ascii="Garamond" w:cs="Garamond" w:eastAsia="Garamond" w:hAnsi="Garamond"/>
          <w:b/>
          <w:bCs/>
          <w:i w:val="false"/>
          <w:iCs w:val="false"/>
          <w:color w:val="1B2A4A"/>
          <w:sz w:val="22"/>
          <w:szCs w:val="22"/>
        </w:rPr>
        <w:t xml:space="preserve">Territorial District Drawing</w:t>
      </w:r>
    </w:p>
    <w:p>
      <w:pPr>
        <w:spacing w:after="120" w:before="0"/>
        <w:ind w:left="431"/>
        <w:jc w:val="both"/>
      </w:pPr>
      <w:r>
        <w:rPr>
          <w:rFonts w:ascii="Garamond" w:cs="Garamond" w:eastAsia="Garamond" w:hAnsi="Garamond"/>
          <w:b w:val="false"/>
          <w:bCs w:val="false"/>
          <w:i w:val="false"/>
          <w:iCs w:val="false"/>
          <w:color w:val="2a2520"/>
          <w:sz w:val="22"/>
          <w:szCs w:val="22"/>
        </w:rPr>
        <w:t xml:space="preserve">For Territories holding one House seat, the Territory is a single at-large constituency — no district drawing is required and the EC administers the election directly through the NVS. For Territories holding two or more House seats, the Electoral Commission draws district boundaries following each census using the criteria established in §3.4.a. The EC publishes a draft map to the NRS and opens a 60-day public comment period during which the Territory's governing council may submit formal written objections. The EC must respond in writing to each formal objection before publishing a final proposed map. The LI then reviews the final proposed map under §3.4.a standards and publishes its compliance findings to the NRS within 30 days. If the LI finds criteria violations, the EC must revise and republish within 30 days; the LI reviews the revision within 14 days. A map that passes LI review is certified and takes effect at the next general election. The EC administers all Territorial House elections through the NVS on the same schedule as State elections.</w:t>
      </w:r>
    </w:p>
    <w:p>
      <w:pPr>
        <w:spacing w:after="60" w:before="200"/>
        <w:ind w:left="431"/>
        <w:jc w:val="left"/>
      </w:pPr>
      <w:r>
        <w:rPr>
          <w:rFonts w:ascii="Courier New" w:cs="Courier New" w:eastAsia="Courier New" w:hAnsi="Courier New"/>
          <w:b/>
          <w:bCs/>
          <w:color w:val="1B2A4A"/>
          <w:sz w:val="18"/>
          <w:szCs w:val="18"/>
        </w:rPr>
        <w:t xml:space="preserve">§3.4.e  </w:t>
      </w:r>
      <w:r>
        <w:rPr>
          <w:rFonts w:ascii="Garamond" w:cs="Garamond" w:eastAsia="Garamond" w:hAnsi="Garamond"/>
          <w:b/>
          <w:bCs/>
          <w:i w:val="false"/>
          <w:iCs w:val="false"/>
          <w:color w:val="1B2A4A"/>
          <w:sz w:val="22"/>
          <w:szCs w:val="22"/>
        </w:rPr>
        <w:t xml:space="preserve">At-Large Seats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with a small population may elect House members at-large rather than by district, if the LI determines that the minimum district size would make geographic districting meaningless. At-large elections use proportional representation mechanisms — no plurality winner-take-all at-large elections.</w:t>
      </w:r>
    </w:p>
    <w:p>
      <w:pPr>
        <w:spacing w:after="60" w:before="200"/>
        <w:ind w:left="431"/>
        <w:jc w:val="left"/>
      </w:pPr>
      <w:r>
        <w:rPr>
          <w:rFonts w:ascii="Courier New" w:cs="Courier New" w:eastAsia="Courier New" w:hAnsi="Courier New"/>
          <w:b/>
          <w:bCs/>
          <w:color w:val="1B2A4A"/>
          <w:sz w:val="18"/>
          <w:szCs w:val="18"/>
        </w:rPr>
        <w:t xml:space="preserve">§3.4.f  </w:t>
      </w:r>
      <w:r>
        <w:rPr>
          <w:rFonts w:ascii="Garamond" w:cs="Garamond" w:eastAsia="Garamond" w:hAnsi="Garamond"/>
          <w:b/>
          <w:bCs/>
          <w:i w:val="false"/>
          <w:iCs w:val="false"/>
          <w:color w:val="1B2A4A"/>
          <w:sz w:val="22"/>
          <w:szCs w:val="22"/>
        </w:rPr>
        <w:t xml:space="preserve">District Vacancy</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House district seat falls vacant mid-term, the Electoral Commission administers a special election within 90 days. The replacement serves only the remainder of the original term. If fewer than 90 days remain in the term, the vacancy is not filled.</w:t>
      </w:r>
    </w:p>
    <w:p>
      <w:pPr>
        <w:spacing w:after="60" w:before="200"/>
        <w:ind w:left="431"/>
        <w:jc w:val="left"/>
      </w:pPr>
      <w:r>
        <w:rPr>
          <w:rFonts w:ascii="Courier New" w:cs="Courier New" w:eastAsia="Courier New" w:hAnsi="Courier New"/>
          <w:b/>
          <w:bCs/>
          <w:color w:val="1B2A4A"/>
          <w:sz w:val="18"/>
          <w:szCs w:val="18"/>
        </w:rPr>
        <w:t xml:space="preserve">§3.4.g  </w:t>
      </w:r>
      <w:r>
        <w:rPr>
          <w:rFonts w:ascii="Garamond" w:cs="Garamond" w:eastAsia="Garamond" w:hAnsi="Garamond"/>
          <w:b/>
          <w:bCs/>
          <w:i w:val="false"/>
          <w:iCs w:val="false"/>
          <w:color w:val="1B2A4A"/>
          <w:sz w:val="22"/>
          <w:szCs w:val="22"/>
        </w:rPr>
        <w:t xml:space="preserve">Redistricting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State submissions, LI analyses, and interim maps must be published to the NRS throughout the redistricting process. Citizens have the right to submit commentary to the LI during the review period. Redistricting decisions are judicially reviewable under §4.3.</w:t>
      </w:r>
    </w:p>
    <w:p>
      <w:pPr>
        <w:spacing w:after="60" w:before="200"/>
        <w:ind w:left="431"/>
        <w:jc w:val="left"/>
      </w:pPr>
      <w:r>
        <w:rPr>
          <w:rFonts w:ascii="Courier New" w:cs="Courier New" w:eastAsia="Courier New" w:hAnsi="Courier New"/>
          <w:b/>
          <w:bCs/>
          <w:color w:val="1B2A4A"/>
          <w:sz w:val="18"/>
          <w:szCs w:val="18"/>
        </w:rPr>
        <w:t xml:space="preserve">§3.4.h  </w:t>
      </w:r>
      <w:r>
        <w:rPr>
          <w:rFonts w:ascii="Garamond" w:cs="Garamond" w:eastAsia="Garamond" w:hAnsi="Garamond"/>
          <w:b/>
          <w:bCs/>
          <w:i w:val="false"/>
          <w:iCs w:val="false"/>
          <w:color w:val="1B2A4A"/>
          <w:sz w:val="22"/>
          <w:szCs w:val="22"/>
        </w:rPr>
        <w:t xml:space="preserve">Redistricting Challenge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citizen, State government, or parliamentary minority of 1/3 may challenge a proposed district map by petitioning the SC within the 60-day review period after LI compliance certification. The Court reviews whether criteria were correctly applied — not whether a different map would have been better.</w:t>
      </w:r>
    </w:p>
    <w:p>
      <w:pPr>
        <w:spacing w:after="60" w:before="200"/>
        <w:ind w:left="431"/>
        <w:jc w:val="left"/>
      </w:pPr>
      <w:r>
        <w:rPr>
          <w:rFonts w:ascii="Courier New" w:cs="Courier New" w:eastAsia="Courier New" w:hAnsi="Courier New"/>
          <w:b/>
          <w:bCs/>
          <w:color w:val="1B2A4A"/>
          <w:sz w:val="18"/>
          <w:szCs w:val="18"/>
        </w:rPr>
        <w:t xml:space="preserve">§3.5  </w:t>
      </w:r>
      <w:r>
        <w:rPr>
          <w:rFonts w:ascii="Garamond" w:cs="Garamond" w:eastAsia="Garamond" w:hAnsi="Garamond"/>
          <w:b/>
          <w:bCs/>
          <w:i w:val="false"/>
          <w:iCs w:val="false"/>
          <w:color w:val="1B2A4A"/>
          <w:sz w:val="22"/>
          <w:szCs w:val="22"/>
        </w:rPr>
        <w:t xml:space="preserve">The House — Composition and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of Representatives is structured and administered as established in this section and §3.1.</w:t>
      </w:r>
    </w:p>
    <w:p>
      <w:pPr>
        <w:spacing w:after="60" w:before="200"/>
        <w:ind w:left="431"/>
        <w:jc w:val="left"/>
      </w:pPr>
      <w:r>
        <w:rPr>
          <w:rFonts w:ascii="Courier New" w:cs="Courier New" w:eastAsia="Courier New" w:hAnsi="Courier New"/>
          <w:b/>
          <w:bCs/>
          <w:color w:val="1B2A4A"/>
          <w:sz w:val="18"/>
          <w:szCs w:val="18"/>
        </w:rPr>
        <w:t xml:space="preserve">§3.5.a  </w:t>
      </w:r>
      <w:r>
        <w:rPr>
          <w:rFonts w:ascii="Garamond" w:cs="Garamond" w:eastAsia="Garamond" w:hAnsi="Garamond"/>
          <w:b/>
          <w:bCs/>
          <w:i w:val="false"/>
          <w:iCs w:val="false"/>
          <w:color w:val="1B2A4A"/>
          <w:sz w:val="22"/>
          <w:szCs w:val="22"/>
        </w:rPr>
        <w:t xml:space="preserve">House Membership Formula</w:t>
      </w:r>
    </w:p>
    <w:p>
      <w:pPr>
        <w:spacing w:after="120" w:before="0"/>
        <w:ind w:left="431"/>
        <w:jc w:val="both"/>
      </w:pPr>
      <w:r>
        <w:rPr>
          <w:rFonts w:ascii="Garamond" w:cs="Garamond" w:eastAsia="Garamond" w:hAnsi="Garamond"/>
          <w:b w:val="false"/>
          <w:bCs w:val="false"/>
          <w:i w:val="false"/>
          <w:iCs w:val="false"/>
          <w:color w:val="2a2520"/>
          <w:sz w:val="22"/>
          <w:szCs w:val="22"/>
        </w:rPr>
        <w:t xml:space="preserve">Seat allocation follows the Webster method defined in §3.1.a. Where a reapportionment event creates or eliminates seats, the EC coordinates with affected States on district boundary adjustments before the next general election. The LI resolves any dispute between States about seat allocation methodology.</w:t>
      </w:r>
    </w:p>
    <w:p>
      <w:pPr>
        <w:spacing w:after="60" w:before="200"/>
        <w:ind w:left="431"/>
        <w:jc w:val="left"/>
      </w:pPr>
      <w:r>
        <w:rPr>
          <w:rFonts w:ascii="Courier New" w:cs="Courier New" w:eastAsia="Courier New" w:hAnsi="Courier New"/>
          <w:b/>
          <w:bCs/>
          <w:color w:val="1B2A4A"/>
          <w:sz w:val="18"/>
          <w:szCs w:val="18"/>
        </w:rPr>
        <w:t xml:space="preserve">§3.5.b  </w:t>
      </w:r>
      <w:r>
        <w:rPr>
          <w:rFonts w:ascii="Garamond" w:cs="Garamond" w:eastAsia="Garamond" w:hAnsi="Garamond"/>
          <w:b/>
          <w:bCs/>
          <w:i w:val="false"/>
          <w:iCs w:val="false"/>
          <w:color w:val="1B2A4A"/>
          <w:sz w:val="22"/>
          <w:szCs w:val="22"/>
        </w:rPr>
        <w:t xml:space="preserve">House Speaker</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Elected by the House from among its members by absolute majority. Presides over House proceedings, manages the legislative calendar, and holds Acting Presidential Authority in the Presidential succession chain. The Speaker's dual role — legislative and succession — keeps the succession line within the elected legislative class.</w:t>
      </w:r>
    </w:p>
    <w:p>
      <w:pPr>
        <w:spacing w:after="60" w:before="200"/>
        <w:ind w:left="431"/>
        <w:jc w:val="left"/>
      </w:pPr>
      <w:r>
        <w:rPr>
          <w:rFonts w:ascii="Courier New" w:cs="Courier New" w:eastAsia="Courier New" w:hAnsi="Courier New"/>
          <w:b/>
          <w:bCs/>
          <w:color w:val="1B2A4A"/>
          <w:sz w:val="18"/>
          <w:szCs w:val="18"/>
        </w:rPr>
        <w:t xml:space="preserve">§3.5.d  </w:t>
      </w:r>
      <w:r>
        <w:rPr>
          <w:rFonts w:ascii="Garamond" w:cs="Garamond" w:eastAsia="Garamond" w:hAnsi="Garamond"/>
          <w:b/>
          <w:bCs/>
          <w:i w:val="false"/>
          <w:iCs w:val="false"/>
          <w:color w:val="1B2A4A"/>
          <w:sz w:val="22"/>
          <w:szCs w:val="22"/>
        </w:rPr>
        <w:t xml:space="preserve">House Quorum</w:t>
      </w:r>
    </w:p>
    <w:p>
      <w:pPr>
        <w:spacing w:after="120" w:before="0"/>
        <w:ind w:left="431"/>
        <w:jc w:val="both"/>
      </w:pPr>
      <w:r>
        <w:rPr>
          <w:rFonts w:ascii="Garamond" w:cs="Garamond" w:eastAsia="Garamond" w:hAnsi="Garamond"/>
          <w:b w:val="false"/>
          <w:bCs w:val="false"/>
          <w:i w:val="false"/>
          <w:iCs w:val="false"/>
          <w:color w:val="2a2520"/>
          <w:sz w:val="22"/>
          <w:szCs w:val="22"/>
        </w:rPr>
        <w:t xml:space="preserve">A majority of the full seated House membership constitutes a quorum for ordinary business. The Speaker may compel attendance of absent members by warrant. No vote that requires an absolute majority of full membership may be held without quorum.</w:t>
      </w:r>
    </w:p>
    <w:p>
      <w:pPr>
        <w:spacing w:after="60" w:before="200"/>
        <w:ind w:left="431"/>
        <w:jc w:val="left"/>
      </w:pPr>
      <w:r>
        <w:rPr>
          <w:rFonts w:ascii="Courier New" w:cs="Courier New" w:eastAsia="Courier New" w:hAnsi="Courier New"/>
          <w:b/>
          <w:bCs/>
          <w:color w:val="1B2A4A"/>
          <w:sz w:val="18"/>
          <w:szCs w:val="18"/>
        </w:rPr>
        <w:t xml:space="preserve">§3.6  </w:t>
      </w:r>
      <w:r>
        <w:rPr>
          <w:rFonts w:ascii="Garamond" w:cs="Garamond" w:eastAsia="Garamond" w:hAnsi="Garamond"/>
          <w:b/>
          <w:bCs/>
          <w:i w:val="false"/>
          <w:iCs w:val="false"/>
          <w:color w:val="1B2A4A"/>
          <w:sz w:val="22"/>
          <w:szCs w:val="22"/>
        </w:rPr>
        <w:t xml:space="preserve">Legislative Oversight and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operates under continuous Inspectorate oversight — the Inspectorates publish findings but do not direct legislative outcomes.</w:t>
      </w:r>
    </w:p>
    <w:p>
      <w:pPr>
        <w:spacing w:after="60" w:before="200"/>
        <w:ind w:left="431"/>
        <w:jc w:val="left"/>
      </w:pPr>
      <w:r>
        <w:rPr>
          <w:rFonts w:ascii="Courier New" w:cs="Courier New" w:eastAsia="Courier New" w:hAnsi="Courier New"/>
          <w:b/>
          <w:bCs/>
          <w:color w:val="1B2A4A"/>
          <w:sz w:val="18"/>
          <w:szCs w:val="18"/>
        </w:rPr>
        <w:t xml:space="preserve">§3.6.a  </w:t>
      </w:r>
      <w:r>
        <w:rPr>
          <w:rFonts w:ascii="Garamond" w:cs="Garamond" w:eastAsia="Garamond" w:hAnsi="Garamond"/>
          <w:b/>
          <w:bCs/>
          <w:i w:val="false"/>
          <w:iCs w:val="false"/>
          <w:color w:val="1B2A4A"/>
          <w:sz w:val="22"/>
          <w:szCs w:val="22"/>
        </w:rPr>
        <w:t xml:space="preserve">Inspectorate Access to Legislative Records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have full access to legislative records, committee deliberations, voting records, and draft legislation. The Legislature may not classify records from the Inspectorates.</w:t>
      </w:r>
    </w:p>
    <w:p>
      <w:pPr>
        <w:spacing w:after="60" w:before="200"/>
        <w:ind w:left="431"/>
        <w:jc w:val="left"/>
      </w:pPr>
      <w:r>
        <w:rPr>
          <w:rFonts w:ascii="Courier New" w:cs="Courier New" w:eastAsia="Courier New" w:hAnsi="Courier New"/>
          <w:b/>
          <w:bCs/>
          <w:color w:val="1B2A4A"/>
          <w:sz w:val="18"/>
          <w:szCs w:val="18"/>
        </w:rPr>
        <w:t xml:space="preserve">§3.6.b  </w:t>
      </w:r>
      <w:r>
        <w:rPr>
          <w:rFonts w:ascii="Garamond" w:cs="Garamond" w:eastAsia="Garamond" w:hAnsi="Garamond"/>
          <w:b/>
          <w:bCs/>
          <w:i w:val="false"/>
          <w:iCs w:val="false"/>
          <w:color w:val="1B2A4A"/>
          <w:sz w:val="22"/>
          <w:szCs w:val="22"/>
        </w:rPr>
        <w:t xml:space="preserve">LI Pre-Passage Constitutional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publishes a constitutional analysis of any bill that appears to conflict with a constitutional provision, before the bill reaches a final vote. Advisory, not blocking — but creates a permanent NRS record that any member voting for the bill voted with full knowledge of the constitutional concern.</w:t>
      </w:r>
    </w:p>
    <w:p>
      <w:pPr>
        <w:spacing w:after="60" w:before="200"/>
        <w:ind w:left="431"/>
        <w:jc w:val="left"/>
      </w:pPr>
      <w:r>
        <w:rPr>
          <w:rFonts w:ascii="Courier New" w:cs="Courier New" w:eastAsia="Courier New" w:hAnsi="Courier New"/>
          <w:b/>
          <w:bCs/>
          <w:color w:val="1B2A4A"/>
          <w:sz w:val="18"/>
          <w:szCs w:val="18"/>
        </w:rPr>
        <w:t xml:space="preserve">§3.6.c  </w:t>
      </w:r>
      <w:r>
        <w:rPr>
          <w:rFonts w:ascii="Garamond" w:cs="Garamond" w:eastAsia="Garamond" w:hAnsi="Garamond"/>
          <w:b/>
          <w:bCs/>
          <w:i w:val="false"/>
          <w:iCs w:val="false"/>
          <w:color w:val="1B2A4A"/>
          <w:sz w:val="22"/>
          <w:szCs w:val="22"/>
        </w:rPr>
        <w:t xml:space="preserve">Committee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chambers must maintain standing committees for their constitutionally assigned functions. Committees may not be abolished while they hold a constitutional mandate. The LI audits committee operations annually.</w:t>
      </w:r>
    </w:p>
    <w:p>
      <w:pPr>
        <w:spacing w:after="60" w:before="200"/>
        <w:ind w:left="431"/>
        <w:jc w:val="left"/>
      </w:pPr>
      <w:r>
        <w:rPr>
          <w:rFonts w:ascii="Courier New" w:cs="Courier New" w:eastAsia="Courier New" w:hAnsi="Courier New"/>
          <w:b/>
          <w:bCs/>
          <w:color w:val="1B2A4A"/>
          <w:sz w:val="18"/>
          <w:szCs w:val="18"/>
        </w:rPr>
        <w:t xml:space="preserve">§3.6.d  </w:t>
      </w:r>
      <w:r>
        <w:rPr>
          <w:rFonts w:ascii="Garamond" w:cs="Garamond" w:eastAsia="Garamond" w:hAnsi="Garamond"/>
          <w:b/>
          <w:bCs/>
          <w:i w:val="false"/>
          <w:iCs w:val="false"/>
          <w:color w:val="1B2A4A"/>
          <w:sz w:val="22"/>
          <w:szCs w:val="22"/>
        </w:rPr>
        <w:t xml:space="preserve">Joint Sessions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two chambers may meet in joint session for constitutionally enumerated purposes: receiving Presidential addresses, certifying election results, and voting on constitutional amendments under Path A. Joint sessions do not allow mixing of the chambers' distinct functions.</w:t>
      </w:r>
    </w:p>
    <w:p>
      <w:pPr>
        <w:spacing w:after="60" w:before="200"/>
        <w:ind w:left="431"/>
        <w:jc w:val="left"/>
      </w:pPr>
      <w:r>
        <w:rPr>
          <w:rFonts w:ascii="Courier New" w:cs="Courier New" w:eastAsia="Courier New" w:hAnsi="Courier New"/>
          <w:b/>
          <w:bCs/>
          <w:color w:val="1B2A4A"/>
          <w:sz w:val="18"/>
          <w:szCs w:val="18"/>
        </w:rPr>
        <w:t xml:space="preserve">§3.6.e  </w:t>
      </w:r>
      <w:r>
        <w:rPr>
          <w:rFonts w:ascii="Garamond" w:cs="Garamond" w:eastAsia="Garamond" w:hAnsi="Garamond"/>
          <w:b/>
          <w:bCs/>
          <w:i w:val="false"/>
          <w:iCs w:val="false"/>
          <w:color w:val="1B2A4A"/>
          <w:sz w:val="22"/>
          <w:szCs w:val="22"/>
        </w:rPr>
        <w:t xml:space="preserve">Legislative Ethics and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a joint ethics committee with authority to sanction, suspend (not remove), or refer members to the EI for investigation. Removal requires a 2/3 vote of the relevant chamber following a published EI finding — the ethics committee cannot remove members, only the full chamber can.</w:t>
      </w:r>
    </w:p>
    <w:p>
      <w:pPr>
        <w:spacing w:after="60" w:before="200"/>
        <w:ind w:left="431"/>
        <w:jc w:val="left"/>
      </w:pPr>
      <w:r>
        <w:rPr>
          <w:rFonts w:ascii="Courier New" w:cs="Courier New" w:eastAsia="Courier New" w:hAnsi="Courier New"/>
          <w:b/>
          <w:bCs/>
          <w:color w:val="1B2A4A"/>
          <w:sz w:val="18"/>
          <w:szCs w:val="18"/>
        </w:rPr>
        <w:t xml:space="preserve">§3.6.f  </w:t>
      </w:r>
      <w:r>
        <w:rPr>
          <w:rFonts w:ascii="Garamond" w:cs="Garamond" w:eastAsia="Garamond" w:hAnsi="Garamond"/>
          <w:b/>
          <w:bCs/>
          <w:i w:val="false"/>
          <w:iCs w:val="false"/>
          <w:color w:val="1B2A4A"/>
          <w:sz w:val="22"/>
          <w:szCs w:val="22"/>
        </w:rPr>
        <w:t xml:space="preserve">Legislative Privilege</w:t>
      </w:r>
    </w:p>
    <w:p>
      <w:pPr>
        <w:spacing w:after="120" w:before="0"/>
        <w:ind w:left="431"/>
        <w:jc w:val="both"/>
      </w:pPr>
      <w:r>
        <w:rPr>
          <w:rFonts w:ascii="Garamond" w:cs="Garamond" w:eastAsia="Garamond" w:hAnsi="Garamond"/>
          <w:b w:val="false"/>
          <w:bCs w:val="false"/>
          <w:i w:val="false"/>
          <w:iCs w:val="false"/>
          <w:color w:val="2a2520"/>
          <w:sz w:val="22"/>
          <w:szCs w:val="22"/>
        </w:rPr>
        <w:t xml:space="preserve">Members are privileged from civil arrest and civil suit arising from acts performed in their legislative capacity: votes, speeches, committee testimony. This privilege does not extend to criminal conduct, conduct outside legislative functions, or conduct the EI has certified as a constitutional breach.</w:t>
      </w:r>
    </w:p>
    <w:p>
      <w:pPr>
        <w:spacing w:after="60" w:before="200"/>
        <w:ind w:left="431"/>
        <w:jc w:val="left"/>
      </w:pPr>
      <w:r>
        <w:rPr>
          <w:rFonts w:ascii="Courier New" w:cs="Courier New" w:eastAsia="Courier New" w:hAnsi="Courier New"/>
          <w:b/>
          <w:bCs/>
          <w:color w:val="1B2A4A"/>
          <w:sz w:val="18"/>
          <w:szCs w:val="18"/>
        </w:rPr>
        <w:t xml:space="preserve">§3.7  </w:t>
      </w:r>
      <w:r>
        <w:rPr>
          <w:rFonts w:ascii="Garamond" w:cs="Garamond" w:eastAsia="Garamond" w:hAnsi="Garamond"/>
          <w:b/>
          <w:bCs/>
          <w:i w:val="false"/>
          <w:iCs w:val="false"/>
          <w:color w:val="1B2A4A"/>
          <w:sz w:val="22"/>
          <w:szCs w:val="22"/>
        </w:rPr>
        <w:t xml:space="preserve">Independent Statutory Officers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authorizes a class of statutory officers who operate independently of both executives. Their independence is structural — fixed terms, appointment from a JI-maintained registry, and removal only on the grounds specified in enabling statute.</w:t>
      </w:r>
    </w:p>
    <w:p>
      <w:pPr>
        <w:spacing w:after="60" w:before="200"/>
        <w:ind w:left="431"/>
        <w:jc w:val="left"/>
      </w:pPr>
      <w:r>
        <w:rPr>
          <w:rFonts w:ascii="Courier New" w:cs="Courier New" w:eastAsia="Courier New" w:hAnsi="Courier New"/>
          <w:b/>
          <w:bCs/>
          <w:color w:val="1B2A4A"/>
          <w:sz w:val="18"/>
          <w:szCs w:val="18"/>
        </w:rPr>
        <w:t xml:space="preserve">§3.7.a  </w:t>
      </w:r>
      <w:r>
        <w:rPr>
          <w:rFonts w:ascii="Garamond" w:cs="Garamond" w:eastAsia="Garamond" w:hAnsi="Garamond"/>
          <w:b/>
          <w:bCs/>
          <w:i w:val="false"/>
          <w:iCs w:val="false"/>
          <w:color w:val="1B2A4A"/>
          <w:sz w:val="22"/>
          <w:szCs w:val="22"/>
        </w:rPr>
        <w:t xml:space="preserve">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Statutory Independent Officers — the constitution authorizes the Legislature to create independent statutory offices outside both executive domains. They exercise regulatory, quasi-judicial, or administrative functions with constitutional independence — neither executive may direct their operations.</w:t>
      </w:r>
    </w:p>
    <w:p>
      <w:pPr>
        <w:spacing w:after="60" w:before="200"/>
        <w:ind w:left="431"/>
        <w:jc w:val="left"/>
      </w:pPr>
      <w:r>
        <w:rPr>
          <w:rFonts w:ascii="Courier New" w:cs="Courier New" w:eastAsia="Courier New" w:hAnsi="Courier New"/>
          <w:b/>
          <w:bCs/>
          <w:color w:val="1B2A4A"/>
          <w:sz w:val="18"/>
          <w:szCs w:val="18"/>
        </w:rPr>
        <w:t xml:space="preserve">§3.7.b  </w:t>
      </w:r>
      <w:r>
        <w:rPr>
          <w:rFonts w:ascii="Garamond" w:cs="Garamond" w:eastAsia="Garamond" w:hAnsi="Garamond"/>
          <w:b/>
          <w:bCs/>
          <w:i w:val="false"/>
          <w:iCs w:val="false"/>
          <w:color w:val="1B2A4A"/>
          <w:sz w:val="22"/>
          <w:szCs w:val="22"/>
        </w:rPr>
        <w:t xml:space="preserve">Appointment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Registry and Nomination for Independent Officers — the JI maintains a registry of qualified candidates for each independent statutory office. The PM may only nominate from the registry. The EI reviews each nominee's disclosure record for factual accuracy before Senate confirmation. Prevents purely political appointments while preserving the PM's nomination discretion within the qualified pool.</w:t>
      </w:r>
    </w:p>
    <w:p>
      <w:pPr>
        <w:spacing w:after="60" w:before="200"/>
        <w:ind w:left="431"/>
        <w:jc w:val="left"/>
      </w:pPr>
      <w:r>
        <w:rPr>
          <w:rFonts w:ascii="Courier New" w:cs="Courier New" w:eastAsia="Courier New" w:hAnsi="Courier New"/>
          <w:b/>
          <w:bCs/>
          <w:color w:val="1B2A4A"/>
          <w:sz w:val="18"/>
          <w:szCs w:val="18"/>
        </w:rPr>
        <w:t xml:space="preserve">§3.7.c  </w:t>
      </w:r>
      <w:r>
        <w:rPr>
          <w:rFonts w:ascii="Garamond" w:cs="Garamond" w:eastAsia="Garamond" w:hAnsi="Garamond"/>
          <w:b/>
          <w:bCs/>
          <w:i w:val="false"/>
          <w:iCs w:val="false"/>
          <w:color w:val="1B2A4A"/>
          <w:sz w:val="22"/>
          <w:szCs w:val="22"/>
        </w:rPr>
        <w:t xml:space="preserve">Senate Confirmation of Independent Officers</w:t>
      </w:r>
    </w:p>
    <w:p>
      <w:pPr>
        <w:spacing w:after="120" w:before="0"/>
        <w:ind w:left="431"/>
        <w:jc w:val="both"/>
      </w:pPr>
      <w:r>
        <w:rPr>
          <w:rFonts w:ascii="Garamond" w:cs="Garamond" w:eastAsia="Garamond" w:hAnsi="Garamond"/>
          <w:b w:val="false"/>
          <w:bCs w:val="false"/>
          <w:i w:val="false"/>
          <w:iCs w:val="false"/>
          <w:color w:val="2a2520"/>
          <w:sz w:val="22"/>
          <w:szCs w:val="22"/>
        </w:rPr>
        <w:t xml:space="preserve">Confirmed by the Senate. Thresholds defined by the enabling statute within constitutional bounds. The Senate may not confirm an officer the EI has flagged for a material disclosure inaccuracy until the discrepancy is resolved.</w:t>
      </w:r>
    </w:p>
    <w:p>
      <w:pPr>
        <w:spacing w:after="60" w:before="200"/>
        <w:ind w:left="431"/>
        <w:jc w:val="left"/>
      </w:pPr>
      <w:r>
        <w:rPr>
          <w:rFonts w:ascii="Courier New" w:cs="Courier New" w:eastAsia="Courier New" w:hAnsi="Courier New"/>
          <w:b/>
          <w:bCs/>
          <w:color w:val="1B2A4A"/>
          <w:sz w:val="18"/>
          <w:szCs w:val="18"/>
        </w:rPr>
        <w:t xml:space="preserve">§3.7.d  </w:t>
      </w:r>
      <w:r>
        <w:rPr>
          <w:rFonts w:ascii="Garamond" w:cs="Garamond" w:eastAsia="Garamond" w:hAnsi="Garamond"/>
          <w:b/>
          <w:bCs/>
          <w:i w:val="false"/>
          <w:iCs w:val="false"/>
          <w:color w:val="1B2A4A"/>
          <w:sz w:val="22"/>
          <w:szCs w:val="22"/>
        </w:rPr>
        <w:t xml:space="preserve">Removal of Independent Officers</w:t>
      </w:r>
    </w:p>
    <w:p>
      <w:pPr>
        <w:spacing w:after="120" w:before="0"/>
        <w:ind w:left="431"/>
        <w:jc w:val="both"/>
      </w:pPr>
      <w:r>
        <w:rPr>
          <w:rFonts w:ascii="Garamond" w:cs="Garamond" w:eastAsia="Garamond" w:hAnsi="Garamond"/>
          <w:b w:val="false"/>
          <w:bCs w:val="false"/>
          <w:i w:val="false"/>
          <w:iCs w:val="false"/>
          <w:color w:val="2a2520"/>
          <w:sz w:val="22"/>
          <w:szCs w:val="22"/>
        </w:rPr>
        <w:t xml:space="preserve">Removal requires a for-cause finding. The EI must publish a factual finding before any removal vote. Removal is by 2/3 of both chambers simultaneously. Neither executive may remove a statutory independent officer unilaterally.</w:t>
      </w:r>
    </w:p>
    <w:p>
      <w:pPr>
        <w:spacing w:after="60" w:before="200"/>
        <w:ind w:left="431"/>
        <w:jc w:val="left"/>
      </w:pPr>
      <w:r>
        <w:rPr>
          <w:rFonts w:ascii="Courier New" w:cs="Courier New" w:eastAsia="Courier New" w:hAnsi="Courier New"/>
          <w:b/>
          <w:bCs/>
          <w:color w:val="1B2A4A"/>
          <w:sz w:val="18"/>
          <w:szCs w:val="18"/>
        </w:rPr>
        <w:t xml:space="preserve">§3.8  </w:t>
      </w:r>
      <w:r>
        <w:rPr>
          <w:rFonts w:ascii="Garamond" w:cs="Garamond" w:eastAsia="Garamond" w:hAnsi="Garamond"/>
          <w:b/>
          <w:bCs/>
          <w:i w:val="false"/>
          <w:iCs w:val="false"/>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may initiate impeachment proceedings against officers appointed to and serving in the President's executive domain, and against inferior court judges. The President is not subject to this section — presidential removal is governed exclusively by §2.10. The Prime Minister is not subject to this section — PM removal is governed exclusively by §2.3.a. Supreme Court justices are not subject to this section — SC removal is governed exclusively by §4.1.d. Legislative members are not subject to this section — their removal is governed exclusively by §3.6.</w:t>
      </w:r>
    </w:p>
    <w:p>
      <w:pPr>
        <w:spacing w:after="60" w:before="200"/>
        <w:ind w:left="431"/>
        <w:jc w:val="left"/>
      </w:pPr>
      <w:r>
        <w:rPr>
          <w:rFonts w:ascii="Courier New" w:cs="Courier New" w:eastAsia="Courier New" w:hAnsi="Courier New"/>
          <w:b/>
          <w:bCs/>
          <w:color w:val="1B2A4A"/>
          <w:sz w:val="18"/>
          <w:szCs w:val="18"/>
        </w:rPr>
        <w:t xml:space="preserve">§3.8.a  </w:t>
      </w:r>
      <w:r>
        <w:rPr>
          <w:rFonts w:ascii="Garamond" w:cs="Garamond" w:eastAsia="Garamond" w:hAnsi="Garamond"/>
          <w:b/>
          <w:bCs/>
          <w:i w:val="false"/>
          <w:iCs w:val="false"/>
          <w:color w:val="1B2A4A"/>
          <w:sz w:val="22"/>
          <w:szCs w:val="22"/>
        </w:rPr>
        <w:t xml:space="preserve">Impeachment Inquiry</w:t>
      </w:r>
    </w:p>
    <w:p>
      <w:pPr>
        <w:spacing w:after="120" w:before="0"/>
        <w:ind w:left="431"/>
        <w:jc w:val="both"/>
      </w:pPr>
      <w:r>
        <w:rPr>
          <w:rFonts w:ascii="Garamond" w:cs="Garamond" w:eastAsia="Garamond" w:hAnsi="Garamond"/>
          <w:b w:val="false"/>
          <w:bCs w:val="false"/>
          <w:i w:val="false"/>
          <w:iCs w:val="false"/>
          <w:color w:val="2a2520"/>
          <w:sz w:val="22"/>
          <w:szCs w:val="22"/>
        </w:rPr>
        <w:t xml:space="preserve">Any 1/3 minority of the House may open a formal impeachment inquiry. The inquiry is conducted by a House committee with findings published to the NRS. An inquiry carries no immediate consequences for the subject official. Inquiries lapse 120 days after opening if no Articles of Impeachment are filed.</w:t>
      </w:r>
    </w:p>
    <w:p>
      <w:pPr>
        <w:spacing w:after="60" w:before="200"/>
        <w:ind w:left="431"/>
        <w:jc w:val="left"/>
      </w:pPr>
      <w:r>
        <w:rPr>
          <w:rFonts w:ascii="Courier New" w:cs="Courier New" w:eastAsia="Courier New" w:hAnsi="Courier New"/>
          <w:b/>
          <w:bCs/>
          <w:color w:val="1B2A4A"/>
          <w:sz w:val="18"/>
          <w:szCs w:val="18"/>
        </w:rPr>
        <w:t xml:space="preserve">§3.8.b  </w:t>
      </w:r>
      <w:r>
        <w:rPr>
          <w:rFonts w:ascii="Garamond" w:cs="Garamond" w:eastAsia="Garamond" w:hAnsi="Garamond"/>
          <w:b/>
          <w:bCs/>
          <w:i w:val="false"/>
          <w:iCs w:val="false"/>
          <w:color w:val="1B2A4A"/>
          <w:sz w:val="22"/>
          <w:szCs w:val="22"/>
        </w:rPr>
        <w:t xml:space="preserve">Articles of 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House votes on Articles of Impeachment by absolute majority of full seated membership. Passage transmits the Articles immediately to the Senate and publishes them permanently to the NRS. The Articles must state specific grounds in plain language. The subject official continues in office pending the Senate trial. Impeachment proceedings and Inspectorate findings proceed concurrently on independent tracks; the more restrictive consequence applies where both converge.</w:t>
      </w:r>
    </w:p>
    <w:p>
      <w:pPr>
        <w:spacing w:after="60" w:before="200"/>
        <w:ind w:left="431"/>
        <w:jc w:val="left"/>
      </w:pPr>
      <w:r>
        <w:rPr>
          <w:rFonts w:ascii="Courier New" w:cs="Courier New" w:eastAsia="Courier New" w:hAnsi="Courier New"/>
          <w:b/>
          <w:bCs/>
          <w:color w:val="1B2A4A"/>
          <w:sz w:val="18"/>
          <w:szCs w:val="18"/>
        </w:rPr>
        <w:t xml:space="preserve">§3.8.c  </w:t>
      </w:r>
      <w:r>
        <w:rPr>
          <w:rFonts w:ascii="Garamond" w:cs="Garamond" w:eastAsia="Garamond" w:hAnsi="Garamond"/>
          <w:b/>
          <w:bCs/>
          <w:i w:val="false"/>
          <w:iCs w:val="false"/>
          <w:color w:val="1B2A4A"/>
          <w:sz w:val="22"/>
          <w:szCs w:val="22"/>
        </w:rPr>
        <w:t xml:space="preserve">Senate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presides over Senate impeachment trials without voting on the final removal question. Where the President is the subject of proceedings under §2.10, the most senior available Supreme Court justice presides under the same conditions. The trial is conducted in public and recorded on the NRS. Conviction and removal requires 2/3 of the full seated Senate membership. On conviction: removal is automatic and immediate; the Senate may additionally bar the convicted official from future federal office by simple majority vote; all criminal liability remains separately pursuable. Acquittal is final — no further impeachment proceedings on the same Articles and the same conduct may be initiated. An acquitted or convicted official retains all Article I rights.</w:t>
      </w:r>
    </w:p>
    <w:p>
      <w:pPr>
        <w:spacing w:after="60" w:before="200"/>
        <w:ind w:left="431"/>
        <w:jc w:val="left"/>
      </w:pPr>
      <w:r>
        <w:rPr>
          <w:rFonts w:ascii="Courier New" w:cs="Courier New" w:eastAsia="Courier New" w:hAnsi="Courier New"/>
          <w:b/>
          <w:bCs/>
          <w:color w:val="1B2A4A"/>
          <w:sz w:val="18"/>
          <w:szCs w:val="18"/>
        </w:rPr>
        <w:t xml:space="preserve">§3.8.d  </w:t>
      </w:r>
      <w:r>
        <w:rPr>
          <w:rFonts w:ascii="Garamond" w:cs="Garamond" w:eastAsia="Garamond" w:hAnsi="Garamond"/>
          <w:b/>
          <w:bCs/>
          <w:i w:val="false"/>
          <w:iCs w:val="false"/>
          <w:color w:val="1B2A4A"/>
          <w:sz w:val="22"/>
          <w:szCs w:val="22"/>
        </w:rPr>
        <w:t xml:space="preserve">Executive Continuity During 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Impeachment of an officer within the President's executive domain activates the relevant succession protocols for that officer's functions from the date the House passes Articles, pending the Senate trial's conclusion. The impeached official retains personal Article I rights but is relieved of executive authority pending the Senate trial.</w:t>
      </w:r>
    </w:p>
    <w:p>
      <w:pPr>
        <w:spacing w:after="60" w:before="200"/>
        <w:jc w:val="left"/>
      </w:pPr>
      <w:r>
        <w:rPr>
          <w:rFonts w:ascii="Garamond" w:cs="Garamond" w:eastAsia="Garamond" w:hAnsi="Garamond"/>
          <w:b/>
          <w:bCs/>
          <w:i w:val="false"/>
          <w:iCs w:val="false"/>
          <w:color w:val="1B2A4A"/>
          <w:sz w:val="34"/>
          <w:szCs w:val="34"/>
        </w:rPr>
        <w:t xml:space="preserve">Article IV — The Judicial Architecture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§4.1  </w:t>
      </w:r>
      <w:r>
        <w:rPr>
          <w:rFonts w:ascii="Garamond" w:cs="Garamond" w:eastAsia="Garamond" w:hAnsi="Garamond"/>
          <w:b/>
          <w:bCs/>
          <w:i w:val="false"/>
          <w:iCs w:val="false"/>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judiciary operates at three levels: District Courts (fact-finding and evidence), Appellate Courts (rules compliance), and the Supreme Court (final constitutional authority). States may maintain specialized court structures by statute, provided any constitutional question arising in any proceeding may be referred to the Supreme Court by any party or by the presiding court of its own motion.</w:t>
      </w:r>
    </w:p>
    <w:p>
      <w:pPr>
        <w:spacing w:after="60" w:before="200"/>
        <w:ind w:left="431"/>
        <w:jc w:val="left"/>
      </w:pPr>
      <w:r>
        <w:rPr>
          <w:rFonts w:ascii="Courier New" w:cs="Courier New" w:eastAsia="Courier New" w:hAnsi="Courier New"/>
          <w:b/>
          <w:bCs/>
          <w:color w:val="1B2A4A"/>
          <w:sz w:val="18"/>
          <w:szCs w:val="18"/>
        </w:rPr>
        <w:t xml:space="preserve">§4.1.a  </w:t>
      </w:r>
      <w:r>
        <w:rPr>
          <w:rFonts w:ascii="Garamond" w:cs="Garamond" w:eastAsia="Garamond" w:hAnsi="Garamond"/>
          <w:b/>
          <w:bCs/>
          <w:i w:val="false"/>
          <w:iCs w:val="false"/>
          <w:color w:val="1B2A4A"/>
          <w:sz w:val="22"/>
          <w:szCs w:val="22"/>
        </w:rPr>
        <w:t xml:space="preserve">Establishment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alone may create or abolish inferior courts by statute — one of the few exclusively House powers. The Senate confirms the judges who sit on those courts (§4.1.b), but the existence and structure of the courts is a House matter. The House may also define the jurisdiction and rules of inferior courts by statute, subject to constitutional constraints on judicial independence.</w:t>
      </w:r>
    </w:p>
    <w:p>
      <w:pPr>
        <w:spacing w:after="60" w:before="200"/>
        <w:ind w:left="431"/>
        <w:jc w:val="left"/>
      </w:pPr>
      <w:r>
        <w:rPr>
          <w:rFonts w:ascii="Courier New" w:cs="Courier New" w:eastAsia="Courier New" w:hAnsi="Courier New"/>
          <w:b/>
          <w:bCs/>
          <w:color w:val="1B2A4A"/>
          <w:sz w:val="18"/>
          <w:szCs w:val="18"/>
        </w:rPr>
        <w:t xml:space="preserve">§4.1.b  </w:t>
      </w:r>
      <w:r>
        <w:rPr>
          <w:rFonts w:ascii="Garamond" w:cs="Garamond" w:eastAsia="Garamond" w:hAnsi="Garamond"/>
          <w:b/>
          <w:bCs/>
          <w:i w:val="false"/>
          <w:iCs w:val="false"/>
          <w:color w:val="1B2A4A"/>
          <w:sz w:val="22"/>
          <w:szCs w:val="22"/>
        </w:rPr>
        <w:t xml:space="preserve">Appointment of Inferior Courts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nominates inferior court judges within 90 days of a vacancy. The Senate confirms by a supermajority of 55–67% of full seated membership, as the Legislature defines by statute. Before the confirmation vote, the PM submits the nominee's disclosure record to the EI; the EI publishes its review before the vote. Where the PM fails to nominate within 90 days, the Senate may nominate directly. The confirmation period is prorated where nomination occurs late. No vacancy may remain unfilled beyond 180 days; Deemed Confirmation applies at that ceiling if no vote has been held.</w:t>
      </w:r>
    </w:p>
    <w:p>
      <w:pPr>
        <w:spacing w:after="60" w:before="200"/>
        <w:ind w:left="431"/>
        <w:jc w:val="left"/>
      </w:pPr>
      <w:r>
        <w:rPr>
          <w:rFonts w:ascii="Courier New" w:cs="Courier New" w:eastAsia="Courier New" w:hAnsi="Courier New"/>
          <w:b/>
          <w:bCs/>
          <w:color w:val="1B2A4A"/>
          <w:sz w:val="18"/>
          <w:szCs w:val="18"/>
        </w:rPr>
        <w:t xml:space="preserve">§4.1.c  </w:t>
      </w:r>
      <w:r>
        <w:rPr>
          <w:rFonts w:ascii="Garamond" w:cs="Garamond" w:eastAsia="Garamond" w:hAnsi="Garamond"/>
          <w:b/>
          <w:bCs/>
          <w:i w:val="false"/>
          <w:iCs w:val="false"/>
          <w:color w:val="1B2A4A"/>
          <w:sz w:val="22"/>
          <w:szCs w:val="22"/>
        </w:rPr>
        <w:t xml:space="preserve">Judicial Tenure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Inferior court judges, once commissioned, serve during good behavior with no fixed term. The Legislature may establish a maximum service age or maximum total service period (not less than 15 years from first commissioning), but may not create fixed-term appointments shorter than 15 years. Ensures judicial independence from political branches — a judge who must seek reappointment is not fully independent.</w:t>
      </w:r>
    </w:p>
    <w:p>
      <w:pPr>
        <w:spacing w:after="60" w:before="200"/>
        <w:ind w:left="431"/>
        <w:jc w:val="left"/>
      </w:pPr>
      <w:r>
        <w:rPr>
          <w:rFonts w:ascii="Courier New" w:cs="Courier New" w:eastAsia="Courier New" w:hAnsi="Courier New"/>
          <w:b/>
          <w:bCs/>
          <w:color w:val="1B2A4A"/>
          <w:sz w:val="18"/>
          <w:szCs w:val="18"/>
        </w:rPr>
        <w:t xml:space="preserve">§4.1.d  </w:t>
      </w:r>
      <w:r>
        <w:rPr>
          <w:rFonts w:ascii="Garamond" w:cs="Garamond" w:eastAsia="Garamond" w:hAnsi="Garamond"/>
          <w:b/>
          <w:bCs/>
          <w:i w:val="false"/>
          <w:iCs w:val="false"/>
          <w:color w:val="1B2A4A"/>
          <w:sz w:val="22"/>
          <w:szCs w:val="22"/>
        </w:rPr>
        <w:t xml:space="preserve">Judicial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Inferior court judges may be removed through three tracks: legislative removal by 2/3 of both chambers for constitutional breach or demonstrated incapacity; judicial discipline through a process the Legislature establishes by statute, subject to SC oversight; and criminal conviction for disqualifying offenses. The EI must publish a factual finding before any legislative removal vote.</w:t>
      </w:r>
    </w:p>
    <w:p>
      <w:pPr>
        <w:spacing w:after="60" w:before="200"/>
        <w:ind w:left="431"/>
        <w:jc w:val="left"/>
      </w:pPr>
      <w:r>
        <w:rPr>
          <w:rFonts w:ascii="Courier New" w:cs="Courier New" w:eastAsia="Courier New" w:hAnsi="Courier New"/>
          <w:b/>
          <w:bCs/>
          <w:color w:val="1B2A4A"/>
          <w:sz w:val="18"/>
          <w:szCs w:val="18"/>
        </w:rPr>
        <w:t xml:space="preserve">§4.2  </w:t>
      </w:r>
      <w:r>
        <w:rPr>
          <w:rFonts w:ascii="Garamond" w:cs="Garamond" w:eastAsia="Garamond" w:hAnsi="Garamond"/>
          <w:b/>
          <w:bCs/>
          <w:i w:val="false"/>
          <w:iCs w:val="false"/>
          <w:color w:val="1B2A4A"/>
          <w:sz w:val="22"/>
          <w:szCs w:val="22"/>
        </w:rPr>
        <w:t xml:space="preserve">Open-Candidacy Judicial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Supreme Court justices are elected by national ranked-choice vote from an open pool of registered candidates. No political branch nominates, appoints, or confirms SC justices. Three justices are elected every four years under a staggered class system; each serves a single non-renewable 12-year term.</w:t>
      </w:r>
    </w:p>
    <w:p>
      <w:pPr>
        <w:spacing w:after="60" w:before="200"/>
        <w:ind w:left="431"/>
        <w:jc w:val="left"/>
      </w:pPr>
      <w:r>
        <w:rPr>
          <w:rFonts w:ascii="Courier New" w:cs="Courier New" w:eastAsia="Courier New" w:hAnsi="Courier New"/>
          <w:b/>
          <w:bCs/>
          <w:color w:val="1B2A4A"/>
          <w:sz w:val="18"/>
          <w:szCs w:val="18"/>
        </w:rPr>
        <w:t xml:space="preserve">§4.2.a  </w:t>
      </w:r>
      <w:r>
        <w:rPr>
          <w:rFonts w:ascii="Garamond" w:cs="Garamond" w:eastAsia="Garamond" w:hAnsi="Garamond"/>
          <w:b/>
          <w:bCs/>
          <w:i w:val="false"/>
          <w:iCs w:val="false"/>
          <w:color w:val="1B2A4A"/>
          <w:sz w:val="22"/>
          <w:szCs w:val="22"/>
        </w:rPr>
        <w:t xml:space="preserve">Candidate Registration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citizen on the SC Candidate Registry (maintained by the JI under §8.4.e) may stand by filing a full disclosure record with the EI. The EI reviews within 14 days for factual accuracy — not to assess the quality of credentials. A candidate with a material inaccuracy is removed from the ballot; the EI publishes the grounds.</w:t>
      </w:r>
    </w:p>
    <w:p>
      <w:pPr>
        <w:spacing w:after="60" w:before="200"/>
        <w:ind w:left="431"/>
        <w:jc w:val="left"/>
      </w:pPr>
      <w:r>
        <w:rPr>
          <w:rFonts w:ascii="Courier New" w:cs="Courier New" w:eastAsia="Courier New" w:hAnsi="Courier New"/>
          <w:b/>
          <w:bCs/>
          <w:color w:val="1B2A4A"/>
          <w:sz w:val="18"/>
          <w:szCs w:val="18"/>
        </w:rPr>
        <w:t xml:space="preserve">§4.2.b  </w:t>
      </w:r>
      <w:r>
        <w:rPr>
          <w:rFonts w:ascii="Garamond" w:cs="Garamond" w:eastAsia="Garamond" w:hAnsi="Garamond"/>
          <w:b/>
          <w:bCs/>
          <w:i w:val="false"/>
          <w:iCs w:val="false"/>
          <w:color w:val="1B2A4A"/>
          <w:sz w:val="22"/>
          <w:szCs w:val="22"/>
        </w:rPr>
        <w:t xml:space="preserve">Judicial Selection Board</w:t>
      </w:r>
    </w:p>
    <w:p>
      <w:pPr>
        <w:spacing w:after="120" w:before="0"/>
        <w:ind w:left="431"/>
        <w:jc w:val="both"/>
      </w:pPr>
      <w:r>
        <w:rPr>
          <w:rFonts w:ascii="Garamond" w:cs="Garamond" w:eastAsia="Garamond" w:hAnsi="Garamond"/>
          <w:b w:val="false"/>
          <w:bCs w:val="false"/>
          <w:i w:val="false"/>
          <w:iCs w:val="false"/>
          <w:color w:val="2a2520"/>
          <w:sz w:val="22"/>
          <w:szCs w:val="22"/>
        </w:rPr>
        <w:t xml:space="preserve">Five senior judges (at least 10 years continuous service) chosen by lot by the JI from all eligible judges who are not themselves candidates. Advisory assessment of every candidate's judicial record, legal reasoning, and professional independence. Advisory only — no ballot access authority, no endorsement. Published no later than 60 days before the election.</w:t>
      </w:r>
    </w:p>
    <w:p>
      <w:pPr>
        <w:spacing w:after="60" w:before="200"/>
        <w:ind w:left="431"/>
        <w:jc w:val="left"/>
      </w:pPr>
      <w:r>
        <w:rPr>
          <w:rFonts w:ascii="Courier New" w:cs="Courier New" w:eastAsia="Courier New" w:hAnsi="Courier New"/>
          <w:b/>
          <w:bCs/>
          <w:color w:val="1B2A4A"/>
          <w:sz w:val="18"/>
          <w:szCs w:val="18"/>
        </w:rPr>
        <w:t xml:space="preserve">§4.2.c  </w:t>
      </w:r>
      <w:r>
        <w:rPr>
          <w:rFonts w:ascii="Garamond" w:cs="Garamond" w:eastAsia="Garamond" w:hAnsi="Garamond"/>
          <w:b/>
          <w:bCs/>
          <w:i w:val="false"/>
          <w:iCs w:val="false"/>
          <w:color w:val="1B2A4A"/>
          <w:sz w:val="22"/>
          <w:szCs w:val="22"/>
        </w:rPr>
        <w:t xml:space="preserve">Judicial Inspectorate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confirms that each candidate remains on the SC Candidate Registry and that no disqualifying change has occurred since Registry admission. Candidates who fail JI certification may appeal under §8.4.i.</w:t>
      </w:r>
    </w:p>
    <w:p>
      <w:pPr>
        <w:spacing w:after="60" w:before="200"/>
        <w:ind w:left="431"/>
        <w:jc w:val="left"/>
      </w:pPr>
      <w:r>
        <w:rPr>
          <w:rFonts w:ascii="Courier New" w:cs="Courier New" w:eastAsia="Courier New" w:hAnsi="Courier New"/>
          <w:b/>
          <w:bCs/>
          <w:color w:val="1B2A4A"/>
          <w:sz w:val="18"/>
          <w:szCs w:val="18"/>
        </w:rPr>
        <w:t xml:space="preserve">§4.2.d  </w:t>
      </w:r>
      <w:r>
        <w:rPr>
          <w:rFonts w:ascii="Garamond" w:cs="Garamond" w:eastAsia="Garamond" w:hAnsi="Garamond"/>
          <w:b/>
          <w:bCs/>
          <w:i w:val="false"/>
          <w:iCs w:val="false"/>
          <w:color w:val="1B2A4A"/>
          <w:sz w:val="22"/>
          <w:szCs w:val="22"/>
        </w:rPr>
        <w:t xml:space="preserve">Public 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National RCV election administered by the Electoral Commission. All JI-certified candidates appear on the ballot. Winner achieves a national RCV majority. The EC certifies the result; the elected justice takes the Official Oath. Recorded on the NRS within 24 hours. From this moment, the justice serves a single non-renewable 12-year term.</w:t>
      </w:r>
    </w:p>
    <w:p>
      <w:pPr>
        <w:spacing w:after="60" w:before="200"/>
        <w:ind w:left="431"/>
        <w:jc w:val="left"/>
      </w:pPr>
      <w:r>
        <w:rPr>
          <w:rFonts w:ascii="Courier New" w:cs="Courier New" w:eastAsia="Courier New" w:hAnsi="Courier New"/>
          <w:b/>
          <w:bCs/>
          <w:color w:val="1B2A4A"/>
          <w:sz w:val="18"/>
          <w:szCs w:val="18"/>
        </w:rPr>
        <w:t xml:space="preserve">§4.2.e  </w:t>
      </w:r>
      <w:r>
        <w:rPr>
          <w:rFonts w:ascii="Garamond" w:cs="Garamond" w:eastAsia="Garamond" w:hAnsi="Garamond"/>
          <w:b/>
          <w:bCs/>
          <w:i w:val="false"/>
          <w:iCs w:val="false"/>
          <w:color w:val="1B2A4A"/>
          <w:sz w:val="22"/>
          <w:szCs w:val="22"/>
        </w:rPr>
        <w:t xml:space="preserve">Mid-Term Vacancies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vacancy triggers a special election within 180 days. The full open-candidacy process applies with compressed timelines: registration Day 30, EI review Day 60, Board assessment Day 90, JI certification Day 120, election Day 180. The replacement serves only the remainder of the original 12-year term — not a new full term.</w:t>
      </w:r>
    </w:p>
    <w:p>
      <w:pPr>
        <w:spacing w:after="60" w:before="200"/>
        <w:ind w:left="431"/>
        <w:jc w:val="left"/>
      </w:pPr>
      <w:r>
        <w:rPr>
          <w:rFonts w:ascii="Courier New" w:cs="Courier New" w:eastAsia="Courier New" w:hAnsi="Courier New"/>
          <w:b/>
          <w:bCs/>
          <w:color w:val="1B2A4A"/>
          <w:sz w:val="18"/>
          <w:szCs w:val="18"/>
        </w:rPr>
        <w:t xml:space="preserve">§4.2.f  </w:t>
      </w:r>
      <w:r>
        <w:rPr>
          <w:rFonts w:ascii="Garamond" w:cs="Garamond" w:eastAsia="Garamond" w:hAnsi="Garamond"/>
          <w:b/>
          <w:bCs/>
          <w:i w:val="false"/>
          <w:iCs w:val="false"/>
          <w:color w:val="1B2A4A"/>
          <w:sz w:val="22"/>
          <w:szCs w:val="22"/>
        </w:rPr>
        <w:t xml:space="preserve">Emergency Panel for Tier 1 Scope Challenges</w:t>
      </w:r>
    </w:p>
    <w:p>
      <w:pPr>
        <w:spacing w:after="120" w:before="0"/>
        <w:ind w:left="431"/>
        <w:jc w:val="both"/>
      </w:pPr>
      <w:r>
        <w:rPr>
          <w:rFonts w:ascii="Garamond" w:cs="Garamond" w:eastAsia="Garamond" w:hAnsi="Garamond"/>
          <w:b w:val="false"/>
          <w:bCs w:val="false"/>
          <w:i w:val="false"/>
          <w:iCs w:val="false"/>
          <w:color w:val="2a2520"/>
          <w:sz w:val="22"/>
          <w:szCs w:val="22"/>
        </w:rPr>
        <w:t xml:space="preserve">Four justices are drawn by rotation each 2-year cycle. Sole jurisdiction over constitutional challenges to Tier 1 presidential military authority during active operations. Must rule within 48 hours. Binding on the full Court unless overruled within 72 hours. Ensures SC oversight during active crisis without paralysis.</w:t>
      </w:r>
    </w:p>
    <w:p>
      <w:pPr>
        <w:spacing w:after="60" w:before="200"/>
        <w:ind w:left="431"/>
        <w:jc w:val="left"/>
      </w:pPr>
      <w:r>
        <w:rPr>
          <w:rFonts w:ascii="Courier New" w:cs="Courier New" w:eastAsia="Courier New" w:hAnsi="Courier New"/>
          <w:b/>
          <w:bCs/>
          <w:color w:val="1B2A4A"/>
          <w:sz w:val="18"/>
          <w:szCs w:val="18"/>
        </w:rPr>
        <w:t xml:space="preserve">§4.2.g  </w:t>
      </w:r>
      <w:r>
        <w:rPr>
          <w:rFonts w:ascii="Garamond" w:cs="Garamond" w:eastAsia="Garamond" w:hAnsi="Garamond"/>
          <w:b/>
          <w:bCs/>
          <w:i w:val="false"/>
          <w:iCs w:val="false"/>
          <w:color w:val="1B2A4A"/>
          <w:sz w:val="22"/>
          <w:szCs w:val="22"/>
        </w:rPr>
        <w:t xml:space="preserve">Vacancy Operating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most senior Appellate Court judge by continuous service is automatically designated as Temporary Associate Justice within 5 days of any SC vacancy, without nomination or confirmation. The Temporary Associate Justice holds a full vote in all cases and may not stand as a candidate for the seat they are temporarily filling. For purposes of this provision, "continuous service" means uninterrupted judicial commission without a break exceeding 90 days, calculated from the most recent judicial commission date; service across multiple courts without a gap exceeding 90 days counts as continuous service from the date of first commission.</w:t>
      </w:r>
    </w:p>
    <w:p>
      <w:pPr>
        <w:spacing w:after="60" w:before="200"/>
        <w:ind w:left="431"/>
        <w:jc w:val="left"/>
      </w:pPr>
      <w:r>
        <w:rPr>
          <w:rFonts w:ascii="Courier New" w:cs="Courier New" w:eastAsia="Courier New" w:hAnsi="Courier New"/>
          <w:b/>
          <w:bCs/>
          <w:color w:val="1B2A4A"/>
          <w:sz w:val="18"/>
          <w:szCs w:val="18"/>
        </w:rPr>
        <w:t xml:space="preserve">§4.2.h  </w:t>
      </w:r>
      <w:r>
        <w:rPr>
          <w:rFonts w:ascii="Garamond" w:cs="Garamond" w:eastAsia="Garamond" w:hAnsi="Garamond"/>
          <w:b/>
          <w:bCs/>
          <w:i w:val="false"/>
          <w:iCs w:val="false"/>
          <w:color w:val="1B2A4A"/>
          <w:sz w:val="22"/>
          <w:szCs w:val="22"/>
        </w:rPr>
        <w:t xml:space="preserve">Initial Class Assignment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At Phase 3, all nine seats are filled simultaneously, then assigned to three classes by public lot drawn by the JI. Class A: 4-year initial term. Class B: 8-year initial term. Class C: 12-year initial term. All subsequent terms: 12 years. The lot assignment is published to the NRS before any justice takes the oath. Three seats elected every 4 years thereafter.</w:t>
      </w:r>
    </w:p>
    <w:p>
      <w:pPr>
        <w:spacing w:after="60" w:before="200"/>
        <w:ind w:left="431"/>
        <w:jc w:val="left"/>
      </w:pPr>
      <w:r>
        <w:rPr>
          <w:rFonts w:ascii="Courier New" w:cs="Courier New" w:eastAsia="Courier New" w:hAnsi="Courier New"/>
          <w:b/>
          <w:bCs/>
          <w:color w:val="1B2A4A"/>
          <w:sz w:val="18"/>
          <w:szCs w:val="18"/>
        </w:rPr>
        <w:t xml:space="preserve">§4.2.i  </w:t>
      </w:r>
      <w:r>
        <w:rPr>
          <w:rFonts w:ascii="Garamond" w:cs="Garamond" w:eastAsia="Garamond" w:hAnsi="Garamond"/>
          <w:b/>
          <w:bCs/>
          <w:i w:val="false"/>
          <w:iCs w:val="false"/>
          <w:color w:val="1B2A4A"/>
          <w:sz w:val="22"/>
          <w:szCs w:val="22"/>
        </w:rPr>
        <w:t xml:space="preserve">Judicial Recusal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by statute establish a recusal framework for Supreme Court justices within two years of Phase 4 activation. The framework must require recusal where a justice received material campaign support from any party to a pending case, or holds a financial interest in the outcome. A justice who fails to recuse under mandatory circumstances may be reported to the JI, which publishes its finding to the NRS. In the absence of a statutory framework two years after Phase 4 activation, a justice must recuse from any proceeding where their impartiality could reasonably be questioned by an informed observer with knowledge of the relevant facts. This default is self-executing; any party may petition for recusal and the determination is made by the remaining justices.</w:t>
      </w:r>
    </w:p>
    <w:p>
      <w:pPr>
        <w:spacing w:after="60" w:before="200"/>
        <w:ind w:left="431"/>
        <w:jc w:val="left"/>
      </w:pPr>
      <w:r>
        <w:rPr>
          <w:rFonts w:ascii="Courier New" w:cs="Courier New" w:eastAsia="Courier New" w:hAnsi="Courier New"/>
          <w:b/>
          <w:bCs/>
          <w:color w:val="1B2A4A"/>
          <w:sz w:val="18"/>
          <w:szCs w:val="18"/>
        </w:rPr>
        <w:t xml:space="preserve">§4.3  </w:t>
      </w:r>
      <w:r>
        <w:rPr>
          <w:rFonts w:ascii="Garamond" w:cs="Garamond" w:eastAsia="Garamond" w:hAnsi="Garamond"/>
          <w:b/>
          <w:bCs/>
          <w:i w:val="false"/>
          <w:iCs w:val="false"/>
          <w:color w:val="1B2A4A"/>
          <w:sz w:val="22"/>
          <w:szCs w:val="22"/>
        </w:rPr>
        <w:t xml:space="preserve">Judicial Independence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act only on cases brought by a party with a concrete, articulable injury. Judges may not issue advisory opinions or preemptive rulings. All decisions altering legal status require full merits briefings and a published written decision. Judges apply the Constitution as written. Where the Constitution is silent, judges apply the principle most consistent with the Individual Sovereignty Floor and the separation of presidential and prime ministerial domains.</w:t>
      </w:r>
    </w:p>
    <w:p>
      <w:pPr>
        <w:spacing w:after="60" w:before="200"/>
        <w:ind w:left="431"/>
        <w:jc w:val="left"/>
      </w:pPr>
      <w:r>
        <w:rPr>
          <w:rFonts w:ascii="Courier New" w:cs="Courier New" w:eastAsia="Courier New" w:hAnsi="Courier New"/>
          <w:b/>
          <w:bCs/>
          <w:color w:val="1B2A4A"/>
          <w:sz w:val="18"/>
          <w:szCs w:val="18"/>
        </w:rPr>
        <w:t xml:space="preserve">§4.3.a  </w:t>
      </w:r>
      <w:r>
        <w:rPr>
          <w:rFonts w:ascii="Garamond" w:cs="Garamond" w:eastAsia="Garamond" w:hAnsi="Garamond"/>
          <w:b/>
          <w:bCs/>
          <w:i w:val="false"/>
          <w:iCs w:val="false"/>
          <w:color w:val="1B2A4A"/>
          <w:sz w:val="22"/>
          <w:szCs w:val="22"/>
        </w:rPr>
        <w:t xml:space="preserve">Judicial Review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SC (and inferior courts within their jurisdictions) has authority to declare legislative acts, executive orders, and administrative decisions unconstitutional and void. No political actor may override a constitutional ruling. The SC identifies the constitutional defect; the Legislature may respond by enacting new legislation that addresses it.</w:t>
      </w:r>
    </w:p>
    <w:p>
      <w:pPr>
        <w:spacing w:after="60" w:before="200"/>
        <w:ind w:left="431"/>
        <w:jc w:val="left"/>
      </w:pPr>
      <w:r>
        <w:rPr>
          <w:rFonts w:ascii="Courier New" w:cs="Courier New" w:eastAsia="Courier New" w:hAnsi="Courier New"/>
          <w:b/>
          <w:bCs/>
          <w:color w:val="1B2A4A"/>
          <w:sz w:val="18"/>
          <w:szCs w:val="18"/>
        </w:rPr>
        <w:t xml:space="preserve">§4.3.b  </w:t>
      </w:r>
      <w:r>
        <w:rPr>
          <w:rFonts w:ascii="Garamond" w:cs="Garamond" w:eastAsia="Garamond" w:hAnsi="Garamond"/>
          <w:b/>
          <w:bCs/>
          <w:i w:val="false"/>
          <w:iCs w:val="false"/>
          <w:color w:val="1B2A4A"/>
          <w:sz w:val="22"/>
          <w:szCs w:val="22"/>
        </w:rPr>
        <w:t xml:space="preserve">Judicial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decide constitutional questions, not policy questions. The SC may not substitute its judgment for the Legislature's on policy matters — it may only determine whether the Legislature acted within its constitutional authority. A statute that is constitutionally permissible but poor policy is not the court's concern.</w:t>
      </w:r>
    </w:p>
    <w:p>
      <w:pPr>
        <w:spacing w:after="60" w:before="200"/>
        <w:ind w:left="431"/>
        <w:jc w:val="left"/>
      </w:pPr>
      <w:r>
        <w:rPr>
          <w:rFonts w:ascii="Courier New" w:cs="Courier New" w:eastAsia="Courier New" w:hAnsi="Courier New"/>
          <w:b/>
          <w:bCs/>
          <w:color w:val="1B2A4A"/>
          <w:sz w:val="18"/>
          <w:szCs w:val="18"/>
        </w:rPr>
        <w:t xml:space="preserve">§4.3.c  </w:t>
      </w:r>
      <w:r>
        <w:rPr>
          <w:rFonts w:ascii="Garamond" w:cs="Garamond" w:eastAsia="Garamond" w:hAnsi="Garamond"/>
          <w:b/>
          <w:bCs/>
          <w:i w:val="false"/>
          <w:iCs w:val="false"/>
          <w:color w:val="1B2A4A"/>
          <w:sz w:val="22"/>
          <w:szCs w:val="22"/>
        </w:rPr>
        <w:t xml:space="preserve">Statutory Interpretation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apply statutes to specific cases and resolve ambiguities. Where a statute is ambiguous, courts apply the interpretation most consistent with the constitution. Courts may not rewrite clear statutory language to produce a preferred outcome — they interpret, they do not legislate.</w:t>
      </w:r>
    </w:p>
    <w:p>
      <w:pPr>
        <w:spacing w:after="60" w:before="200"/>
        <w:ind w:left="431"/>
        <w:jc w:val="left"/>
      </w:pPr>
      <w:r>
        <w:rPr>
          <w:rFonts w:ascii="Courier New" w:cs="Courier New" w:eastAsia="Courier New" w:hAnsi="Courier New"/>
          <w:b/>
          <w:bCs/>
          <w:color w:val="1B2A4A"/>
          <w:sz w:val="18"/>
          <w:szCs w:val="18"/>
        </w:rPr>
        <w:t xml:space="preserve">§4.3.d  </w:t>
      </w:r>
      <w:r>
        <w:rPr>
          <w:rFonts w:ascii="Garamond" w:cs="Garamond" w:eastAsia="Garamond" w:hAnsi="Garamond"/>
          <w:b/>
          <w:bCs/>
          <w:i w:val="false"/>
          <w:iCs w:val="false"/>
          <w:color w:val="1B2A4A"/>
          <w:sz w:val="22"/>
          <w:szCs w:val="22"/>
        </w:rPr>
        <w:t xml:space="preserve">Original Jurisdiction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SC has original (first-instance) jurisdiction over constitutional disputes between States, between a State and the federal government, and over challenges to the constitutional validity of a federal statute brought within 90 days of enactment. Certain cases bypass all lower courts and go directly to the SC — cases where a lower court ruling would create a patchwork of inconsistent constitutional interpretations.</w:t>
      </w:r>
    </w:p>
    <w:p>
      <w:pPr>
        <w:spacing w:after="60" w:before="200"/>
        <w:ind w:left="431"/>
        <w:jc w:val="left"/>
      </w:pPr>
      <w:r>
        <w:rPr>
          <w:rFonts w:ascii="Courier New" w:cs="Courier New" w:eastAsia="Courier New" w:hAnsi="Courier New"/>
          <w:b/>
          <w:bCs/>
          <w:color w:val="1B2A4A"/>
          <w:sz w:val="18"/>
          <w:szCs w:val="18"/>
        </w:rPr>
        <w:t xml:space="preserve">§4.3.e  </w:t>
      </w:r>
      <w:r>
        <w:rPr>
          <w:rFonts w:ascii="Garamond" w:cs="Garamond" w:eastAsia="Garamond" w:hAnsi="Garamond"/>
          <w:b/>
          <w:bCs/>
          <w:i w:val="false"/>
          <w:iCs w:val="false"/>
          <w:color w:val="1B2A4A"/>
          <w:sz w:val="22"/>
          <w:szCs w:val="22"/>
        </w:rPr>
        <w:t xml:space="preserve">Inspectorate Findings in Constitutional Proceedings</w:t>
      </w:r>
    </w:p>
    <w:p>
      <w:pPr>
        <w:spacing w:after="120" w:before="0"/>
        <w:ind w:left="431"/>
        <w:jc w:val="both"/>
      </w:pPr>
      <w:r>
        <w:rPr>
          <w:rFonts w:ascii="Garamond" w:cs="Garamond" w:eastAsia="Garamond" w:hAnsi="Garamond"/>
          <w:b w:val="false"/>
          <w:bCs w:val="false"/>
          <w:i w:val="false"/>
          <w:iCs w:val="false"/>
          <w:color w:val="2a2520"/>
          <w:sz w:val="22"/>
          <w:szCs w:val="22"/>
        </w:rPr>
        <w:t xml:space="preserve">NRS findings published by the LI, EI, or JI are admissible as authoritative factual evidence in judicial proceedings. Courts must address any inconsistency between their factual findings and a prior Inspectorate finding in written decisions. Inspectorate findings are not judicial determinations — courts retain full authority to reach different factual conclusions — but must explain why.</w:t>
      </w:r>
    </w:p>
    <w:p>
      <w:pPr>
        <w:spacing w:after="60" w:before="200"/>
        <w:ind w:left="431"/>
        <w:jc w:val="left"/>
      </w:pPr>
      <w:r>
        <w:rPr>
          <w:rFonts w:ascii="Courier New" w:cs="Courier New" w:eastAsia="Courier New" w:hAnsi="Courier New"/>
          <w:b/>
          <w:bCs/>
          <w:color w:val="1B2A4A"/>
          <w:sz w:val="18"/>
          <w:szCs w:val="18"/>
        </w:rPr>
        <w:t xml:space="preserve">§4.3.f  </w:t>
      </w:r>
      <w:r>
        <w:rPr>
          <w:rFonts w:ascii="Garamond" w:cs="Garamond" w:eastAsia="Garamond" w:hAnsi="Garamond"/>
          <w:b/>
          <w:bCs/>
          <w:i w:val="false"/>
          <w:iCs w:val="false"/>
          <w:color w:val="1B2A4A"/>
          <w:sz w:val="22"/>
          <w:szCs w:val="22"/>
        </w:rPr>
        <w:t xml:space="preserve">Organizational Standing</w:t>
      </w:r>
    </w:p>
    <w:p>
      <w:pPr>
        <w:spacing w:after="120" w:before="0"/>
        <w:ind w:left="431"/>
        <w:jc w:val="both"/>
      </w:pPr>
      <w:r>
        <w:rPr>
          <w:rFonts w:ascii="Garamond" w:cs="Garamond" w:eastAsia="Garamond" w:hAnsi="Garamond"/>
          <w:b w:val="false"/>
          <w:bCs w:val="false"/>
          <w:i w:val="false"/>
          <w:iCs w:val="false"/>
          <w:color w:val="2a2520"/>
          <w:sz w:val="22"/>
          <w:szCs w:val="22"/>
        </w:rPr>
        <w:t xml:space="preserve">An organization may bring a constitutional claim on behalf of its members where: (a) at least one member would individually have standing; (b) the claim is germane to the organization's established constitutional purpose; and (c) neither the claim nor the relief sought requires the participation of individual members as named parties. The organization must identify at least one member with specific, articulable injury and publish that identification to the NRS concurrent with filing.</w:t>
      </w:r>
    </w:p>
    <w:p>
      <w:pPr>
        <w:spacing w:after="60" w:before="200"/>
        <w:ind w:left="431"/>
        <w:jc w:val="left"/>
      </w:pPr>
      <w:r>
        <w:rPr>
          <w:rFonts w:ascii="Courier New" w:cs="Courier New" w:eastAsia="Courier New" w:hAnsi="Courier New"/>
          <w:b/>
          <w:bCs/>
          <w:color w:val="1B2A4A"/>
          <w:sz w:val="18"/>
          <w:szCs w:val="18"/>
        </w:rPr>
        <w:t xml:space="preserve">§4.4  </w:t>
      </w:r>
      <w:r>
        <w:rPr>
          <w:rFonts w:ascii="Garamond" w:cs="Garamond" w:eastAsia="Garamond" w:hAnsi="Garamond"/>
          <w:b/>
          <w:bCs/>
          <w:i w:val="false"/>
          <w:iCs w:val="false"/>
          <w:color w:val="1B2A4A"/>
          <w:sz w:val="22"/>
          <w:szCs w:val="22"/>
        </w:rPr>
        <w:t xml:space="preserve">Judgment Recognition and Authentication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Judicial judgments, official records, and authenticated documents are recognized across all jurisdictions within the Republic. The NRS is the authentication infrastructure for this cross-jurisdictional recognition.</w:t>
      </w:r>
    </w:p>
    <w:p>
      <w:pPr>
        <w:spacing w:after="60" w:before="200"/>
        <w:ind w:left="431"/>
        <w:jc w:val="left"/>
      </w:pPr>
      <w:r>
        <w:rPr>
          <w:rFonts w:ascii="Courier New" w:cs="Courier New" w:eastAsia="Courier New" w:hAnsi="Courier New"/>
          <w:b/>
          <w:bCs/>
          <w:color w:val="1B2A4A"/>
          <w:sz w:val="18"/>
          <w:szCs w:val="18"/>
        </w:rPr>
        <w:t xml:space="preserve">§4.4.a  </w:t>
      </w:r>
      <w:r>
        <w:rPr>
          <w:rFonts w:ascii="Garamond" w:cs="Garamond" w:eastAsia="Garamond" w:hAnsi="Garamond"/>
          <w:b/>
          <w:bCs/>
          <w:i w:val="false"/>
          <w:iCs w:val="false"/>
          <w:color w:val="1B2A4A"/>
          <w:sz w:val="22"/>
          <w:szCs w:val="22"/>
        </w:rPr>
        <w:t xml:space="preserve">Judicial Judgments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Non-recognition grounds are exhaustive: the issuing court lacked jurisdiction; the judgment was obtained by fraud; or enforcement would require an act the Legislature has defined as categorically unenforceable. These three grounds are the only bases on which a Republic court may decline to recognize a judgment valid in another jurisdiction. Any judgment contrary to Article I is void by operation of §15.6 and requires no separate non-recognition finding.</w:t>
      </w:r>
    </w:p>
    <w:p>
      <w:pPr>
        <w:spacing w:after="60" w:before="200"/>
        <w:ind w:left="431"/>
        <w:jc w:val="left"/>
      </w:pPr>
      <w:r>
        <w:rPr>
          <w:rFonts w:ascii="Courier New" w:cs="Courier New" w:eastAsia="Courier New" w:hAnsi="Courier New"/>
          <w:b/>
          <w:bCs/>
          <w:color w:val="1B2A4A"/>
          <w:sz w:val="18"/>
          <w:szCs w:val="18"/>
        </w:rPr>
        <w:t xml:space="preserve">§4.4.b  </w:t>
      </w:r>
      <w:r>
        <w:rPr>
          <w:rFonts w:ascii="Garamond" w:cs="Garamond" w:eastAsia="Garamond" w:hAnsi="Garamond"/>
          <w:b/>
          <w:bCs/>
          <w:i w:val="false"/>
          <w:iCs w:val="false"/>
          <w:color w:val="1B2A4A"/>
          <w:sz w:val="22"/>
          <w:szCs w:val="22"/>
        </w:rPr>
        <w:t xml:space="preserve">NRS Authentication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judgment, order, or status record published to the NRS is self-authenticating in any other State or Territory court. No re-certification, notarization, or further authentication required. Eliminates the multi-state authentication burden that historically delayed enforcement of out-of-state judgments.</w:t>
      </w:r>
    </w:p>
    <w:p>
      <w:pPr>
        <w:spacing w:after="60" w:before="200"/>
        <w:ind w:left="431"/>
        <w:jc w:val="left"/>
      </w:pPr>
      <w:r>
        <w:rPr>
          <w:rFonts w:ascii="Courier New" w:cs="Courier New" w:eastAsia="Courier New" w:hAnsi="Courier New"/>
          <w:b/>
          <w:bCs/>
          <w:color w:val="1B2A4A"/>
          <w:sz w:val="18"/>
          <w:szCs w:val="18"/>
        </w:rPr>
        <w:t xml:space="preserve">§4.4.c  </w:t>
      </w:r>
      <w:r>
        <w:rPr>
          <w:rFonts w:ascii="Garamond" w:cs="Garamond" w:eastAsia="Garamond" w:hAnsi="Garamond"/>
          <w:b/>
          <w:bCs/>
          <w:i w:val="false"/>
          <w:iCs w:val="false"/>
          <w:color w:val="1B2A4A"/>
          <w:sz w:val="22"/>
          <w:szCs w:val="22"/>
        </w:rPr>
        <w:t xml:space="preserve">Public Acts and Official Records</w:t>
      </w:r>
    </w:p>
    <w:p>
      <w:pPr>
        <w:spacing w:after="120" w:before="0"/>
        <w:ind w:left="431"/>
        <w:jc w:val="both"/>
      </w:pPr>
      <w:r>
        <w:rPr>
          <w:rFonts w:ascii="Garamond" w:cs="Garamond" w:eastAsia="Garamond" w:hAnsi="Garamond"/>
          <w:b w:val="false"/>
          <w:bCs w:val="false"/>
          <w:i w:val="false"/>
          <w:iCs w:val="false"/>
          <w:color w:val="2a2520"/>
          <w:sz w:val="22"/>
          <w:szCs w:val="22"/>
        </w:rPr>
        <w:t xml:space="preserve">Official records published to the NRS are self-authenticating — no re-certification is required for use in any legal or administrative proceeding. Professional licenses issued by any State or Territory receive recognition across all States and Territories. §1.13 governs any State departure from the recognition default.</w:t>
      </w:r>
    </w:p>
    <w:p>
      <w:pPr>
        <w:spacing w:after="60" w:before="200"/>
        <w:ind w:left="431"/>
        <w:jc w:val="left"/>
      </w:pPr>
      <w:r>
        <w:rPr>
          <w:rFonts w:ascii="Courier New" w:cs="Courier New" w:eastAsia="Courier New" w:hAnsi="Courier New"/>
          <w:b/>
          <w:bCs/>
          <w:color w:val="1B2A4A"/>
          <w:sz w:val="18"/>
          <w:szCs w:val="18"/>
        </w:rPr>
        <w:t xml:space="preserve">§4.4.d  </w:t>
      </w:r>
      <w:r>
        <w:rPr>
          <w:rFonts w:ascii="Garamond" w:cs="Garamond" w:eastAsia="Garamond" w:hAnsi="Garamond"/>
          <w:b/>
          <w:bCs/>
          <w:i w:val="false"/>
          <w:iCs w:val="false"/>
          <w:color w:val="1B2A4A"/>
          <w:sz w:val="22"/>
          <w:szCs w:val="22"/>
        </w:rPr>
        <w:t xml:space="preserve">Status Orders — Special Protections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Protective orders, custody determinations, and other status orders take immediate effect in every State and Territory upon publication to the NRS. No waiting period, no local re-registration.</w:t>
      </w:r>
    </w:p>
    <w:p>
      <w:pPr>
        <w:spacing w:after="60" w:before="200"/>
        <w:ind w:left="431"/>
        <w:jc w:val="left"/>
      </w:pPr>
      <w:r>
        <w:rPr>
          <w:rFonts w:ascii="Courier New" w:cs="Courier New" w:eastAsia="Courier New" w:hAnsi="Courier New"/>
          <w:b/>
          <w:bCs/>
          <w:color w:val="1B2A4A"/>
          <w:sz w:val="18"/>
          <w:szCs w:val="18"/>
        </w:rPr>
        <w:t xml:space="preserve">§4.4.e  </w:t>
      </w:r>
      <w:r>
        <w:rPr>
          <w:rFonts w:ascii="Garamond" w:cs="Garamond" w:eastAsia="Garamond" w:hAnsi="Garamond"/>
          <w:b/>
          <w:bCs/>
          <w:i w:val="false"/>
          <w:iCs w:val="false"/>
          <w:color w:val="1B2A4A"/>
          <w:sz w:val="22"/>
          <w:szCs w:val="22"/>
        </w:rPr>
        <w:t xml:space="preserve">Non-Discrimination in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or Territory may not discriminate in its recognition of another jurisdiction's judgments or records based on the nature of the parties, the subject matter, or the legal status recognized by the issuing jurisdiction. Recognition is mandatory; non-recognition grounds are exhaustive under §4.4.a.</w:t>
      </w:r>
    </w:p>
    <w:p>
      <w:pPr>
        <w:spacing w:after="60" w:before="200"/>
        <w:ind w:left="431"/>
        <w:jc w:val="left"/>
      </w:pPr>
      <w:r>
        <w:rPr>
          <w:rFonts w:ascii="Courier New" w:cs="Courier New" w:eastAsia="Courier New" w:hAnsi="Courier New"/>
          <w:b/>
          <w:bCs/>
          <w:color w:val="1B2A4A"/>
          <w:sz w:val="18"/>
          <w:szCs w:val="18"/>
        </w:rPr>
        <w:t xml:space="preserve">§4.4.f  </w:t>
      </w:r>
      <w:r>
        <w:rPr>
          <w:rFonts w:ascii="Garamond" w:cs="Garamond" w:eastAsia="Garamond" w:hAnsi="Garamond"/>
          <w:b/>
          <w:bCs/>
          <w:i w:val="false"/>
          <w:iCs w:val="false"/>
          <w:color w:val="1B2A4A"/>
          <w:sz w:val="22"/>
          <w:szCs w:val="22"/>
        </w:rPr>
        <w:t xml:space="preserve">Legislative Implementation Mandates</w:t>
      </w:r>
    </w:p>
    <w:p>
      <w:pPr>
        <w:spacing w:after="120" w:before="0"/>
        <w:ind w:left="431"/>
        <w:jc w:val="both"/>
      </w:pPr>
      <w:r>
        <w:rPr>
          <w:rFonts w:ascii="Garamond" w:cs="Garamond" w:eastAsia="Garamond" w:hAnsi="Garamond"/>
          <w:b w:val="false"/>
          <w:bCs w:val="false"/>
          <w:i w:val="false"/>
          <w:iCs w:val="false"/>
          <w:color w:val="2a2520"/>
          <w:sz w:val="22"/>
          <w:szCs w:val="22"/>
        </w:rPr>
        <w:t xml:space="preserve">A judgment is final for §4.4.a purposes if it is not subject to an automatic stay under the issuing jurisdiction's procedural law, regardless of whether an appeal is pending. The Legislature may refine the finality standard for specific categories but may not use pending-appeal status alone to block enforcement. The procedural framework mandate — filing forms, fee schedule, and enforcement timeline — is established by statute.</w:t>
      </w:r>
    </w:p>
    <w:p>
      <w:pPr>
        <w:spacing w:after="60" w:before="200"/>
        <w:ind w:left="431"/>
        <w:jc w:val="left"/>
      </w:pPr>
      <w:r>
        <w:rPr>
          <w:rFonts w:ascii="Courier New" w:cs="Courier New" w:eastAsia="Courier New" w:hAnsi="Courier New"/>
          <w:b/>
          <w:bCs/>
          <w:color w:val="1B2A4A"/>
          <w:sz w:val="18"/>
          <w:szCs w:val="18"/>
        </w:rPr>
        <w:t xml:space="preserve">§4.5  </w:t>
      </w:r>
      <w:r>
        <w:rPr>
          <w:rFonts w:ascii="Garamond" w:cs="Garamond" w:eastAsia="Garamond" w:hAnsi="Garamond"/>
          <w:b/>
          <w:bCs/>
          <w:i w:val="false"/>
          <w:iCs w:val="false"/>
          <w:color w:val="1B2A4A"/>
          <w:sz w:val="22"/>
          <w:szCs w:val="22"/>
        </w:rPr>
        <w:t xml:space="preserve">Jury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are required to serve on juries when called. Jury service is compensated at the national median daily income rate, as the Legislature defines by statute. Unexcused refusal is subject to civil consequences the Legislature defines by statute. Jury service does not constitute forced labor under §1.4.</w:t>
      </w:r>
    </w:p>
    <w:p>
      <w:pPr>
        <w:spacing w:after="60" w:before="200"/>
        <w:jc w:val="left"/>
      </w:pPr>
      <w:r>
        <w:rPr>
          <w:rFonts w:ascii="Garamond" w:cs="Garamond" w:eastAsia="Garamond" w:hAnsi="Garamond"/>
          <w:b/>
          <w:bCs/>
          <w:i w:val="false"/>
          <w:iCs w:val="false"/>
          <w:color w:val="1B2A4A"/>
          <w:sz w:val="34"/>
          <w:szCs w:val="34"/>
        </w:rPr>
        <w:t xml:space="preserve">Article V — Citizenship and National Identity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§5.1  </w:t>
      </w:r>
      <w:r>
        <w:rPr>
          <w:rFonts w:ascii="Garamond" w:cs="Garamond" w:eastAsia="Garamond" w:hAnsi="Garamond"/>
          <w:b/>
          <w:bCs/>
          <w:i w:val="false"/>
          <w:iCs w:val="false"/>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is acquired by birth, by parentage, or by naturalization under the conditions of this section. Citizens hold the full rights established in Article I and are eligible to vote, hold office, and stand for election.</w:t>
      </w:r>
    </w:p>
    <w:p>
      <w:pPr>
        <w:spacing w:after="60" w:before="200"/>
        <w:ind w:left="431"/>
        <w:jc w:val="left"/>
      </w:pPr>
      <w:r>
        <w:rPr>
          <w:rFonts w:ascii="Courier New" w:cs="Courier New" w:eastAsia="Courier New" w:hAnsi="Courier New"/>
          <w:b/>
          <w:bCs/>
          <w:color w:val="1B2A4A"/>
          <w:sz w:val="18"/>
          <w:szCs w:val="18"/>
        </w:rPr>
        <w:t xml:space="preserve">§5.1.a  </w:t>
      </w:r>
      <w:r>
        <w:rPr>
          <w:rFonts w:ascii="Garamond" w:cs="Garamond" w:eastAsia="Garamond" w:hAnsi="Garamond"/>
          <w:b/>
          <w:bCs/>
          <w:i w:val="false"/>
          <w:iCs w:val="false"/>
          <w:color w:val="1B2A4A"/>
          <w:sz w:val="22"/>
          <w:szCs w:val="22"/>
        </w:rPr>
        <w:t xml:space="preserve">Inherent 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is automatically a citizen at birth if at least one parent is a Citizen or Legal Resident at the time of birth. Statelessness prevention clause: where a child would otherwise be stateless, citizenship is granted regardless of parental status. No citizenship may be stripped from a natural-born citizen.</w:t>
      </w:r>
    </w:p>
    <w:p>
      <w:pPr>
        <w:spacing w:after="60" w:before="200"/>
        <w:ind w:left="431"/>
        <w:jc w:val="left"/>
      </w:pPr>
      <w:r>
        <w:rPr>
          <w:rFonts w:ascii="Courier New" w:cs="Courier New" w:eastAsia="Courier New" w:hAnsi="Courier New"/>
          <w:b/>
          <w:bCs/>
          <w:color w:val="1B2A4A"/>
          <w:sz w:val="18"/>
          <w:szCs w:val="18"/>
        </w:rPr>
        <w:t xml:space="preserve">§5.1.a.i  </w:t>
      </w:r>
      <w:r>
        <w:rPr>
          <w:rFonts w:ascii="Garamond" w:cs="Garamond" w:eastAsia="Garamond" w:hAnsi="Garamond"/>
          <w:b/>
          <w:bCs/>
          <w:i w:val="false"/>
          <w:iCs w:val="false"/>
          <w:color w:val="1B2A4A"/>
          <w:sz w:val="22"/>
          <w:szCs w:val="22"/>
        </w:rPr>
        <w:t xml:space="preserve">Statelessness Prevention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on Republic territory to parents holding neither Citizen nor Legal Resident status is an Inhabitant from birth, with full Article I protections and BNF access. Where no country recognizes the child as a citizen, the Republic provides a determination process consistent with §6.4's protection principles — protection first, determination second. A child determined to hold no other citizenship is eligible for Legal Residency from birth, with all Inhabitant years counting toward the §5.1.c residency requirement. Where a parent or guardian who is the primary caregiver of a child granted Inhabitant status under this provision is subject to removal, the removal order is stayed pending resolution of the child's custodial arrangements under §5.3. The Republic may not execute removal where doing so would deprive an Inhabitant child of their primary caregiver without first establishing an alternative care arrangement.</w:t>
      </w:r>
    </w:p>
    <w:p>
      <w:pPr>
        <w:spacing w:after="60" w:before="200"/>
        <w:ind w:left="431"/>
        <w:jc w:val="left"/>
      </w:pPr>
      <w:r>
        <w:rPr>
          <w:rFonts w:ascii="Courier New" w:cs="Courier New" w:eastAsia="Courier New" w:hAnsi="Courier New"/>
          <w:b/>
          <w:bCs/>
          <w:color w:val="1B2A4A"/>
          <w:sz w:val="18"/>
          <w:szCs w:val="18"/>
        </w:rPr>
        <w:t xml:space="preserve">§5.1.b  </w:t>
      </w:r>
      <w:r>
        <w:rPr>
          <w:rFonts w:ascii="Garamond" w:cs="Garamond" w:eastAsia="Garamond" w:hAnsi="Garamond"/>
          <w:b/>
          <w:bCs/>
          <w:i w:val="false"/>
          <w:iCs w:val="false"/>
          <w:color w:val="1B2A4A"/>
          <w:sz w:val="22"/>
          <w:szCs w:val="22"/>
        </w:rPr>
        <w:t xml:space="preserve">Coming of Age</w:t>
      </w:r>
    </w:p>
    <w:p>
      <w:pPr>
        <w:spacing w:after="120" w:before="0"/>
        <w:ind w:left="431"/>
        <w:jc w:val="both"/>
      </w:pPr>
      <w:r>
        <w:rPr>
          <w:rFonts w:ascii="Garamond" w:cs="Garamond" w:eastAsia="Garamond" w:hAnsi="Garamond"/>
          <w:b w:val="false"/>
          <w:bCs w:val="false"/>
          <w:i w:val="false"/>
          <w:iCs w:val="false"/>
          <w:color w:val="2a2520"/>
          <w:sz w:val="22"/>
          <w:szCs w:val="22"/>
        </w:rPr>
        <w:t xml:space="preserve">Children of citizens are Inhabitants at birth with full Article I protections. Full citizenship rights — including the right to vote — activate at 18.</w:t>
      </w:r>
    </w:p>
    <w:p>
      <w:pPr>
        <w:spacing w:after="60" w:before="200"/>
        <w:ind w:left="431"/>
        <w:jc w:val="left"/>
      </w:pPr>
      <w:r>
        <w:rPr>
          <w:rFonts w:ascii="Courier New" w:cs="Courier New" w:eastAsia="Courier New" w:hAnsi="Courier New"/>
          <w:b/>
          <w:bCs/>
          <w:color w:val="1B2A4A"/>
          <w:sz w:val="18"/>
          <w:szCs w:val="18"/>
        </w:rPr>
        <w:t xml:space="preserve">§5.1.c  </w:t>
      </w:r>
      <w:r>
        <w:rPr>
          <w:rFonts w:ascii="Garamond" w:cs="Garamond" w:eastAsia="Garamond" w:hAnsi="Garamond"/>
          <w:b/>
          <w:bCs/>
          <w:i w:val="false"/>
          <w:iCs w:val="false"/>
          <w:color w:val="1B2A4A"/>
          <w:sz w:val="22"/>
          <w:szCs w:val="22"/>
        </w:rPr>
        <w:t xml:space="preserve">Naturalization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after five continuous years of residency, a clean legal record, and passing the Constitutional Logic Test.</w:t>
      </w:r>
    </w:p>
    <w:p>
      <w:pPr>
        <w:spacing w:after="60" w:before="200"/>
        <w:ind w:left="431"/>
        <w:jc w:val="left"/>
      </w:pPr>
      <w:r>
        <w:rPr>
          <w:rFonts w:ascii="Courier New" w:cs="Courier New" w:eastAsia="Courier New" w:hAnsi="Courier New"/>
          <w:b/>
          <w:bCs/>
          <w:color w:val="1B2A4A"/>
          <w:sz w:val="18"/>
          <w:szCs w:val="18"/>
        </w:rPr>
        <w:t xml:space="preserve">§5.1.d  </w:t>
      </w:r>
      <w:r>
        <w:rPr>
          <w:rFonts w:ascii="Garamond" w:cs="Garamond" w:eastAsia="Garamond" w:hAnsi="Garamond"/>
          <w:b/>
          <w:bCs/>
          <w:i w:val="false"/>
          <w:iCs w:val="false"/>
          <w:color w:val="1B2A4A"/>
          <w:sz w:val="22"/>
          <w:szCs w:val="22"/>
        </w:rPr>
        <w:t xml:space="preserve">National Service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through honorable completion of military or national service — a service path that runs parallel to the residency path.</w:t>
      </w:r>
    </w:p>
    <w:p>
      <w:pPr>
        <w:spacing w:after="60" w:before="200"/>
        <w:ind w:left="431"/>
        <w:jc w:val="left"/>
      </w:pPr>
      <w:r>
        <w:rPr>
          <w:rFonts w:ascii="Courier New" w:cs="Courier New" w:eastAsia="Courier New" w:hAnsi="Courier New"/>
          <w:b/>
          <w:bCs/>
          <w:color w:val="1B2A4A"/>
          <w:sz w:val="18"/>
          <w:szCs w:val="18"/>
        </w:rPr>
        <w:t xml:space="preserve">§5.1.e  </w:t>
      </w:r>
      <w:r>
        <w:rPr>
          <w:rFonts w:ascii="Garamond" w:cs="Garamond" w:eastAsia="Garamond" w:hAnsi="Garamond"/>
          <w:b/>
          <w:bCs/>
          <w:i w:val="false"/>
          <w:iCs w:val="false"/>
          <w:color w:val="1B2A4A"/>
          <w:sz w:val="22"/>
          <w:szCs w:val="22"/>
        </w:rPr>
        <w:t xml:space="preserve">Citizenship Irrevocability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may not be revoked as punishment or for any reason once granted by birth or naturalization. The Republic may not manufacture statelessness as a punitive tool. See also §5.1.a.i, which ensures children born on Republic territory to undocumented parents cannot be left stateless by inaction.</w:t>
      </w:r>
    </w:p>
    <w:p>
      <w:pPr>
        <w:spacing w:after="60" w:before="200"/>
        <w:ind w:left="431"/>
        <w:jc w:val="left"/>
      </w:pPr>
      <w:r>
        <w:rPr>
          <w:rFonts w:ascii="Courier New" w:cs="Courier New" w:eastAsia="Courier New" w:hAnsi="Courier New"/>
          <w:b/>
          <w:bCs/>
          <w:color w:val="1B2A4A"/>
          <w:sz w:val="18"/>
          <w:szCs w:val="18"/>
        </w:rPr>
        <w:t xml:space="preserve">§5.1.f  </w:t>
      </w:r>
      <w:r>
        <w:rPr>
          <w:rFonts w:ascii="Garamond" w:cs="Garamond" w:eastAsia="Garamond" w:hAnsi="Garamond"/>
          <w:b/>
          <w:bCs/>
          <w:i w:val="false"/>
          <w:iCs w:val="false"/>
          <w:color w:val="1B2A4A"/>
          <w:sz w:val="22"/>
          <w:szCs w:val="22"/>
        </w:rPr>
        <w:t xml:space="preserve">Derivative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before a parent acquired Legal Residency or Citizenship, who accompanies that parent to the Republic within a Legislature-defined window, receives derivative status. Prevents a parent's pre-Republic legal status from permanently cutting off their child's path to citizenship.</w:t>
      </w:r>
    </w:p>
    <w:p>
      <w:pPr>
        <w:spacing w:after="60" w:before="200"/>
        <w:ind w:left="431"/>
        <w:jc w:val="left"/>
      </w:pPr>
      <w:r>
        <w:rPr>
          <w:rFonts w:ascii="Courier New" w:cs="Courier New" w:eastAsia="Courier New" w:hAnsi="Courier New"/>
          <w:b/>
          <w:bCs/>
          <w:color w:val="1B2A4A"/>
          <w:sz w:val="18"/>
          <w:szCs w:val="18"/>
        </w:rPr>
        <w:t xml:space="preserve">§5.1.g  </w:t>
      </w:r>
      <w:r>
        <w:rPr>
          <w:rFonts w:ascii="Garamond" w:cs="Garamond" w:eastAsia="Garamond" w:hAnsi="Garamond"/>
          <w:b/>
          <w:bCs/>
          <w:i w:val="false"/>
          <w:iCs w:val="false"/>
          <w:color w:val="1B2A4A"/>
          <w:sz w:val="22"/>
          <w:szCs w:val="22"/>
        </w:rPr>
        <w:t xml:space="preserve">Accelerated Naturalization — Long-Term Pre-Ratification Residents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who resided continuously in the Republic's territory for five or more years immediately before Day Zero but did not hold predecessor voting rights — including persons disenfranchised by laws subsequently nullified under §19.2 — may apply for citizenship through an accelerated process the Legislature must establish within one year of Phase 4. The process must waive the CLT requirement and must be completed within 90 days of application.</w:t>
      </w:r>
    </w:p>
    <w:p>
      <w:pPr>
        <w:spacing w:after="60" w:before="200"/>
        <w:ind w:left="431"/>
        <w:jc w:val="left"/>
      </w:pPr>
      <w:r>
        <w:rPr>
          <w:rFonts w:ascii="Courier New" w:cs="Courier New" w:eastAsia="Courier New" w:hAnsi="Courier New"/>
          <w:b/>
          <w:bCs/>
          <w:color w:val="1B2A4A"/>
          <w:sz w:val="18"/>
          <w:szCs w:val="18"/>
        </w:rPr>
        <w:t xml:space="preserve">§5.2  </w:t>
      </w:r>
      <w:r>
        <w:rPr>
          <w:rFonts w:ascii="Garamond" w:cs="Garamond" w:eastAsia="Garamond" w:hAnsi="Garamond"/>
          <w:b/>
          <w:bCs/>
          <w:i w:val="false"/>
          <w:iCs w:val="false"/>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Legal Residents hold a Residency Credential allowing them to work, enter contracts, own property, access BNF programs, and participate in local elections where the Legislature authorizes. They hold all Article I rights as Inhabitants. What they lack that citizens hold: federal voting rights and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1B2A4A"/>
          <w:sz w:val="18"/>
          <w:szCs w:val="18"/>
        </w:rPr>
        <w:t xml:space="preserve">§5.3  </w:t>
      </w:r>
      <w:r>
        <w:rPr>
          <w:rFonts w:ascii="Garamond" w:cs="Garamond" w:eastAsia="Garamond" w:hAnsi="Garamond"/>
          <w:b/>
          <w:bCs/>
          <w:i w:val="false"/>
          <w:iCs w:val="false"/>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does not separate citizen children from their sole caregivers without providing for them.</w:t>
      </w:r>
    </w:p>
    <w:p>
      <w:pPr>
        <w:spacing w:after="60" w:before="200"/>
        <w:ind w:left="431"/>
        <w:jc w:val="left"/>
      </w:pPr>
      <w:r>
        <w:rPr>
          <w:rFonts w:ascii="Courier New" w:cs="Courier New" w:eastAsia="Courier New" w:hAnsi="Courier New"/>
          <w:b/>
          <w:bCs/>
          <w:color w:val="1B2A4A"/>
          <w:sz w:val="18"/>
          <w:szCs w:val="18"/>
        </w:rPr>
        <w:t xml:space="preserve">§5.4  </w:t>
      </w:r>
      <w:r>
        <w:rPr>
          <w:rFonts w:ascii="Garamond" w:cs="Garamond" w:eastAsia="Garamond" w:hAnsi="Garamond"/>
          <w:b/>
          <w:bCs/>
          <w:i w:val="false"/>
          <w:iCs w:val="false"/>
          <w:color w:val="1B2A4A"/>
          <w:sz w:val="22"/>
          <w:szCs w:val="22"/>
        </w:rPr>
        <w:t xml:space="preserve">The Constitutional Logic Test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CLT is required for earned citizenship through naturalization (§5.1.c) and national service (§5.1.d). It tests knowledge of constitutional principles and civic structure — not political opinions or cultural loyalty. The Senate deadlock rule (§5.4.c) ensures the existing test remains in force if the Legislature cannot agree on a new standard.</w:t>
      </w:r>
    </w:p>
    <w:p>
      <w:pPr>
        <w:spacing w:after="60" w:before="200"/>
        <w:ind w:left="431"/>
        <w:jc w:val="left"/>
      </w:pPr>
      <w:r>
        <w:rPr>
          <w:rFonts w:ascii="Courier New" w:cs="Courier New" w:eastAsia="Courier New" w:hAnsi="Courier New"/>
          <w:b/>
          <w:bCs/>
          <w:color w:val="1B2A4A"/>
          <w:sz w:val="18"/>
          <w:szCs w:val="18"/>
        </w:rPr>
        <w:t xml:space="preserve">§5.4.a  </w:t>
      </w:r>
      <w:r>
        <w:rPr>
          <w:rFonts w:ascii="Garamond" w:cs="Garamond" w:eastAsia="Garamond" w:hAnsi="Garamond"/>
          <w:b/>
          <w:bCs/>
          <w:i w:val="false"/>
          <w:iCs w:val="false"/>
          <w:color w:val="1B2A4A"/>
          <w:sz w:val="22"/>
          <w:szCs w:val="22"/>
        </w:rPr>
        <w:t xml:space="preserve">Senate Authority over the CLT Standard</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CLT must assess knowledge sufficient to understand the structure, powers, limits, and rights established by this Constitution. Any statute reducing the CLT below this floor is void and any citizen may challenge it in court. The Senate sets the CLT standard by statute — raising it by simple majority of both chambers. Compliance with the constitutional floor is enforced by courts on challenge. Where the CLT Administrator position is vacant, the Judicial Inspectorate administers the CLT on an interim basis using the most recently published test version until a new Administrator is confirmed by the Senate.</w:t>
      </w:r>
    </w:p>
    <w:p>
      <w:pPr>
        <w:spacing w:after="60" w:before="200"/>
        <w:ind w:left="431"/>
        <w:jc w:val="left"/>
      </w:pPr>
      <w:r>
        <w:rPr>
          <w:rFonts w:ascii="Courier New" w:cs="Courier New" w:eastAsia="Courier New" w:hAnsi="Courier New"/>
          <w:b/>
          <w:bCs/>
          <w:color w:val="1B2A4A"/>
          <w:sz w:val="18"/>
          <w:szCs w:val="18"/>
        </w:rPr>
        <w:t xml:space="preserve">§5.4.b  </w:t>
      </w:r>
      <w:r>
        <w:rPr>
          <w:rFonts w:ascii="Garamond" w:cs="Garamond" w:eastAsia="Garamond" w:hAnsi="Garamond"/>
          <w:b/>
          <w:bCs/>
          <w:i w:val="false"/>
          <w:iCs w:val="false"/>
          <w:color w:val="1B2A4A"/>
          <w:sz w:val="22"/>
          <w:szCs w:val="22"/>
        </w:rPr>
        <w:t xml:space="preserve">CLT Administrator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Constitutional Logic Test is administered by a CLT Administrator nominated by the PM from a Candidate Register, confirmed by the Senate. Structural independence from partisan influence: the CLT process cannot be used to create barriers that track political outcomes.</w:t>
      </w:r>
    </w:p>
    <w:p>
      <w:pPr>
        <w:spacing w:after="60" w:before="200"/>
        <w:ind w:left="431"/>
        <w:jc w:val="left"/>
      </w:pPr>
      <w:r>
        <w:rPr>
          <w:rFonts w:ascii="Courier New" w:cs="Courier New" w:eastAsia="Courier New" w:hAnsi="Courier New"/>
          <w:b/>
          <w:bCs/>
          <w:color w:val="1B2A4A"/>
          <w:sz w:val="18"/>
          <w:szCs w:val="18"/>
        </w:rPr>
        <w:t xml:space="preserve">§5.4.c  </w:t>
      </w:r>
      <w:r>
        <w:rPr>
          <w:rFonts w:ascii="Garamond" w:cs="Garamond" w:eastAsia="Garamond" w:hAnsi="Garamond"/>
          <w:b/>
          <w:bCs/>
          <w:i w:val="false"/>
          <w:iCs w:val="false"/>
          <w:color w:val="1B2A4A"/>
          <w:sz w:val="22"/>
          <w:szCs w:val="22"/>
        </w:rPr>
        <w:t xml:space="preserve">Status Quo Maintenance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Senate deadlock on CLT standard changes keeps the existing version in force.</w:t>
      </w:r>
    </w:p>
    <w:p>
      <w:pPr>
        <w:spacing w:after="60" w:before="200"/>
        <w:ind w:left="431"/>
        <w:jc w:val="left"/>
      </w:pPr>
      <w:r>
        <w:rPr>
          <w:rFonts w:ascii="Courier New" w:cs="Courier New" w:eastAsia="Courier New" w:hAnsi="Courier New"/>
          <w:b/>
          <w:bCs/>
          <w:color w:val="1B2A4A"/>
          <w:sz w:val="18"/>
          <w:szCs w:val="18"/>
        </w:rPr>
        <w:t xml:space="preserve">§5.5  </w:t>
      </w:r>
      <w:r>
        <w:rPr>
          <w:rFonts w:ascii="Garamond" w:cs="Garamond" w:eastAsia="Garamond" w:hAnsi="Garamond"/>
          <w:b/>
          <w:bCs/>
          <w:i w:val="false"/>
          <w:iCs w:val="false"/>
          <w:color w:val="1B2A4A"/>
          <w:sz w:val="22"/>
          <w:szCs w:val="22"/>
        </w:rPr>
        <w:t xml:space="preserve">Founding Generation 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individuals holding voting rights on Day Zero of ratification are automatically granted full citizenship as founding members of the Republic, as established in §5.5.a.</w:t>
      </w:r>
    </w:p>
    <w:p>
      <w:pPr>
        <w:spacing w:after="60" w:before="200"/>
        <w:ind w:left="431"/>
        <w:jc w:val="left"/>
      </w:pPr>
      <w:r>
        <w:rPr>
          <w:rFonts w:ascii="Courier New" w:cs="Courier New" w:eastAsia="Courier New" w:hAnsi="Courier New"/>
          <w:b/>
          <w:bCs/>
          <w:color w:val="1B2A4A"/>
          <w:sz w:val="18"/>
          <w:szCs w:val="18"/>
        </w:rPr>
        <w:t xml:space="preserve">§5.5.a  </w:t>
      </w:r>
      <w:r>
        <w:rPr>
          <w:rFonts w:ascii="Garamond" w:cs="Garamond" w:eastAsia="Garamond" w:hAnsi="Garamond"/>
          <w:b/>
          <w:bCs/>
          <w:i w:val="false"/>
          <w:iCs w:val="false"/>
          <w:color w:val="1B2A4A"/>
          <w:sz w:val="22"/>
          <w:szCs w:val="22"/>
        </w:rPr>
        <w:t xml:space="preserve">Automatic Citizenship Grant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individuals holding voting rights on Day Zero of ratification are automatically granted full citizenship without testing or application. The Day Zero Grandfather Clause prevents the new Republic from immediately disenfranchising its existing population by requiring existing voters to re-qualify under new standards.</w:t>
      </w:r>
    </w:p>
    <w:p>
      <w:pPr>
        <w:spacing w:after="60" w:before="200"/>
        <w:jc w:val="left"/>
      </w:pPr>
      <w:r>
        <w:rPr>
          <w:rFonts w:ascii="Garamond" w:cs="Garamond" w:eastAsia="Garamond" w:hAnsi="Garamond"/>
          <w:b/>
          <w:bCs/>
          <w:i w:val="false"/>
          <w:iCs w:val="false"/>
          <w:color w:val="1B2A4A"/>
          <w:sz w:val="34"/>
          <w:szCs w:val="34"/>
        </w:rPr>
        <w:t xml:space="preserve">Article VI — Immigration and Residency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§6.1  </w:t>
      </w:r>
      <w:r>
        <w:rPr>
          <w:rFonts w:ascii="Garamond" w:cs="Garamond" w:eastAsia="Garamond" w:hAnsi="Garamond"/>
          <w:b/>
          <w:bCs/>
          <w:i w:val="false"/>
          <w:iCs w:val="false"/>
          <w:color w:val="1B2A4A"/>
          <w:sz w:val="22"/>
          <w:szCs w:val="22"/>
        </w:rPr>
        <w:t xml:space="preserve">The Dual-Gate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immigration application must clear two sequential gates: Gate 1 (State sponsorship) and Gate 2 (federal certification). Legal residency requires passing both gates. Gate 1 is State acceptance — States retain discretion over whom they sponsor, but may not apply sponsorship criteria that violate §1.9. Gate 2 is the federal substantive assessment — national standards that no State can circumvent or expand beyond the four certified categories. The Legislature holds supreme authority over immigration standards and may set aggregate limits on total applications processed in any period, provided limits are applied without §1.9 discrimination. Asylum proceedings under §6.4 are explicitly exempt from the Gate 1 requirement — the right to claim and have determined a §1.28 asylum claim exists independently of the dual-gate system, and no State's refusal to sponsor can extinguish it.</w:t>
      </w:r>
    </w:p>
    <w:p>
      <w:pPr>
        <w:spacing w:after="60" w:before="200"/>
        <w:ind w:left="431"/>
        <w:jc w:val="left"/>
      </w:pPr>
      <w:r>
        <w:rPr>
          <w:rFonts w:ascii="Courier New" w:cs="Courier New" w:eastAsia="Courier New" w:hAnsi="Courier New"/>
          <w:b/>
          <w:bCs/>
          <w:color w:val="1B2A4A"/>
          <w:sz w:val="18"/>
          <w:szCs w:val="18"/>
        </w:rPr>
        <w:t xml:space="preserve">§6.1.a  </w:t>
      </w:r>
      <w:r>
        <w:rPr>
          <w:rFonts w:ascii="Garamond" w:cs="Garamond" w:eastAsia="Garamond" w:hAnsi="Garamond"/>
          <w:b/>
          <w:bCs/>
          <w:i w:val="false"/>
          <w:iCs w:val="false"/>
          <w:color w:val="1B2A4A"/>
          <w:sz w:val="22"/>
          <w:szCs w:val="22"/>
        </w:rPr>
        <w:t xml:space="preserve">Gate 1 — State Sponsorship</w:t>
      </w:r>
    </w:p>
    <w:p>
      <w:pPr>
        <w:spacing w:after="120" w:before="0"/>
        <w:ind w:left="431"/>
        <w:jc w:val="both"/>
      </w:pPr>
      <w:r>
        <w:rPr>
          <w:rFonts w:ascii="Garamond" w:cs="Garamond" w:eastAsia="Garamond" w:hAnsi="Garamond"/>
          <w:b w:val="false"/>
          <w:bCs w:val="false"/>
          <w:i w:val="false"/>
          <w:iCs w:val="false"/>
          <w:color w:val="2a2520"/>
          <w:sz w:val="22"/>
          <w:szCs w:val="22"/>
        </w:rPr>
        <w:t xml:space="preserve">A sponsoring State certifies the applicant through its own vetting process and accepts notification obligations during the application period. During the application period the applicant must maintain a genuine connection to the sponsoring State — as the Legislature defines by statute — so that notification obligations remain practical rather than nominal and states cannot become purely formal sponsors for applicants who have no real connection to them. Residency credentials issued once both gates are cleared are federal credentials valid throughout the Republic. The sponsoring State's role and responsibilities end at issuance; the credentials are not tied to any State. The federal government may not penalise a State for declining to sponsor any particular applicant or category of applicant.</w:t>
      </w:r>
    </w:p>
    <w:p>
      <w:pPr>
        <w:spacing w:after="60" w:before="200"/>
        <w:ind w:left="431"/>
        <w:jc w:val="left"/>
      </w:pPr>
      <w:r>
        <w:rPr>
          <w:rFonts w:ascii="Courier New" w:cs="Courier New" w:eastAsia="Courier New" w:hAnsi="Courier New"/>
          <w:b/>
          <w:bCs/>
          <w:color w:val="1B2A4A"/>
          <w:sz w:val="18"/>
          <w:szCs w:val="18"/>
        </w:rPr>
        <w:t xml:space="preserve">§6.1.b  </w:t>
      </w:r>
      <w:r>
        <w:rPr>
          <w:rFonts w:ascii="Garamond" w:cs="Garamond" w:eastAsia="Garamond" w:hAnsi="Garamond"/>
          <w:b/>
          <w:bCs/>
          <w:i w:val="false"/>
          <w:iCs w:val="false"/>
          <w:color w:val="1B2A4A"/>
          <w:sz w:val="22"/>
          <w:szCs w:val="22"/>
        </w:rPr>
        <w:t xml:space="preserve">Gate 2 — Federal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certification covers four statutory categories: identity verification, criminal history, national security assessment, self-sufficiency or support guarantee. Cannot impose ideological screening or nationality-based quotas. Any denial must specify the precise ground in writing. National security denials published in redacted form protecting sources.</w:t>
      </w:r>
    </w:p>
    <w:p>
      <w:pPr>
        <w:spacing w:after="60" w:before="200"/>
        <w:ind w:left="431"/>
        <w:jc w:val="left"/>
      </w:pPr>
      <w:r>
        <w:rPr>
          <w:rFonts w:ascii="Courier New" w:cs="Courier New" w:eastAsia="Courier New" w:hAnsi="Courier New"/>
          <w:b/>
          <w:bCs/>
          <w:color w:val="1B2A4A"/>
          <w:sz w:val="18"/>
          <w:szCs w:val="18"/>
        </w:rPr>
        <w:t xml:space="preserve">§6.1.c  </w:t>
      </w:r>
      <w:r>
        <w:rPr>
          <w:rFonts w:ascii="Garamond" w:cs="Garamond" w:eastAsia="Garamond" w:hAnsi="Garamond"/>
          <w:b/>
          <w:bCs/>
          <w:i w:val="false"/>
          <w:iCs w:val="false"/>
          <w:color w:val="1B2A4A"/>
          <w:sz w:val="22"/>
          <w:szCs w:val="22"/>
        </w:rPr>
        <w:t xml:space="preserve">Presidential Role</w:t>
      </w:r>
    </w:p>
    <w:p>
      <w:pPr>
        <w:spacing w:after="120" w:before="0"/>
        <w:ind w:left="431"/>
        <w:jc w:val="both"/>
      </w:pPr>
      <w:r>
        <w:rPr>
          <w:rFonts w:ascii="Garamond" w:cs="Garamond" w:eastAsia="Garamond" w:hAnsi="Garamond"/>
          <w:b w:val="false"/>
          <w:bCs w:val="false"/>
          <w:i w:val="false"/>
          <w:iCs w:val="false"/>
          <w:color w:val="2a2520"/>
          <w:sz w:val="22"/>
          <w:szCs w:val="22"/>
        </w:rPr>
        <w:t xml:space="preserve">Once an applicant clears both gates, the President must ministerially issue residency credentials. Presidential interference with credential issuance is constitutionally prohibited.</w:t>
      </w:r>
    </w:p>
    <w:p>
      <w:pPr>
        <w:spacing w:after="60" w:before="200"/>
        <w:ind w:left="431"/>
        <w:jc w:val="left"/>
      </w:pPr>
      <w:r>
        <w:rPr>
          <w:rFonts w:ascii="Courier New" w:cs="Courier New" w:eastAsia="Courier New" w:hAnsi="Courier New"/>
          <w:b/>
          <w:bCs/>
          <w:color w:val="1B2A4A"/>
          <w:sz w:val="18"/>
          <w:szCs w:val="18"/>
        </w:rPr>
        <w:t xml:space="preserve">§6.1.d  </w:t>
      </w:r>
      <w:r>
        <w:rPr>
          <w:rFonts w:ascii="Garamond" w:cs="Garamond" w:eastAsia="Garamond" w:hAnsi="Garamond"/>
          <w:b/>
          <w:bCs/>
          <w:i w:val="false"/>
          <w:iCs w:val="false"/>
          <w:color w:val="1B2A4A"/>
          <w:sz w:val="22"/>
          <w:szCs w:val="22"/>
        </w:rPr>
        <w:t xml:space="preserve">Federal Sponsorship Category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a Federal Sponsorship Category where designated federal agencies serve as Gate 1 sponsors for applicants whose skills directly serve a defined federal interest — research programs, national infrastructure, national security-adjacent technical roles. The agency assumes all State Gate 1 responsibilities including notification obligations. The Federal Sponsorship Category does not bypass Gate 2 — all four federal certification categories still apply. State Gate 1 authority is entirely unaffected; the federal category operates alongside, not instead of, State sponsorship.</w:t>
      </w:r>
    </w:p>
    <w:p>
      <w:pPr>
        <w:spacing w:after="60" w:before="200"/>
        <w:ind w:left="431"/>
        <w:jc w:val="left"/>
      </w:pPr>
      <w:r>
        <w:rPr>
          <w:rFonts w:ascii="Courier New" w:cs="Courier New" w:eastAsia="Courier New" w:hAnsi="Courier New"/>
          <w:b/>
          <w:bCs/>
          <w:color w:val="1B2A4A"/>
          <w:sz w:val="18"/>
          <w:szCs w:val="18"/>
        </w:rPr>
        <w:t xml:space="preserve">§6.2  </w:t>
      </w:r>
      <w:r>
        <w:rPr>
          <w:rFonts w:ascii="Garamond" w:cs="Garamond" w:eastAsia="Garamond" w:hAnsi="Garamond"/>
          <w:b/>
          <w:bCs/>
          <w:i w:val="false"/>
          <w:iCs w:val="false"/>
          <w:color w:val="1B2A4A"/>
          <w:sz w:val="22"/>
          <w:szCs w:val="22"/>
        </w:rPr>
        <w:t xml:space="preserve">Enforcement and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federal government may remove individuals from the Republic — States may not conduct deportations independently. Removal occurs only for violations of laws the Legislature has defined — executive detention without statutory basis is not removal, it is unlawful detention subject to habeas corpus.</w:t>
      </w:r>
    </w:p>
    <w:p>
      <w:pPr>
        <w:spacing w:after="60" w:before="200"/>
        <w:ind w:left="431"/>
        <w:jc w:val="left"/>
      </w:pPr>
      <w:r>
        <w:rPr>
          <w:rFonts w:ascii="Courier New" w:cs="Courier New" w:eastAsia="Courier New" w:hAnsi="Courier New"/>
          <w:b/>
          <w:bCs/>
          <w:color w:val="1B2A4A"/>
          <w:sz w:val="18"/>
          <w:szCs w:val="18"/>
        </w:rPr>
        <w:t xml:space="preserve">§6.3  </w:t>
      </w:r>
      <w:r>
        <w:rPr>
          <w:rFonts w:ascii="Garamond" w:cs="Garamond" w:eastAsia="Garamond" w:hAnsi="Garamond"/>
          <w:b/>
          <w:bCs/>
          <w:i w:val="false"/>
          <w:iCs w:val="false"/>
          <w:color w:val="1B2A4A"/>
          <w:sz w:val="22"/>
          <w:szCs w:val="22"/>
        </w:rPr>
        <w:t xml:space="preserve">Gate 2 Appeal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Gate 2 denials are judicially challengeable on three grounds: criterion outside the four certified categories; denial made on discriminatory grounds contrary to §1.9; or procedural violation affecting the outcome. Gate 1 denials are not reviewable on the merits of the sponsorship decision — a State's discretion over whom it sponsors is constitutionally protected. Gate 1 denials made on §1.9 discriminatory grounds are separately challengeable as constitutional violations, not as immigration appeals; a court finding discrimination may order the State to reconsider free of discriminatory criteria but may not compel sponsorship.</w:t>
      </w:r>
    </w:p>
    <w:p>
      <w:pPr>
        <w:spacing w:after="60" w:before="200"/>
        <w:ind w:left="431"/>
        <w:jc w:val="left"/>
      </w:pPr>
      <w:r>
        <w:rPr>
          <w:rFonts w:ascii="Courier New" w:cs="Courier New" w:eastAsia="Courier New" w:hAnsi="Courier New"/>
          <w:b/>
          <w:bCs/>
          <w:color w:val="1B2A4A"/>
          <w:sz w:val="18"/>
          <w:szCs w:val="18"/>
        </w:rPr>
        <w:t xml:space="preserve">§6.3.a  </w:t>
      </w:r>
      <w:r>
        <w:rPr>
          <w:rFonts w:ascii="Garamond" w:cs="Garamond" w:eastAsia="Garamond" w:hAnsi="Garamond"/>
          <w:b/>
          <w:bCs/>
          <w:i w:val="false"/>
          <w:iCs w:val="false"/>
          <w:color w:val="1B2A4A"/>
          <w:sz w:val="22"/>
          <w:szCs w:val="22"/>
        </w:rPr>
        <w:t xml:space="preserve">Judicial Challenge</w:t>
      </w:r>
    </w:p>
    <w:p>
      <w:pPr>
        <w:spacing w:after="120" w:before="0"/>
        <w:ind w:left="431"/>
        <w:jc w:val="both"/>
      </w:pPr>
      <w:r>
        <w:rPr>
          <w:rFonts w:ascii="Garamond" w:cs="Garamond" w:eastAsia="Garamond" w:hAnsi="Garamond"/>
          <w:b w:val="false"/>
          <w:bCs w:val="false"/>
          <w:i w:val="false"/>
          <w:iCs w:val="false"/>
          <w:color w:val="2a2520"/>
          <w:sz w:val="22"/>
          <w:szCs w:val="22"/>
        </w:rPr>
        <w:t xml:space="preserve">An applicant may challenge a Gate 2 denial on three grounds: criterion outside the four certified categories; discriminatory application; or procedurally deficient process.</w:t>
      </w:r>
    </w:p>
    <w:p>
      <w:pPr>
        <w:spacing w:after="60" w:before="200"/>
        <w:ind w:left="431"/>
        <w:jc w:val="left"/>
      </w:pPr>
      <w:r>
        <w:rPr>
          <w:rFonts w:ascii="Courier New" w:cs="Courier New" w:eastAsia="Courier New" w:hAnsi="Courier New"/>
          <w:b/>
          <w:bCs/>
          <w:color w:val="1B2A4A"/>
          <w:sz w:val="18"/>
          <w:szCs w:val="18"/>
        </w:rPr>
        <w:t xml:space="preserve">§6.3.b  </w:t>
      </w:r>
      <w:r>
        <w:rPr>
          <w:rFonts w:ascii="Garamond" w:cs="Garamond" w:eastAsia="Garamond" w:hAnsi="Garamond"/>
          <w:b/>
          <w:bCs/>
          <w:i w:val="false"/>
          <w:iCs w:val="false"/>
          <w:color w:val="1B2A4A"/>
          <w:sz w:val="22"/>
          <w:szCs w:val="22"/>
        </w:rPr>
        <w:t xml:space="preserve">National Security Denials — In-Camera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Gate 2 is denied on national security grounds, a reviewing court may examine the classified assessment in camera and determine whether it constitutes a credible, specific, and documented security concern — without publishing classified content. The in-camera determination is outcome-determinative: either the security concern meets the constitutional standard and the denial stands, or it does not and recertification is ordered.</w:t>
      </w:r>
    </w:p>
    <w:p>
      <w:pPr>
        <w:spacing w:after="60" w:before="200"/>
        <w:ind w:left="431"/>
        <w:jc w:val="left"/>
      </w:pPr>
      <w:r>
        <w:rPr>
          <w:rFonts w:ascii="Courier New" w:cs="Courier New" w:eastAsia="Courier New" w:hAnsi="Courier New"/>
          <w:b/>
          <w:bCs/>
          <w:color w:val="1B2A4A"/>
          <w:sz w:val="18"/>
          <w:szCs w:val="18"/>
        </w:rPr>
        <w:t xml:space="preserve">§6.4  </w:t>
      </w:r>
      <w:r>
        <w:rPr>
          <w:rFonts w:ascii="Garamond" w:cs="Garamond" w:eastAsia="Garamond" w:hAnsi="Garamond"/>
          <w:b/>
          <w:bCs/>
          <w:i w:val="false"/>
          <w:iCs w:val="false"/>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operate on a separate constitutional track from the dual-gate immigration system. An asylum filer under §1.28 becomes an Inhabitant at filing — not upon grant. Their claim must be determined before any removal order takes effect. The asylum track is explicitly exempt from Gate 1 state sponsorship: no state's refusal to sponsor can extinguish a §1.28 claim. Where the Asylum Court grants protection, the person receives federal residency credentials by operation of that grant — Gate 1 sponsorship and Gate 2 federal certification are not required conditions. The President must issue credentials within the Legislature-defined statutory period. The Legislature may establish a distinct residency category for asylum grantees with its own citizenship pathway consistent with Article V.</w:t>
      </w:r>
    </w:p>
    <w:p>
      <w:pPr>
        <w:spacing w:after="60" w:before="200"/>
        <w:ind w:left="431"/>
        <w:jc w:val="left"/>
      </w:pPr>
      <w:r>
        <w:rPr>
          <w:rFonts w:ascii="Courier New" w:cs="Courier New" w:eastAsia="Courier New" w:hAnsi="Courier New"/>
          <w:b/>
          <w:bCs/>
          <w:color w:val="1B2A4A"/>
          <w:sz w:val="18"/>
          <w:szCs w:val="18"/>
        </w:rPr>
        <w:t xml:space="preserve">§6.4.a  </w:t>
      </w:r>
      <w:r>
        <w:rPr>
          <w:rFonts w:ascii="Garamond" w:cs="Garamond" w:eastAsia="Garamond" w:hAnsi="Garamond"/>
          <w:b/>
          <w:bCs/>
          <w:i w:val="false"/>
          <w:iCs w:val="false"/>
          <w:color w:val="1B2A4A"/>
          <w:sz w:val="22"/>
          <w:szCs w:val="22"/>
        </w:rPr>
        <w:t xml:space="preserve">Asylum Seekers as Inhabitants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who files an asylum claim under §1.28 is an Inhabitant of the Republic from the date of filing — immediately entitled to BNF coverage and all Article I protections. Protection-first: the determination process does not happen in a rights-free zone.</w:t>
      </w:r>
    </w:p>
    <w:p>
      <w:pPr>
        <w:spacing w:after="60" w:before="200"/>
        <w:ind w:left="431"/>
        <w:jc w:val="left"/>
      </w:pPr>
      <w:r>
        <w:rPr>
          <w:rFonts w:ascii="Courier New" w:cs="Courier New" w:eastAsia="Courier New" w:hAnsi="Courier New"/>
          <w:b/>
          <w:bCs/>
          <w:color w:val="1B2A4A"/>
          <w:sz w:val="18"/>
          <w:szCs w:val="18"/>
        </w:rPr>
        <w:t xml:space="preserve">§6.4.b  </w:t>
      </w:r>
      <w:r>
        <w:rPr>
          <w:rFonts w:ascii="Garamond" w:cs="Garamond" w:eastAsia="Garamond" w:hAnsi="Garamond"/>
          <w:b/>
          <w:bCs/>
          <w:i w:val="false"/>
          <w:iCs w:val="false"/>
          <w:color w:val="1B2A4A"/>
          <w:sz w:val="22"/>
          <w:szCs w:val="22"/>
        </w:rPr>
        <w:t xml:space="preserve">Right to Determination and Protection During Proceedings</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must provide: a qualified adjudicator with decision authority, access to an interpreter, the right to present evidence and witnesses, a written decision specifying grounds, and a right of appeal. Standards apply regardless of the applicant's point of entry into the Republic.</w:t>
      </w:r>
    </w:p>
    <w:p>
      <w:pPr>
        <w:spacing w:after="60" w:before="200"/>
        <w:ind w:left="431"/>
        <w:jc w:val="left"/>
      </w:pPr>
      <w:r>
        <w:rPr>
          <w:rFonts w:ascii="Courier New" w:cs="Courier New" w:eastAsia="Courier New" w:hAnsi="Courier New"/>
          <w:b/>
          <w:bCs/>
          <w:color w:val="1B2A4A"/>
          <w:sz w:val="18"/>
          <w:szCs w:val="18"/>
        </w:rPr>
        <w:t xml:space="preserve">§6.4.c  </w:t>
      </w:r>
      <w:r>
        <w:rPr>
          <w:rFonts w:ascii="Garamond" w:cs="Garamond" w:eastAsia="Garamond" w:hAnsi="Garamond"/>
          <w:b/>
          <w:bCs/>
          <w:i w:val="false"/>
          <w:iCs w:val="false"/>
          <w:color w:val="1B2A4A"/>
          <w:sz w:val="22"/>
          <w:szCs w:val="22"/>
        </w:rPr>
        <w:t xml:space="preserve">Asylum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Court is a federal judicial institution constitutionally independent of both executive branches. Its judges hold full tenure protections. The Legislature may not establish any asylum determination body as a subdivision or instrumentality of either executive branch — administrative asylum tribunals dependent on the executive are constitutionally prohibited.</w:t>
      </w:r>
    </w:p>
    <w:p>
      <w:pPr>
        <w:spacing w:after="60" w:before="200"/>
        <w:ind w:left="431"/>
        <w:jc w:val="left"/>
      </w:pPr>
      <w:r>
        <w:rPr>
          <w:rFonts w:ascii="Courier New" w:cs="Courier New" w:eastAsia="Courier New" w:hAnsi="Courier New"/>
          <w:b/>
          <w:bCs/>
          <w:color w:val="1B2A4A"/>
          <w:sz w:val="18"/>
          <w:szCs w:val="18"/>
        </w:rPr>
        <w:t xml:space="preserve">§6.4.d  </w:t>
      </w:r>
      <w:r>
        <w:rPr>
          <w:rFonts w:ascii="Garamond" w:cs="Garamond" w:eastAsia="Garamond" w:hAnsi="Garamond"/>
          <w:b/>
          <w:bCs/>
          <w:i w:val="false"/>
          <w:iCs w:val="false"/>
          <w:color w:val="1B2A4A"/>
          <w:sz w:val="22"/>
          <w:szCs w:val="22"/>
        </w:rPr>
        <w:t xml:space="preserve">Non-Penalization for Irregular Entry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manner or means of entry into the Republic — including irregular or unauthorized entry — does not affect the right to claim asylum or have that claim determined. No penalty arising solely from irregular entry may be imposed on a person whose asylum claim is pending or has been granted.</w:t>
      </w:r>
    </w:p>
    <w:p>
      <w:pPr>
        <w:spacing w:after="60" w:before="200"/>
        <w:ind w:left="431"/>
        <w:jc w:val="left"/>
      </w:pPr>
      <w:r>
        <w:rPr>
          <w:rFonts w:ascii="Courier New" w:cs="Courier New" w:eastAsia="Courier New" w:hAnsi="Courier New"/>
          <w:b/>
          <w:bCs/>
          <w:color w:val="1B2A4A"/>
          <w:sz w:val="18"/>
          <w:szCs w:val="18"/>
        </w:rPr>
        <w:t xml:space="preserve">§6.4.e  </w:t>
      </w:r>
      <w:r>
        <w:rPr>
          <w:rFonts w:ascii="Garamond" w:cs="Garamond" w:eastAsia="Garamond" w:hAnsi="Garamond"/>
          <w:b/>
          <w:bCs/>
          <w:i w:val="false"/>
          <w:iCs w:val="false"/>
          <w:color w:val="1B2A4A"/>
          <w:sz w:val="22"/>
          <w:szCs w:val="22"/>
        </w:rPr>
        <w:t xml:space="preserve">Unexecutable Removal Orders</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define a minimum status, material conditions, and periodic judicial review for persons subject to final removal orders that cannot be executed — because the destination country won't accept them, or execution would violate §1.28. The constitution does not allow indefinite stateless detention.</w:t>
      </w:r>
    </w:p>
    <w:p>
      <w:pPr>
        <w:spacing w:after="60" w:before="200"/>
        <w:ind w:left="431"/>
        <w:jc w:val="left"/>
      </w:pPr>
      <w:r>
        <w:rPr>
          <w:rFonts w:ascii="Courier New" w:cs="Courier New" w:eastAsia="Courier New" w:hAnsi="Courier New"/>
          <w:b/>
          <w:bCs/>
          <w:color w:val="1B2A4A"/>
          <w:sz w:val="18"/>
          <w:szCs w:val="18"/>
        </w:rPr>
        <w:t xml:space="preserve">§6.4.f  </w:t>
      </w:r>
      <w:r>
        <w:rPr>
          <w:rFonts w:ascii="Garamond" w:cs="Garamond" w:eastAsia="Garamond" w:hAnsi="Garamond"/>
          <w:b/>
          <w:bCs/>
          <w:i w:val="false"/>
          <w:iCs w:val="false"/>
          <w:color w:val="1B2A4A"/>
          <w:sz w:val="22"/>
          <w:szCs w:val="22"/>
        </w:rPr>
        <w:t xml:space="preserve">Security and Criminal Protection Cases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Asylum Court grants §1.28 protection to a person who poses a documented security threat, removal remains constitutionally barred. Indefinite unreviewed detention is not a constitutionally available outcome. Where removal is barred under §1.28 and a documented security threat is established, the Republic may detain the individual subject to the following constitutional floor: mandatory judicial review within 90 days of initial detention; mandatory judicial review every 180 days thereafter; statutory minimum conditions of humane treatment; and no detention beyond 5 years without annual SC review. The Legislature defines detention conditions by statute subject to this floor.</w:t>
      </w:r>
    </w:p>
    <w:p>
      <w:pPr>
        <w:spacing w:after="60" w:before="200"/>
        <w:ind w:left="431"/>
        <w:jc w:val="left"/>
      </w:pPr>
      <w:r>
        <w:rPr>
          <w:rFonts w:ascii="Courier New" w:cs="Courier New" w:eastAsia="Courier New" w:hAnsi="Courier New"/>
          <w:b/>
          <w:bCs/>
          <w:color w:val="1B2A4A"/>
          <w:sz w:val="18"/>
          <w:szCs w:val="18"/>
        </w:rPr>
        <w:t xml:space="preserve">§6.4.g  </w:t>
      </w:r>
      <w:r>
        <w:rPr>
          <w:rFonts w:ascii="Garamond" w:cs="Garamond" w:eastAsia="Garamond" w:hAnsi="Garamond"/>
          <w:b/>
          <w:bCs/>
          <w:i w:val="false"/>
          <w:iCs w:val="false"/>
          <w:color w:val="1B2A4A"/>
          <w:sz w:val="22"/>
          <w:szCs w:val="22"/>
        </w:rPr>
        <w:t xml:space="preserve">Territory Accessibility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proceedings statute must ensure asylum is accessible to persons in Territories and geographically remote areas — not just major population centers. The right to seek asylum applies regardless of where in the Republic a person arrives.</w:t>
      </w:r>
    </w:p>
    <w:p>
      <w:pPr>
        <w:spacing w:after="60" w:before="200"/>
        <w:ind w:left="431"/>
        <w:jc w:val="left"/>
      </w:pPr>
      <w:r>
        <w:rPr>
          <w:rFonts w:ascii="Courier New" w:cs="Courier New" w:eastAsia="Courier New" w:hAnsi="Courier New"/>
          <w:b/>
          <w:bCs/>
          <w:color w:val="1B2A4A"/>
          <w:sz w:val="18"/>
          <w:szCs w:val="18"/>
        </w:rPr>
        <w:t xml:space="preserve">§6.4.h  </w:t>
      </w:r>
      <w:r>
        <w:rPr>
          <w:rFonts w:ascii="Garamond" w:cs="Garamond" w:eastAsia="Garamond" w:hAnsi="Garamond"/>
          <w:b/>
          <w:bCs/>
          <w:i w:val="false"/>
          <w:iCs w:val="false"/>
          <w:color w:val="1B2A4A"/>
          <w:sz w:val="22"/>
          <w:szCs w:val="22"/>
        </w:rPr>
        <w:t xml:space="preserve">Unaccompanied Minors</w:t>
      </w:r>
    </w:p>
    <w:p>
      <w:pPr>
        <w:spacing w:after="120" w:before="0"/>
        <w:ind w:left="431"/>
        <w:jc w:val="both"/>
      </w:pPr>
      <w:r>
        <w:rPr>
          <w:rFonts w:ascii="Garamond" w:cs="Garamond" w:eastAsia="Garamond" w:hAnsi="Garamond"/>
          <w:b w:val="false"/>
          <w:bCs w:val="false"/>
          <w:i w:val="false"/>
          <w:iCs w:val="false"/>
          <w:color w:val="2a2520"/>
          <w:sz w:val="22"/>
          <w:szCs w:val="22"/>
        </w:rPr>
        <w:t xml:space="preserve">An unaccompanied minor arriving in the Republic or presenting to Republic authorities is an Inhabitant from the moment of contact and holds full §1.28 protection. A federal legal guardian must be appointed within 24 hours. No unaccompanied minor may be detained in a facility not specifically designated and resourced for children.</w:t>
      </w:r>
    </w:p>
    <w:p>
      <w:pPr>
        <w:spacing w:after="60" w:before="200"/>
        <w:jc w:val="left"/>
      </w:pPr>
      <w:r>
        <w:rPr>
          <w:rFonts w:ascii="Garamond" w:cs="Garamond" w:eastAsia="Garamond" w:hAnsi="Garamond"/>
          <w:b/>
          <w:bCs/>
          <w:i w:val="false"/>
          <w:iCs w:val="false"/>
          <w:color w:val="1B2A4A"/>
          <w:sz w:val="34"/>
          <w:szCs w:val="34"/>
        </w:rPr>
        <w:t xml:space="preserve">Article VII — Elections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§7.1  </w:t>
      </w:r>
      <w:r>
        <w:rPr>
          <w:rFonts w:ascii="Garamond" w:cs="Garamond" w:eastAsia="Garamond" w:hAnsi="Garamond"/>
          <w:b/>
          <w:bCs/>
          <w:i w:val="false"/>
          <w:iCs w:val="false"/>
          <w:color w:val="1B2A4A"/>
          <w:sz w:val="22"/>
          <w:szCs w:val="22"/>
        </w:rPr>
        <w:t xml:space="preserve">Standard Elections — Ranked Choice</w:t>
      </w:r>
    </w:p>
    <w:p>
      <w:pPr>
        <w:spacing w:after="120" w:before="0"/>
        <w:ind w:left="431"/>
        <w:jc w:val="both"/>
      </w:pPr>
      <w:r>
        <w:rPr>
          <w:rFonts w:ascii="Garamond" w:cs="Garamond" w:eastAsia="Garamond" w:hAnsi="Garamond"/>
          <w:b w:val="false"/>
          <w:bCs w:val="false"/>
          <w:i w:val="false"/>
          <w:iCs w:val="false"/>
          <w:color w:val="2a2520"/>
          <w:sz w:val="22"/>
          <w:szCs w:val="22"/>
        </w:rPr>
        <w:t xml:space="preserve">All federal elections on National Election Day, every two years. All elections for House, Senate, SC, and Electoral Commission seats use Ranked Choice Voting — majority required, not plurality. No federal elections outside National Election Day except special elections for vacancies.</w:t>
      </w:r>
    </w:p>
    <w:p>
      <w:pPr>
        <w:spacing w:after="60" w:before="200"/>
        <w:ind w:left="431"/>
        <w:jc w:val="left"/>
      </w:pPr>
      <w:r>
        <w:rPr>
          <w:rFonts w:ascii="Courier New" w:cs="Courier New" w:eastAsia="Courier New" w:hAnsi="Courier New"/>
          <w:b/>
          <w:bCs/>
          <w:color w:val="1B2A4A"/>
          <w:sz w:val="18"/>
          <w:szCs w:val="18"/>
        </w:rPr>
        <w:t xml:space="preserve">§7.2  </w:t>
      </w:r>
      <w:r>
        <w:rPr>
          <w:rFonts w:ascii="Garamond" w:cs="Garamond" w:eastAsia="Garamond" w:hAnsi="Garamond"/>
          <w:b/>
          <w:bCs/>
          <w:i w:val="false"/>
          <w:iCs w:val="false"/>
          <w:color w:val="1B2A4A"/>
          <w:sz w:val="22"/>
          <w:szCs w:val="22"/>
        </w:rPr>
        <w:t xml:space="preserve">Presidential Election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is elected through a two-component national system that combines a ranked-choice popular vote with regional representation. No candidate may win the presidency on the basis of either component alone.</w:t>
      </w:r>
    </w:p>
    <w:p>
      <w:pPr>
        <w:spacing w:after="60" w:before="200"/>
        <w:ind w:left="431"/>
        <w:jc w:val="left"/>
      </w:pPr>
      <w:r>
        <w:rPr>
          <w:rFonts w:ascii="Courier New" w:cs="Courier New" w:eastAsia="Courier New" w:hAnsi="Courier New"/>
          <w:b/>
          <w:bCs/>
          <w:color w:val="1B2A4A"/>
          <w:sz w:val="18"/>
          <w:szCs w:val="18"/>
        </w:rPr>
        <w:t xml:space="preserve">§7.2.a  </w:t>
      </w:r>
      <w:r>
        <w:rPr>
          <w:rFonts w:ascii="Garamond" w:cs="Garamond" w:eastAsia="Garamond" w:hAnsi="Garamond"/>
          <w:b/>
          <w:bCs/>
          <w:i w:val="false"/>
          <w:iCs w:val="false"/>
          <w:color w:val="1B2A4A"/>
          <w:sz w:val="22"/>
          <w:szCs w:val="22"/>
        </w:rPr>
        <w:t xml:space="preserve">National Ranked-Choice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Presidential elections use Ranked Choice Voting conducted nationally. Votes transfer until one candidate holds a majority of active ballots nationwide. A candidate must achieve both a national majority and broad geographic distribution under the combined score mechanism in §7.2.b. The Electoral Commission administers the national election and certifies results under §7.2.e.</w:t>
      </w:r>
    </w:p>
    <w:p>
      <w:pPr>
        <w:spacing w:after="60" w:before="200"/>
        <w:ind w:left="431"/>
        <w:jc w:val="left"/>
      </w:pPr>
      <w:r>
        <w:rPr>
          <w:rFonts w:ascii="Courier New" w:cs="Courier New" w:eastAsia="Courier New" w:hAnsi="Courier New"/>
          <w:b/>
          <w:bCs/>
          <w:color w:val="1B2A4A"/>
          <w:sz w:val="18"/>
          <w:szCs w:val="18"/>
        </w:rPr>
        <w:t xml:space="preserve">§7.2.b  </w:t>
      </w:r>
      <w:r>
        <w:rPr>
          <w:rFonts w:ascii="Garamond" w:cs="Garamond" w:eastAsia="Garamond" w:hAnsi="Garamond"/>
          <w:b/>
          <w:bCs/>
          <w:i w:val="false"/>
          <w:iCs w:val="false"/>
          <w:color w:val="1B2A4A"/>
          <w:sz w:val="22"/>
          <w:szCs w:val="22"/>
        </w:rPr>
        <w:t xml:space="preserve">The Combined Score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no candidate achieves a national RCV majority, the combined score determines the winner. The combined score weights national first-preference totals at 65% and regional performance across the presidential election regions at 35%. The regional component requires a winning candidate to demonstrate support distributed across the Republic's geographic breadth, not only its most densely populated areas. The formula is published by statute and administered by the Electoral Commission. Where two candidates finish within 0.5 percentage points of each other on the final combined score, a runoff is required under §7.2.f.</w:t>
      </w:r>
    </w:p>
    <w:p>
      <w:pPr>
        <w:spacing w:after="60" w:before="200"/>
        <w:ind w:left="431"/>
        <w:jc w:val="left"/>
      </w:pPr>
      <w:r>
        <w:rPr>
          <w:rFonts w:ascii="Courier New" w:cs="Courier New" w:eastAsia="Courier New" w:hAnsi="Courier New"/>
          <w:b/>
          <w:bCs/>
          <w:color w:val="1B2A4A"/>
          <w:sz w:val="18"/>
          <w:szCs w:val="18"/>
        </w:rPr>
        <w:t xml:space="preserve">§7.2.c  </w:t>
      </w:r>
      <w:r>
        <w:rPr>
          <w:rFonts w:ascii="Garamond" w:cs="Garamond" w:eastAsia="Garamond" w:hAnsi="Garamond"/>
          <w:b/>
          <w:bCs/>
          <w:i w:val="false"/>
          <w:iCs w:val="false"/>
          <w:color w:val="1B2A4A"/>
          <w:sz w:val="22"/>
          <w:szCs w:val="22"/>
        </w:rPr>
        <w:t xml:space="preserve">Presidential Election Regions</w:t>
      </w:r>
    </w:p>
    <w:p>
      <w:pPr>
        <w:spacing w:after="120" w:before="0"/>
        <w:ind w:left="431"/>
        <w:jc w:val="both"/>
      </w:pPr>
      <w:r>
        <w:rPr>
          <w:rFonts w:ascii="Garamond" w:cs="Garamond" w:eastAsia="Garamond" w:hAnsi="Garamond"/>
          <w:b w:val="false"/>
          <w:bCs w:val="false"/>
          <w:i w:val="false"/>
          <w:iCs w:val="false"/>
          <w:color w:val="2a2520"/>
          <w:sz w:val="22"/>
          <w:szCs w:val="22"/>
        </w:rPr>
        <w:t xml:space="preserve">Presidential election regions provide the geographic breadth component of the combined score, ensuring that a winning candidate builds support across the Republic's geographic spread rather than only its population centres. The number of regions is defined by the Legislature by statute. Regions are drawn by the Regional Boundary Commission — a body constituted by lottery from State-maintained candidate pools — under the same criteria hierarchy that governs House redistricting. The Electoral Commission administers the election within the regions; it plays no role in drawing them.</w:t>
      </w:r>
    </w:p>
    <w:p>
      <w:pPr>
        <w:spacing w:after="60" w:before="200"/>
        <w:ind w:left="431"/>
        <w:jc w:val="left"/>
      </w:pPr>
      <w:r>
        <w:rPr>
          <w:rFonts w:ascii="Courier New" w:cs="Courier New" w:eastAsia="Courier New" w:hAnsi="Courier New"/>
          <w:b/>
          <w:bCs/>
          <w:color w:val="1B2A4A"/>
          <w:sz w:val="18"/>
          <w:szCs w:val="18"/>
        </w:rPr>
        <w:t xml:space="preserve">§7.2.c.i  </w:t>
      </w:r>
      <w:r>
        <w:rPr>
          <w:rFonts w:ascii="Garamond" w:cs="Garamond" w:eastAsia="Garamond" w:hAnsi="Garamond"/>
          <w:b/>
          <w:bCs/>
          <w:i w:val="false"/>
          <w:iCs w:val="false"/>
          <w:color w:val="1B2A4A"/>
          <w:sz w:val="22"/>
          <w:szCs w:val="22"/>
        </w:rPr>
        <w:t xml:space="preserve">State Candidate Pools</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maintains a standing Regional Boundary Pool for each redistricting cycle. Any person may be placed into a State's Pool through the State's own constitutional or statutory process, provided they meet three eligibility requirements at the time of entry: at least five continuous years of Republic citizenship; at least five continuous years of residency in the State whose Pool they are entering; and no current elected office. The LI certifies eligibility before entry — ministerially, not selectively. States determine through their own process how candidates are nominated from among those eligible. An entrant who takes elected office after entering the Pool is ineligible to be drawn for so long as they hold that office; if drawn while in elected office, the JI draws a replacement from the same State's eligible Pool. The LI maintains each State's Pool as a public record on the NRS. States need only submit names to the LI for certification and pay their drawn representative during commission service.</w:t>
      </w:r>
    </w:p>
    <w:p>
      <w:pPr>
        <w:spacing w:after="60" w:before="200"/>
        <w:ind w:left="431"/>
        <w:jc w:val="left"/>
      </w:pPr>
      <w:r>
        <w:rPr>
          <w:rFonts w:ascii="Courier New" w:cs="Courier New" w:eastAsia="Courier New" w:hAnsi="Courier New"/>
          <w:b/>
          <w:bCs/>
          <w:color w:val="1B2A4A"/>
          <w:sz w:val="18"/>
          <w:szCs w:val="18"/>
        </w:rPr>
        <w:t xml:space="preserve">§7.2.c.ii  </w:t>
      </w:r>
      <w:r>
        <w:rPr>
          <w:rFonts w:ascii="Garamond" w:cs="Garamond" w:eastAsia="Garamond" w:hAnsi="Garamond"/>
          <w:b/>
          <w:bCs/>
          <w:i w:val="false"/>
          <w:iCs w:val="false"/>
          <w:color w:val="1B2A4A"/>
          <w:sz w:val="22"/>
          <w:szCs w:val="22"/>
        </w:rPr>
        <w:t xml:space="preserve">Annual Addition Cap</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may add no more than five entrants to its Pool per calendar year during the pool-building period. Unused addition slots do not carry forward; a year with fewer than five additions simply has fewer, and unused capacity is permanently lost. If a pool member dies, becomes permanently incapacitated, or declines to remain in the Pool, their position is extinguished and is not replaced. No additional entry may compensate for attrition. The Pool at any draw consists exactly of those entrants added in prior years who remain eligible.</w:t>
      </w:r>
    </w:p>
    <w:p>
      <w:pPr>
        <w:spacing w:after="60" w:before="200"/>
        <w:ind w:left="431"/>
        <w:jc w:val="left"/>
      </w:pPr>
      <w:r>
        <w:rPr>
          <w:rFonts w:ascii="Courier New" w:cs="Courier New" w:eastAsia="Courier New" w:hAnsi="Courier New"/>
          <w:b/>
          <w:bCs/>
          <w:color w:val="1B2A4A"/>
          <w:sz w:val="18"/>
          <w:szCs w:val="18"/>
        </w:rPr>
        <w:t xml:space="preserve">§7.2.c.iii  </w:t>
      </w:r>
      <w:r>
        <w:rPr>
          <w:rFonts w:ascii="Garamond" w:cs="Garamond" w:eastAsia="Garamond" w:hAnsi="Garamond"/>
          <w:b/>
          <w:bCs/>
          <w:i w:val="false"/>
          <w:iCs w:val="false"/>
          <w:color w:val="1B2A4A"/>
          <w:sz w:val="22"/>
          <w:szCs w:val="22"/>
        </w:rPr>
        <w:t xml:space="preserve">Pool Health Monitoring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monitors each State's Pool and publishes an annual Pool Status Report to the NRS. If any State's Pool falls below five eligible entrants, the LI publishes a Pool Health Notice — advisory, not compulsory. If a State's Pool is entirely empty at the time of the draw, that State's commission seat is vacant for that cycle. A State with a non-empty but small Pool proceeds to the draw from whatever eligible entrants it has.</w:t>
      </w:r>
    </w:p>
    <w:p>
      <w:pPr>
        <w:spacing w:after="60" w:before="200"/>
        <w:ind w:left="431"/>
        <w:jc w:val="left"/>
      </w:pPr>
      <w:r>
        <w:rPr>
          <w:rFonts w:ascii="Courier New" w:cs="Courier New" w:eastAsia="Courier New" w:hAnsi="Courier New"/>
          <w:b/>
          <w:bCs/>
          <w:color w:val="1B2A4A"/>
          <w:sz w:val="18"/>
          <w:szCs w:val="18"/>
        </w:rPr>
        <w:t xml:space="preserve">§7.2.c.iv  </w:t>
      </w:r>
      <w:r>
        <w:rPr>
          <w:rFonts w:ascii="Garamond" w:cs="Garamond" w:eastAsia="Garamond" w:hAnsi="Garamond"/>
          <w:b/>
          <w:bCs/>
          <w:i w:val="false"/>
          <w:iCs w:val="false"/>
          <w:color w:val="1B2A4A"/>
          <w:sz w:val="22"/>
          <w:szCs w:val="22"/>
        </w:rPr>
        <w:t xml:space="preserve">Commission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Following each decennial census, the JI constitutes the Regional Boundary Commission by public lottery, drawing one name by lot from each State's eligible Pool. The draw is held in a single public session, witnessed by a representative of each Inspectorate and three citizens selected by jury protocols, and certified jointly by all three Inspectorates in session. The session may be conducted remotely under parameters set by statute; remote participation does not affect the validity of the draw or the certification. The full draw is recorded to the NRS in real time. The commission is one member per State. No substitution or political appointment may replace a drawn member; replacements due to death, incapacitating illness, or disqualifying conflict of interest are drawn from the same State's eligible Pool by the same lottery procedure.</w:t>
      </w:r>
    </w:p>
    <w:p>
      <w:pPr>
        <w:spacing w:after="60" w:before="200"/>
        <w:ind w:left="431"/>
        <w:jc w:val="left"/>
      </w:pPr>
      <w:r>
        <w:rPr>
          <w:rFonts w:ascii="Courier New" w:cs="Courier New" w:eastAsia="Courier New" w:hAnsi="Courier New"/>
          <w:b/>
          <w:bCs/>
          <w:color w:val="1B2A4A"/>
          <w:sz w:val="18"/>
          <w:szCs w:val="18"/>
        </w:rPr>
        <w:t xml:space="preserve">§7.2.c.v  </w:t>
      </w:r>
      <w:r>
        <w:rPr>
          <w:rFonts w:ascii="Garamond" w:cs="Garamond" w:eastAsia="Garamond" w:hAnsi="Garamond"/>
          <w:b/>
          <w:bCs/>
          <w:i w:val="false"/>
          <w:iCs w:val="false"/>
          <w:color w:val="1B2A4A"/>
          <w:sz w:val="22"/>
          <w:szCs w:val="22"/>
        </w:rPr>
        <w:t xml:space="preserve">Commission Compensation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Commission members are compensated by their State for days in active session only. Service on the commission is temporary and session-based; no retainer, salary, or ongoing compensation is provided outside of active session days. The federal government reimburses each State for session compensation paid to its commission member. Reimbursement rates and procedures are established by statute. The identity of each drawn commission member and their days in session are published to the NRS.</w:t>
      </w:r>
    </w:p>
    <w:p>
      <w:pPr>
        <w:spacing w:after="60" w:before="200"/>
        <w:ind w:left="431"/>
        <w:jc w:val="left"/>
      </w:pPr>
      <w:r>
        <w:rPr>
          <w:rFonts w:ascii="Courier New" w:cs="Courier New" w:eastAsia="Courier New" w:hAnsi="Courier New"/>
          <w:b/>
          <w:bCs/>
          <w:color w:val="1B2A4A"/>
          <w:sz w:val="18"/>
          <w:szCs w:val="18"/>
        </w:rPr>
        <w:t xml:space="preserve">§7.2.c.vi  </w:t>
      </w:r>
      <w:r>
        <w:rPr>
          <w:rFonts w:ascii="Garamond" w:cs="Garamond" w:eastAsia="Garamond" w:hAnsi="Garamond"/>
          <w:b/>
          <w:bCs/>
          <w:i w:val="false"/>
          <w:iCs w:val="false"/>
          <w:color w:val="1B2A4A"/>
          <w:sz w:val="22"/>
          <w:szCs w:val="22"/>
        </w:rPr>
        <w:t xml:space="preserve">Drawing Criteria</w:t>
      </w:r>
    </w:p>
    <w:p>
      <w:pPr>
        <w:spacing w:after="120" w:before="0"/>
        <w:ind w:left="431"/>
        <w:jc w:val="both"/>
      </w:pPr>
      <w:r>
        <w:rPr>
          <w:rFonts w:ascii="Garamond" w:cs="Garamond" w:eastAsia="Garamond" w:hAnsi="Garamond"/>
          <w:b w:val="false"/>
          <w:bCs w:val="false"/>
          <w:i w:val="false"/>
          <w:iCs w:val="false"/>
          <w:color w:val="2a2520"/>
          <w:sz w:val="22"/>
          <w:szCs w:val="22"/>
        </w:rPr>
        <w:t xml:space="preserve">Regional boundaries must meet the following criteria in order of precedence: (1) Population balance — broadly equal citizen population within a Legislature-defined tolerance. (2) Geographic contiguity — each region must be a single contiguous territory. (3) Non-discrimination — no region may dilute the voting power of any group protected under §1.9. (4) Reasonable compactness — no geometrically incoherent shapes. (5) State integrity — follow State lines where practicable; minimize inter-State subdivisions where subdivision is required. The commission may not consider partisan affiliation, voting history, or political geography. All deliberations, working maps, and proposals must be published to the NRS throughout the process.</w:t>
      </w:r>
    </w:p>
    <w:p>
      <w:pPr>
        <w:spacing w:after="60" w:before="200"/>
        <w:ind w:left="431"/>
        <w:jc w:val="left"/>
      </w:pPr>
      <w:r>
        <w:rPr>
          <w:rFonts w:ascii="Courier New" w:cs="Courier New" w:eastAsia="Courier New" w:hAnsi="Courier New"/>
          <w:b/>
          <w:bCs/>
          <w:color w:val="1B2A4A"/>
          <w:sz w:val="18"/>
          <w:szCs w:val="18"/>
        </w:rPr>
        <w:t xml:space="preserve">§7.2.c.vii  </w:t>
      </w:r>
      <w:r>
        <w:rPr>
          <w:rFonts w:ascii="Garamond" w:cs="Garamond" w:eastAsia="Garamond" w:hAnsi="Garamond"/>
          <w:b/>
          <w:bCs/>
          <w:i w:val="false"/>
          <w:iCs w:val="false"/>
          <w:color w:val="1B2A4A"/>
          <w:sz w:val="22"/>
          <w:szCs w:val="22"/>
        </w:rPr>
        <w:t xml:space="preserve">Drawing Process and Timeline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commission must submit a proposed regional map to the LI within 180 days of constitution. The commission operates by simple majority vote. A 30-day public comment period opens when the draft map is published to the NRS; any citizen or State government may submit commentary, and the commission must publish a written response before submitting the final map. The Legislature sets by statute the parameters under which the commission conducts its working sessions, including: authorization of and requirements for remote participation; quorum and voting requirements; secure platform and data access specifications; and any other operational parameters. The Legislature may not set parameters that prevent effective deliberation or impose undue burden on members. The commission remains constituted until a final map is certified through the review and challenge processes in §7.2.c.viii and §7.2.c.ix, then dissolves.</w:t>
      </w:r>
    </w:p>
    <w:p>
      <w:pPr>
        <w:spacing w:after="60" w:before="200"/>
        <w:ind w:left="431"/>
        <w:jc w:val="left"/>
      </w:pPr>
      <w:r>
        <w:rPr>
          <w:rFonts w:ascii="Courier New" w:cs="Courier New" w:eastAsia="Courier New" w:hAnsi="Courier New"/>
          <w:b/>
          <w:bCs/>
          <w:color w:val="1B2A4A"/>
          <w:sz w:val="18"/>
          <w:szCs w:val="18"/>
        </w:rPr>
        <w:t xml:space="preserve">§7.2.c.viii  </w:t>
      </w:r>
      <w:r>
        <w:rPr>
          <w:rFonts w:ascii="Garamond" w:cs="Garamond" w:eastAsia="Garamond" w:hAnsi="Garamond"/>
          <w:b/>
          <w:bCs/>
          <w:i w:val="false"/>
          <w:iCs w:val="false"/>
          <w:color w:val="1B2A4A"/>
          <w:sz w:val="22"/>
          <w:szCs w:val="22"/>
        </w:rPr>
        <w:t xml:space="preserve">LI Compliance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reviews the submitted map within 60 days for compliance with the §7.2.c.vi criteria. If compliant, the LI certifies it and publishes the certification to the NRS. If the map fails, the LI publishes specific findings and returns it to the commission, which has 30 days to submit a corrected map. If the corrected map still fails, the LI draws a compliant interim map; the interim map governs the next presidential election while the commission completes a further correction cycle. The LI may not draw a permanent map.</w:t>
      </w:r>
    </w:p>
    <w:p>
      <w:pPr>
        <w:spacing w:after="60" w:before="200"/>
        <w:ind w:left="431"/>
        <w:jc w:val="left"/>
      </w:pPr>
      <w:r>
        <w:rPr>
          <w:rFonts w:ascii="Courier New" w:cs="Courier New" w:eastAsia="Courier New" w:hAnsi="Courier New"/>
          <w:b/>
          <w:bCs/>
          <w:color w:val="1B2A4A"/>
          <w:sz w:val="18"/>
          <w:szCs w:val="18"/>
        </w:rPr>
        <w:t xml:space="preserve">§7.2.c.ix  </w:t>
      </w:r>
      <w:r>
        <w:rPr>
          <w:rFonts w:ascii="Garamond" w:cs="Garamond" w:eastAsia="Garamond" w:hAnsi="Garamond"/>
          <w:b/>
          <w:bCs/>
          <w:i w:val="false"/>
          <w:iCs w:val="false"/>
          <w:color w:val="1B2A4A"/>
          <w:sz w:val="22"/>
          <w:szCs w:val="22"/>
        </w:rPr>
        <w:t xml:space="preserve">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citizen, State government, or parliamentary minority of one-third may challenge a certified regional map by petitioning the Supreme Court within 60 days of LI certification. The Court reviews criteria application — not map preference. A successful challenge returns the map to the commission with the Court's findings attached.</w:t>
      </w:r>
    </w:p>
    <w:p>
      <w:pPr>
        <w:spacing w:after="60" w:before="200"/>
        <w:ind w:left="431"/>
        <w:jc w:val="left"/>
      </w:pPr>
      <w:r>
        <w:rPr>
          <w:rFonts w:ascii="Courier New" w:cs="Courier New" w:eastAsia="Courier New" w:hAnsi="Courier New"/>
          <w:b/>
          <w:bCs/>
          <w:color w:val="1B2A4A"/>
          <w:sz w:val="18"/>
          <w:szCs w:val="18"/>
        </w:rPr>
        <w:t xml:space="preserve">§7.2.c.x  </w:t>
      </w:r>
      <w:r>
        <w:rPr>
          <w:rFonts w:ascii="Garamond" w:cs="Garamond" w:eastAsia="Garamond" w:hAnsi="Garamond"/>
          <w:b/>
          <w:bCs/>
          <w:i w:val="false"/>
          <w:iCs w:val="false"/>
          <w:color w:val="1B2A4A"/>
          <w:sz w:val="22"/>
          <w:szCs w:val="22"/>
        </w:rPr>
        <w:t xml:space="preserve">Cycle and Timing</w:t>
      </w:r>
    </w:p>
    <w:p>
      <w:pPr>
        <w:spacing w:after="120" w:before="0"/>
        <w:ind w:left="431"/>
        <w:jc w:val="both"/>
      </w:pPr>
      <w:r>
        <w:rPr>
          <w:rFonts w:ascii="Garamond" w:cs="Garamond" w:eastAsia="Garamond" w:hAnsi="Garamond"/>
          <w:b w:val="false"/>
          <w:bCs w:val="false"/>
          <w:i w:val="false"/>
          <w:iCs w:val="false"/>
          <w:color w:val="2a2520"/>
          <w:sz w:val="22"/>
          <w:szCs w:val="22"/>
        </w:rPr>
        <w:t xml:space="preserve">Regional boundaries are redrawn following each decennial census, on the same cycle as House redistricting; the §8.1.a census triggers both simultaneously. Regions in effect at the time of any presidential election govern that election. No mid-cycle redraw may occur except pursuant to §7.2.c.ix or §7.2.c.viii. The Legislature establishes by statute the precise timing of the pool-building window — when each State's Pool opens following completion of the prior redistricting cycle, and when it closes before the draw. Once established, the statutory timing may not be altered for a minimum of two complete redistricting cycles, preventing legislative manipulation of the pool-building window to affect a forthcoming draw.</w:t>
      </w:r>
    </w:p>
    <w:p>
      <w:pPr>
        <w:spacing w:after="60" w:before="200"/>
        <w:ind w:left="431"/>
        <w:jc w:val="left"/>
      </w:pPr>
      <w:r>
        <w:rPr>
          <w:rFonts w:ascii="Courier New" w:cs="Courier New" w:eastAsia="Courier New" w:hAnsi="Courier New"/>
          <w:b/>
          <w:bCs/>
          <w:color w:val="1B2A4A"/>
          <w:sz w:val="18"/>
          <w:szCs w:val="18"/>
        </w:rPr>
        <w:t xml:space="preserve">§7.2.d  </w:t>
      </w:r>
      <w:r>
        <w:rPr>
          <w:rFonts w:ascii="Garamond" w:cs="Garamond" w:eastAsia="Garamond" w:hAnsi="Garamond"/>
          <w:b/>
          <w:bCs/>
          <w:i w:val="false"/>
          <w:iCs w:val="false"/>
          <w:color w:val="1B2A4A"/>
          <w:sz w:val="22"/>
          <w:szCs w:val="22"/>
        </w:rPr>
        <w:t xml:space="preserve">Territory Presidential Voting</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Territory citizens hold the full §1.20 right to vote in presidential elections. Their votes count in the national first-preference total — the 65% component of the combined score — but Territories are not assigned to presidential election regions and do not contribute to the 35% regional breadth component. The regional breadth measure reflects the geographic distribution of the Republic's State structure.</w:t>
      </w:r>
    </w:p>
    <w:p>
      <w:pPr>
        <w:spacing w:after="60" w:before="200"/>
        <w:ind w:left="431"/>
        <w:jc w:val="left"/>
      </w:pPr>
      <w:r>
        <w:rPr>
          <w:rFonts w:ascii="Courier New" w:cs="Courier New" w:eastAsia="Courier New" w:hAnsi="Courier New"/>
          <w:b/>
          <w:bCs/>
          <w:color w:val="1B2A4A"/>
          <w:sz w:val="18"/>
          <w:szCs w:val="18"/>
        </w:rPr>
        <w:t xml:space="preserve">§7.2.e  </w:t>
      </w:r>
      <w:r>
        <w:rPr>
          <w:rFonts w:ascii="Garamond" w:cs="Garamond" w:eastAsia="Garamond" w:hAnsi="Garamond"/>
          <w:b/>
          <w:bCs/>
          <w:i w:val="false"/>
          <w:iCs w:val="false"/>
          <w:color w:val="1B2A4A"/>
          <w:sz w:val="22"/>
          <w:szCs w:val="22"/>
        </w:rPr>
        <w:t xml:space="preserve">Election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Electoral Commission certifies the final presidential election result to the NRS within a period the Legislature defines by statute. Certification is final and may be challenged only before the Supreme Court within 14 days. No transfer of presidential authority may be delayed beyond the moment established by the transition provisions of §19.3.</w:t>
      </w:r>
    </w:p>
    <w:p>
      <w:pPr>
        <w:spacing w:after="60" w:before="200"/>
        <w:ind w:left="431"/>
        <w:jc w:val="left"/>
      </w:pPr>
      <w:r>
        <w:rPr>
          <w:rFonts w:ascii="Courier New" w:cs="Courier New" w:eastAsia="Courier New" w:hAnsi="Courier New"/>
          <w:b/>
          <w:bCs/>
          <w:color w:val="1B2A4A"/>
          <w:sz w:val="18"/>
          <w:szCs w:val="18"/>
        </w:rPr>
        <w:t xml:space="preserve">§7.2.f  </w:t>
      </w:r>
      <w:r>
        <w:rPr>
          <w:rFonts w:ascii="Garamond" w:cs="Garamond" w:eastAsia="Garamond" w:hAnsi="Garamond"/>
          <w:b/>
          <w:bCs/>
          <w:i w:val="false"/>
          <w:iCs w:val="false"/>
          <w:color w:val="1B2A4A"/>
          <w:sz w:val="22"/>
          <w:szCs w:val="22"/>
        </w:rPr>
        <w:t xml:space="preserve">Run-off</w:t>
      </w:r>
    </w:p>
    <w:p>
      <w:pPr>
        <w:spacing w:after="120" w:before="0"/>
        <w:ind w:left="431"/>
        <w:jc w:val="both"/>
      </w:pPr>
      <w:r>
        <w:rPr>
          <w:rFonts w:ascii="Garamond" w:cs="Garamond" w:eastAsia="Garamond" w:hAnsi="Garamond"/>
          <w:b w:val="false"/>
          <w:bCs w:val="false"/>
          <w:i w:val="false"/>
          <w:iCs w:val="false"/>
          <w:color w:val="2a2520"/>
          <w:sz w:val="22"/>
          <w:szCs w:val="22"/>
        </w:rPr>
        <w:t xml:space="preserve">If two candidates are within 0.5 percentage points of each other on the final combined score as calculated under §7.2.b, a head-to-head national RCV runoff is conducted between those two candidates.</w:t>
      </w:r>
    </w:p>
    <w:p>
      <w:pPr>
        <w:spacing w:after="60" w:before="200"/>
        <w:ind w:left="431"/>
        <w:jc w:val="left"/>
      </w:pPr>
      <w:r>
        <w:rPr>
          <w:rFonts w:ascii="Courier New" w:cs="Courier New" w:eastAsia="Courier New" w:hAnsi="Courier New"/>
          <w:b/>
          <w:bCs/>
          <w:color w:val="1B2A4A"/>
          <w:sz w:val="18"/>
          <w:szCs w:val="18"/>
        </w:rPr>
        <w:t xml:space="preserve">§7.3  </w:t>
      </w:r>
      <w:r>
        <w:rPr>
          <w:rFonts w:ascii="Garamond" w:cs="Garamond" w:eastAsia="Garamond" w:hAnsi="Garamond"/>
          <w:b/>
          <w:bCs/>
          <w:i w:val="false"/>
          <w:iCs w:val="false"/>
          <w:color w:val="1B2A4A"/>
          <w:sz w:val="22"/>
          <w:szCs w:val="22"/>
        </w:rPr>
        <w:t xml:space="preserve">Legislative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elections are administered by the Electoral Commission free from executive interference. The National Voting System is the uniform platform for all federal elections.</w:t>
      </w:r>
    </w:p>
    <w:p>
      <w:pPr>
        <w:spacing w:after="60" w:before="200"/>
        <w:ind w:left="431"/>
        <w:jc w:val="left"/>
      </w:pPr>
      <w:r>
        <w:rPr>
          <w:rFonts w:ascii="Courier New" w:cs="Courier New" w:eastAsia="Courier New" w:hAnsi="Courier New"/>
          <w:b/>
          <w:bCs/>
          <w:color w:val="1B2A4A"/>
          <w:sz w:val="18"/>
          <w:szCs w:val="18"/>
        </w:rPr>
        <w:t xml:space="preserve">§7.3.a  </w:t>
      </w:r>
      <w:r>
        <w:rPr>
          <w:rFonts w:ascii="Garamond" w:cs="Garamond" w:eastAsia="Garamond" w:hAnsi="Garamond"/>
          <w:b/>
          <w:bCs/>
          <w:i w:val="false"/>
          <w:iCs w:val="false"/>
          <w:color w:val="1B2A4A"/>
          <w:sz w:val="22"/>
          <w:szCs w:val="22"/>
        </w:rPr>
        <w:t xml:space="preserve">No Executive Interference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not declare, postpone, or influence the scheduling of elections — including declaring emergencies that have the effect of postponing them.</w:t>
      </w:r>
    </w:p>
    <w:p>
      <w:pPr>
        <w:spacing w:after="60" w:before="200"/>
        <w:ind w:left="431"/>
        <w:jc w:val="left"/>
      </w:pPr>
      <w:r>
        <w:rPr>
          <w:rFonts w:ascii="Courier New" w:cs="Courier New" w:eastAsia="Courier New" w:hAnsi="Courier New"/>
          <w:b/>
          <w:bCs/>
          <w:color w:val="1B2A4A"/>
          <w:sz w:val="18"/>
          <w:szCs w:val="18"/>
        </w:rPr>
        <w:t xml:space="preserve">§7.3.b  </w:t>
      </w:r>
      <w:r>
        <w:rPr>
          <w:rFonts w:ascii="Garamond" w:cs="Garamond" w:eastAsia="Garamond" w:hAnsi="Garamond"/>
          <w:b/>
          <w:bCs/>
          <w:i w:val="false"/>
          <w:iCs w:val="false"/>
          <w:color w:val="1B2A4A"/>
          <w:sz w:val="22"/>
          <w:szCs w:val="22"/>
        </w:rPr>
        <w:t xml:space="preserve">National Voting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Electoral Commission administers the National Voting System through which all federal elections and referenda are conducted. The NVS is constitutionally required to maintain ballot secrecy, public auditability, and resilience — properties defined in Article XVI creating a cross-constitutional guarantee.</w:t>
      </w:r>
    </w:p>
    <w:p>
      <w:pPr>
        <w:spacing w:after="60" w:before="200"/>
        <w:ind w:left="431"/>
        <w:jc w:val="left"/>
      </w:pPr>
      <w:r>
        <w:rPr>
          <w:rFonts w:ascii="Courier New" w:cs="Courier New" w:eastAsia="Courier New" w:hAnsi="Courier New"/>
          <w:b/>
          <w:bCs/>
          <w:color w:val="1B2A4A"/>
          <w:sz w:val="18"/>
          <w:szCs w:val="18"/>
        </w:rPr>
        <w:t xml:space="preserve">§7.3.c  </w:t>
      </w:r>
      <w:r>
        <w:rPr>
          <w:rFonts w:ascii="Garamond" w:cs="Garamond" w:eastAsia="Garamond" w:hAnsi="Garamond"/>
          <w:b/>
          <w:bCs/>
          <w:i w:val="false"/>
          <w:iCs w:val="false"/>
          <w:color w:val="1B2A4A"/>
          <w:sz w:val="22"/>
          <w:szCs w:val="22"/>
        </w:rPr>
        <w:t xml:space="preserve">Participation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State may take any action that reduces NVS access, functionality, or availability within its territory. State-level voter suppression — long lines, ID requirements that function as bars, polling place closures that reduce access — is constitutionally prohibited to the extent it reduces access for eligible citizens.</w:t>
      </w:r>
    </w:p>
    <w:p>
      <w:pPr>
        <w:spacing w:after="60" w:before="200"/>
        <w:jc w:val="left"/>
      </w:pPr>
      <w:r>
        <w:rPr>
          <w:rFonts w:ascii="Garamond" w:cs="Garamond" w:eastAsia="Garamond" w:hAnsi="Garamond"/>
          <w:b/>
          <w:bCs/>
          <w:i w:val="false"/>
          <w:iCs w:val="false"/>
          <w:color w:val="1B2A4A"/>
          <w:sz w:val="34"/>
          <w:szCs w:val="34"/>
        </w:rPr>
        <w:t xml:space="preserve">Article VIII — Inspectorates and the State Designee Panel</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  </w:t>
      </w:r>
      <w:r>
        <w:rPr>
          <w:rFonts w:ascii="Garamond" w:cs="Garamond" w:eastAsia="Garamond" w:hAnsi="Garamond"/>
          <w:b/>
          <w:bCs/>
          <w:i w:val="false"/>
          <w:iCs w:val="false"/>
          <w:color w:val="1B2A4A"/>
          <w:sz w:val="22"/>
          <w:szCs w:val="22"/>
        </w:rPr>
        <w:t xml:space="preserve">Three Inspectorates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three constitutionally independent Inspectorates — Legislative, Executive, and Judicial — each selected by branches other than those it oversees. The Inspectorates hold an information-only mandate: they publish findings but do not issue binding orders. Each Inspector General serves a 10-year non-renewable term with a constitutionally protected funding floor.</w:t>
      </w:r>
    </w:p>
    <w:p>
      <w:pPr>
        <w:spacing w:after="60" w:before="200"/>
        <w:ind w:left="431"/>
        <w:jc w:val="left"/>
      </w:pPr>
      <w:r>
        <w:rPr>
          <w:rFonts w:ascii="Courier New" w:cs="Courier New" w:eastAsia="Courier New" w:hAnsi="Courier New"/>
          <w:b/>
          <w:bCs/>
          <w:color w:val="1B2A4A"/>
          <w:sz w:val="18"/>
          <w:szCs w:val="18"/>
        </w:rPr>
        <w:t xml:space="preserve">§8.1.a  </w:t>
      </w:r>
      <w:r>
        <w:rPr>
          <w:rFonts w:ascii="Garamond" w:cs="Garamond" w:eastAsia="Garamond" w:hAnsi="Garamond"/>
          <w:b/>
          <w:bCs/>
          <w:i w:val="false"/>
          <w:iCs w:val="false"/>
          <w:color w:val="1B2A4A"/>
          <w:sz w:val="22"/>
          <w:szCs w:val="22"/>
        </w:rPr>
        <w:t xml:space="preserve">The Legislative Inspectorate (LI)</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the Legislature for fiscal accuracy, constitutional compliance, and NRS integrity. Conducts the population census (assigned to the LI because the census determines House seat allocation — giving this to a body nominated by the House would be a direct conflict of interest). Reviews House district maps. Publishes germaneness analyses. Annual compliance report published to the NRS. Determines referendum eligibility for citizen-initiated repeal petitions under §11.1.b.</w:t>
      </w:r>
    </w:p>
    <w:p>
      <w:pPr>
        <w:spacing w:after="60" w:before="200"/>
        <w:ind w:left="431"/>
        <w:jc w:val="left"/>
      </w:pPr>
      <w:r>
        <w:rPr>
          <w:rFonts w:ascii="Courier New" w:cs="Courier New" w:eastAsia="Courier New" w:hAnsi="Courier New"/>
          <w:b/>
          <w:bCs/>
          <w:color w:val="1B2A4A"/>
          <w:sz w:val="18"/>
          <w:szCs w:val="18"/>
        </w:rPr>
        <w:t xml:space="preserve">§8.1.b  </w:t>
      </w:r>
      <w:r>
        <w:rPr>
          <w:rFonts w:ascii="Garamond" w:cs="Garamond" w:eastAsia="Garamond" w:hAnsi="Garamond"/>
          <w:b/>
          <w:bCs/>
          <w:i w:val="false"/>
          <w:iCs w:val="false"/>
          <w:color w:val="1B2A4A"/>
          <w:sz w:val="22"/>
          <w:szCs w:val="22"/>
        </w:rPr>
        <w:t xml:space="preserve">The Executive Inspectorate (EI)</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audits both executives and the Monetary Authority. Annual military compliance assessment: were Tier authorizations followed? Was §1.30.d Intelligence Firewall maintained? Were fund certifications observed? Publishes clemency background reports before any executive act. Reviews disclosure records for constitutional appointments.</w:t>
      </w:r>
    </w:p>
    <w:p>
      <w:pPr>
        <w:spacing w:after="60" w:before="200"/>
        <w:ind w:left="431"/>
        <w:jc w:val="left"/>
      </w:pPr>
      <w:r>
        <w:rPr>
          <w:rFonts w:ascii="Courier New" w:cs="Courier New" w:eastAsia="Courier New" w:hAnsi="Courier New"/>
          <w:b/>
          <w:bCs/>
          <w:color w:val="1B2A4A"/>
          <w:sz w:val="18"/>
          <w:szCs w:val="18"/>
        </w:rPr>
        <w:t xml:space="preserve">§8.1.c  </w:t>
      </w:r>
      <w:r>
        <w:rPr>
          <w:rFonts w:ascii="Garamond" w:cs="Garamond" w:eastAsia="Garamond" w:hAnsi="Garamond"/>
          <w:b/>
          <w:bCs/>
          <w:i w:val="false"/>
          <w:iCs w:val="false"/>
          <w:color w:val="1B2A4A"/>
          <w:sz w:val="22"/>
          <w:szCs w:val="22"/>
        </w:rPr>
        <w:t xml:space="preserve">The Judicial Inspectorate (JI)</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the courts for judicial scope and independence. Maintains the SC Candidate Registry. Vets judicial nominees and Electoral Commission candidates. Audits the Electoral Commission annually. Reviews accommodation compact compliance under §19.1, Associated Community compact compliance under Article XX, and Article XIV indigenous compact obligations. The JI's structural independence — selection by public lottery with no political nomination — makes it the appropriate body to administer all constitutional lottery draws and candidate certification functions throughout the Republic, in addition to its core judicial audit mandate. This dual role is a deliberate constitutional design choice, not an accumulation of functions by default.</w:t>
      </w:r>
    </w:p>
    <w:p>
      <w:pPr>
        <w:spacing w:after="60" w:before="200"/>
        <w:ind w:left="431"/>
        <w:jc w:val="left"/>
      </w:pPr>
      <w:r>
        <w:rPr>
          <w:rFonts w:ascii="Courier New" w:cs="Courier New" w:eastAsia="Courier New" w:hAnsi="Courier New"/>
          <w:b/>
          <w:bCs/>
          <w:color w:val="1B2A4A"/>
          <w:sz w:val="18"/>
          <w:szCs w:val="18"/>
        </w:rPr>
        <w:t xml:space="preserve">§8.2  </w:t>
      </w:r>
      <w:r>
        <w:rPr>
          <w:rFonts w:ascii="Garamond" w:cs="Garamond" w:eastAsia="Garamond" w:hAnsi="Garamond"/>
          <w:b/>
          <w:bCs/>
          <w:i w:val="false"/>
          <w:iCs w:val="false"/>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Inspectorate is constituted through a cross-nomination process that structurally excludes the body being watched from selecting those who watch it. The Supreme Court nominates the LI Inspector General, confirmed by Senate 2/3 supermajority. The House nominates the EI Inspector General, confirmed by Senate simple majority with JI vetting. The JI Inspector General is selected by public lottery with no political nomination by any branch.</w:t>
      </w:r>
    </w:p>
    <w:p>
      <w:pPr>
        <w:spacing w:after="60" w:before="200"/>
        <w:ind w:left="431"/>
        <w:jc w:val="left"/>
      </w:pPr>
      <w:r>
        <w:rPr>
          <w:rFonts w:ascii="Courier New" w:cs="Courier New" w:eastAsia="Courier New" w:hAnsi="Courier New"/>
          <w:b/>
          <w:bCs/>
          <w:color w:val="1B2A4A"/>
          <w:sz w:val="18"/>
          <w:szCs w:val="18"/>
        </w:rPr>
        <w:t xml:space="preserve">§8.3  </w:t>
      </w:r>
      <w:r>
        <w:rPr>
          <w:rFonts w:ascii="Garamond" w:cs="Garamond" w:eastAsia="Garamond" w:hAnsi="Garamond"/>
          <w:b/>
          <w:bCs/>
          <w:i w:val="false"/>
          <w:iCs w:val="false"/>
          <w:color w:val="1B2A4A"/>
          <w:sz w:val="22"/>
          <w:szCs w:val="22"/>
        </w:rPr>
        <w:t xml:space="preserve">Inspector General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Inspector General is selected through a cross-nomination process that excludes the body being watched, as specified in §8.3.a through §8.3.c.</w:t>
      </w:r>
    </w:p>
    <w:p>
      <w:pPr>
        <w:spacing w:after="60" w:before="200"/>
        <w:ind w:left="431"/>
        <w:jc w:val="left"/>
      </w:pPr>
      <w:r>
        <w:rPr>
          <w:rFonts w:ascii="Courier New" w:cs="Courier New" w:eastAsia="Courier New" w:hAnsi="Courier New"/>
          <w:b/>
          <w:bCs/>
          <w:color w:val="1B2A4A"/>
          <w:sz w:val="18"/>
          <w:szCs w:val="18"/>
        </w:rPr>
        <w:t xml:space="preserve">§8.3.a  </w:t>
      </w:r>
      <w:r>
        <w:rPr>
          <w:rFonts w:ascii="Garamond" w:cs="Garamond" w:eastAsia="Garamond" w:hAnsi="Garamond"/>
          <w:b/>
          <w:bCs/>
          <w:i w:val="false"/>
          <w:iCs w:val="false"/>
          <w:color w:val="1B2A4A"/>
          <w:sz w:val="22"/>
          <w:szCs w:val="22"/>
        </w:rPr>
        <w:t xml:space="preserve">Legislative IG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Inspector General is nominated by the Supreme Court, confirmed by the Senate by 2/3 supermajority. The House is entirely excluded — the body whose seat allocation the census determines has no role in selecting the office that conducts the census. The 2/3 Senate threshold ensures the LI IG commands cross-party support.</w:t>
      </w:r>
    </w:p>
    <w:p>
      <w:pPr>
        <w:spacing w:after="60" w:before="200"/>
        <w:ind w:left="431"/>
        <w:jc w:val="left"/>
      </w:pPr>
      <w:r>
        <w:rPr>
          <w:rFonts w:ascii="Courier New" w:cs="Courier New" w:eastAsia="Courier New" w:hAnsi="Courier New"/>
          <w:b/>
          <w:bCs/>
          <w:color w:val="1B2A4A"/>
          <w:sz w:val="18"/>
          <w:szCs w:val="18"/>
        </w:rPr>
        <w:t xml:space="preserve">§8.3.b  </w:t>
      </w:r>
      <w:r>
        <w:rPr>
          <w:rFonts w:ascii="Garamond" w:cs="Garamond" w:eastAsia="Garamond" w:hAnsi="Garamond"/>
          <w:b/>
          <w:bCs/>
          <w:i w:val="false"/>
          <w:iCs w:val="false"/>
          <w:color w:val="1B2A4A"/>
          <w:sz w:val="22"/>
          <w:szCs w:val="22"/>
        </w:rPr>
        <w:t xml:space="preserve">Executive IG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Inspector General is nominated by the House, confirmed by the Senate by simple majority, with JI vetting of the nominee's disclosure record before the confirmation vote. The House nominates the EI because the PM — whom the EI watches — is accountable to the House, creating structural alignment without giving the PM or President control over selection.</w:t>
      </w:r>
    </w:p>
    <w:p>
      <w:pPr>
        <w:spacing w:after="60" w:before="200"/>
        <w:ind w:left="431"/>
        <w:jc w:val="left"/>
      </w:pPr>
      <w:r>
        <w:rPr>
          <w:rFonts w:ascii="Courier New" w:cs="Courier New" w:eastAsia="Courier New" w:hAnsi="Courier New"/>
          <w:b/>
          <w:bCs/>
          <w:color w:val="1B2A4A"/>
          <w:sz w:val="18"/>
          <w:szCs w:val="18"/>
        </w:rPr>
        <w:t xml:space="preserve">§8.3.c  </w:t>
      </w:r>
      <w:r>
        <w:rPr>
          <w:rFonts w:ascii="Garamond" w:cs="Garamond" w:eastAsia="Garamond" w:hAnsi="Garamond"/>
          <w:b/>
          <w:bCs/>
          <w:i w:val="false"/>
          <w:iCs w:val="false"/>
          <w:color w:val="1B2A4A"/>
          <w:sz w:val="22"/>
          <w:szCs w:val="22"/>
        </w:rPr>
        <w:t xml:space="preserve">Term and Staggering</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IGs serve 10-year non-renewable terms. No two IG terms may begin within 18 months of each other, ensuring continuous institutional knowledge. An outgoing IG may not be reappointed to the same office. The stagger means the system never faces simultaneous turnover in multiple offices.</w:t>
      </w:r>
    </w:p>
    <w:p>
      <w:pPr>
        <w:spacing w:after="60" w:before="200"/>
        <w:ind w:left="431"/>
        <w:jc w:val="left"/>
      </w:pPr>
      <w:r>
        <w:rPr>
          <w:rFonts w:ascii="Courier New" w:cs="Courier New" w:eastAsia="Courier New" w:hAnsi="Courier New"/>
          <w:b/>
          <w:bCs/>
          <w:color w:val="1B2A4A"/>
          <w:sz w:val="18"/>
          <w:szCs w:val="18"/>
        </w:rPr>
        <w:t xml:space="preserve">§8.4  </w:t>
      </w:r>
      <w:r>
        <w:rPr>
          <w:rFonts w:ascii="Garamond" w:cs="Garamond" w:eastAsia="Garamond" w:hAnsi="Garamond"/>
          <w:b/>
          <w:bCs/>
          <w:i w:val="false"/>
          <w:iCs w:val="false"/>
          <w:color w:val="1B2A4A"/>
          <w:sz w:val="22"/>
          <w:szCs w:val="22"/>
        </w:rPr>
        <w:t xml:space="preserve">Judicial Inspectorate — Audit and Certification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Judicial Inspectorate holds two constitutional mandates. First, as auditor: it monitors the court system, administers the SC candidate registry, and conducts compliance audits across compact obligations. Second, as certification administrator: it certifies lottery draws and panel selections throughout the constitution, including the State Designee Panel, the Regional Boundary Commission, and the RSA Technical Integrity Commission. Both mandates are informational only — the JI publishes findings and certifies processes; it does not issue binding orders or control outcomes.</w:t>
      </w:r>
    </w:p>
    <w:p>
      <w:pPr>
        <w:spacing w:after="60" w:before="200"/>
        <w:ind w:left="431"/>
        <w:jc w:val="left"/>
      </w:pPr>
      <w:r>
        <w:rPr>
          <w:rFonts w:ascii="Courier New" w:cs="Courier New" w:eastAsia="Courier New" w:hAnsi="Courier New"/>
          <w:b/>
          <w:bCs/>
          <w:color w:val="1B2A4A"/>
          <w:sz w:val="18"/>
          <w:szCs w:val="18"/>
        </w:rPr>
        <w:t xml:space="preserve">§8.4.a  </w:t>
      </w:r>
      <w:r>
        <w:rPr>
          <w:rFonts w:ascii="Garamond" w:cs="Garamond" w:eastAsia="Garamond" w:hAnsi="Garamond"/>
          <w:b/>
          <w:bCs/>
          <w:i w:val="false"/>
          <w:iCs w:val="false"/>
          <w:color w:val="1B2A4A"/>
          <w:sz w:val="22"/>
          <w:szCs w:val="22"/>
        </w:rPr>
        <w:t xml:space="preserve">Judicial IG Candidate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Inspector General is drawn by public lottery from a qualified candidate pool. The outgoing JI IG administers the draw, witnessed by the other two IGs and three citizens chosen by jury protocols. Published to the NRS immediately. No political body nominates the JI IG — the most structurally independent selection mechanism in the constitution. Where there is no outgoing JI IG — on the first-ever selection or where the outgoing IG has been removed or is incapacitated — the draw is administered jointly by the LI and EI Inspector Generals.</w:t>
      </w:r>
    </w:p>
    <w:p>
      <w:pPr>
        <w:spacing w:after="60" w:before="200"/>
        <w:ind w:left="431"/>
        <w:jc w:val="left"/>
      </w:pPr>
      <w:r>
        <w:rPr>
          <w:rFonts w:ascii="Courier New" w:cs="Courier New" w:eastAsia="Courier New" w:hAnsi="Courier New"/>
          <w:b/>
          <w:bCs/>
          <w:color w:val="1B2A4A"/>
          <w:sz w:val="18"/>
          <w:szCs w:val="18"/>
        </w:rPr>
        <w:t xml:space="preserve">§8.4.b  </w:t>
      </w:r>
      <w:r>
        <w:rPr>
          <w:rFonts w:ascii="Garamond" w:cs="Garamond" w:eastAsia="Garamond" w:hAnsi="Garamond"/>
          <w:b/>
          <w:bCs/>
          <w:i w:val="false"/>
          <w:iCs w:val="false"/>
          <w:color w:val="1B2A4A"/>
          <w:sz w:val="22"/>
          <w:szCs w:val="22"/>
        </w:rPr>
        <w:t xml:space="preserve">JI Compact Compliance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compliance reviews for §19.1 accommodation compacts, Article XX Associated Community compacts, and Article XIV indigenous compact obligations. The JI verifies that Article I rights protections are being maintained and that compact terms are being honored by both parties.</w:t>
      </w:r>
    </w:p>
    <w:p>
      <w:pPr>
        <w:spacing w:after="60" w:before="200"/>
        <w:ind w:left="431"/>
        <w:jc w:val="left"/>
      </w:pPr>
      <w:r>
        <w:rPr>
          <w:rFonts w:ascii="Courier New" w:cs="Courier New" w:eastAsia="Courier New" w:hAnsi="Courier New"/>
          <w:b/>
          <w:bCs/>
          <w:color w:val="1B2A4A"/>
          <w:sz w:val="18"/>
          <w:szCs w:val="18"/>
        </w:rPr>
        <w:t xml:space="preserve">§8.4.c  </w:t>
      </w:r>
      <w:r>
        <w:rPr>
          <w:rFonts w:ascii="Garamond" w:cs="Garamond" w:eastAsia="Garamond" w:hAnsi="Garamond"/>
          <w:b/>
          <w:bCs/>
          <w:i w:val="false"/>
          <w:iCs w:val="false"/>
          <w:color w:val="1B2A4A"/>
          <w:sz w:val="22"/>
          <w:szCs w:val="22"/>
        </w:rPr>
        <w:t xml:space="preserve">JI Court Operations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audit of the court system for judicial scope compliance, independence from political pressure, and proper administration of judicial functions. The JI does not audit judicial reasoning — it audits whether courts are operating within their constitutional mandate and free from inappropriate influence.</w:t>
      </w:r>
    </w:p>
    <w:p>
      <w:pPr>
        <w:spacing w:after="60" w:before="200"/>
        <w:ind w:left="431"/>
        <w:jc w:val="left"/>
      </w:pPr>
      <w:r>
        <w:rPr>
          <w:rFonts w:ascii="Courier New" w:cs="Courier New" w:eastAsia="Courier New" w:hAnsi="Courier New"/>
          <w:b/>
          <w:bCs/>
          <w:color w:val="1B2A4A"/>
          <w:sz w:val="18"/>
          <w:szCs w:val="18"/>
        </w:rPr>
        <w:t xml:space="preserve">§8.4.d  </w:t>
      </w:r>
      <w:r>
        <w:rPr>
          <w:rFonts w:ascii="Garamond" w:cs="Garamond" w:eastAsia="Garamond" w:hAnsi="Garamond"/>
          <w:b/>
          <w:bCs/>
          <w:i w:val="false"/>
          <w:iCs w:val="false"/>
          <w:color w:val="1B2A4A"/>
          <w:sz w:val="22"/>
          <w:szCs w:val="22"/>
        </w:rPr>
        <w:t xml:space="preserve">JI Electoral Commission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audit of the EC for electoral integrity compliance, administrative accuracy, and independence. Distinct from the EI's executive compliance audit — the JI focuses on electoral administration integrity. Published to the NRS as a standalone annual report.</w:t>
      </w:r>
    </w:p>
    <w:p>
      <w:pPr>
        <w:spacing w:after="60" w:before="200"/>
        <w:ind w:left="431"/>
        <w:jc w:val="left"/>
      </w:pPr>
      <w:r>
        <w:rPr>
          <w:rFonts w:ascii="Courier New" w:cs="Courier New" w:eastAsia="Courier New" w:hAnsi="Courier New"/>
          <w:b/>
          <w:bCs/>
          <w:color w:val="1B2A4A"/>
          <w:sz w:val="18"/>
          <w:szCs w:val="18"/>
        </w:rPr>
        <w:t xml:space="preserve">§8.4.e  </w:t>
      </w:r>
      <w:r>
        <w:rPr>
          <w:rFonts w:ascii="Garamond" w:cs="Garamond" w:eastAsia="Garamond" w:hAnsi="Garamond"/>
          <w:b/>
          <w:bCs/>
          <w:i w:val="false"/>
          <w:iCs w:val="false"/>
          <w:color w:val="1B2A4A"/>
          <w:sz w:val="22"/>
          <w:szCs w:val="22"/>
        </w:rPr>
        <w:t xml:space="preserve">Supreme Court Candidate Registry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maintains the standing registry from which SC candidates are drawn. Any citizen meeting the eligibility criteria (15+ years legal practice or 10+ years judicial service, no current government position, no disqualifying financial interest) may apply. Applications reviewed within 21 days. Registry inclusion does not expire. Publicly accessible on the NRS at all times.</w:t>
      </w:r>
    </w:p>
    <w:p>
      <w:pPr>
        <w:spacing w:after="60" w:before="200"/>
        <w:ind w:left="431"/>
        <w:jc w:val="left"/>
      </w:pPr>
      <w:r>
        <w:rPr>
          <w:rFonts w:ascii="Courier New" w:cs="Courier New" w:eastAsia="Courier New" w:hAnsi="Courier New"/>
          <w:b/>
          <w:bCs/>
          <w:color w:val="1B2A4A"/>
          <w:sz w:val="18"/>
          <w:szCs w:val="18"/>
        </w:rPr>
        <w:t xml:space="preserve">§8.4.f  </w:t>
      </w:r>
      <w:r>
        <w:rPr>
          <w:rFonts w:ascii="Garamond" w:cs="Garamond" w:eastAsia="Garamond" w:hAnsi="Garamond"/>
          <w:b/>
          <w:bCs/>
          <w:i w:val="false"/>
          <w:iCs w:val="false"/>
          <w:color w:val="1B2A4A"/>
          <w:sz w:val="22"/>
          <w:szCs w:val="22"/>
        </w:rPr>
        <w:t xml:space="preserve">JI Judicial Independence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published audit of the entire court system. The JI audits the independence of the process, not judicial reasoning or outcomes: are judges free from political pressure? Are proper recusal procedures being followed? Are ex parte communications being reported? Are court appointments following constitutional processes?</w:t>
      </w:r>
    </w:p>
    <w:p>
      <w:pPr>
        <w:spacing w:after="60" w:before="200"/>
        <w:ind w:left="431"/>
        <w:jc w:val="left"/>
      </w:pPr>
      <w:r>
        <w:rPr>
          <w:rFonts w:ascii="Courier New" w:cs="Courier New" w:eastAsia="Courier New" w:hAnsi="Courier New"/>
          <w:b/>
          <w:bCs/>
          <w:color w:val="1B2A4A"/>
          <w:sz w:val="18"/>
          <w:szCs w:val="18"/>
        </w:rPr>
        <w:t xml:space="preserve">§8.4.g  </w:t>
      </w:r>
      <w:r>
        <w:rPr>
          <w:rFonts w:ascii="Garamond" w:cs="Garamond" w:eastAsia="Garamond" w:hAnsi="Garamond"/>
          <w:b/>
          <w:bCs/>
          <w:i w:val="false"/>
          <w:iCs w:val="false"/>
          <w:color w:val="1B2A4A"/>
          <w:sz w:val="22"/>
          <w:szCs w:val="22"/>
        </w:rPr>
        <w:t xml:space="preserve">SC Independence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annual judicial audit, the JI publishes a specific assessment of SC independence: the integrity of the SC election process; any attempts to influence SC candidates before election; any contacts between SC justices and political actors not disclosed to the NRS; the adequacy of the SC's internal disclosure protocols.</w:t>
      </w:r>
    </w:p>
    <w:p>
      <w:pPr>
        <w:spacing w:after="60" w:before="200"/>
        <w:ind w:left="431"/>
        <w:jc w:val="left"/>
      </w:pPr>
      <w:r>
        <w:rPr>
          <w:rFonts w:ascii="Courier New" w:cs="Courier New" w:eastAsia="Courier New" w:hAnsi="Courier New"/>
          <w:b/>
          <w:bCs/>
          <w:color w:val="1B2A4A"/>
          <w:sz w:val="18"/>
          <w:szCs w:val="18"/>
        </w:rPr>
        <w:t xml:space="preserve">§8.4.h  </w:t>
      </w:r>
      <w:r>
        <w:rPr>
          <w:rFonts w:ascii="Garamond" w:cs="Garamond" w:eastAsia="Garamond" w:hAnsi="Garamond"/>
          <w:b/>
          <w:bCs/>
          <w:i w:val="false"/>
          <w:iCs w:val="false"/>
          <w:color w:val="1B2A4A"/>
          <w:sz w:val="22"/>
          <w:szCs w:val="22"/>
        </w:rPr>
        <w:t xml:space="preserve">Inferior Court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inferior courts for compliance with their jurisdictional limits under §4.3.b. Courts that repeatedly exceed their jurisdictional scope, or demonstrate a pattern of failing to apply constitutional standards, are flagged in the JI annual report. The JI identifies systemic compliance issues for legislative or SC attention.</w:t>
      </w:r>
    </w:p>
    <w:p>
      <w:pPr>
        <w:spacing w:after="60" w:before="200"/>
        <w:ind w:left="431"/>
        <w:jc w:val="left"/>
      </w:pPr>
      <w:r>
        <w:rPr>
          <w:rFonts w:ascii="Courier New" w:cs="Courier New" w:eastAsia="Courier New" w:hAnsi="Courier New"/>
          <w:b/>
          <w:bCs/>
          <w:color w:val="1B2A4A"/>
          <w:sz w:val="18"/>
          <w:szCs w:val="18"/>
        </w:rPr>
        <w:t xml:space="preserve">§8.4.i  </w:t>
      </w:r>
      <w:r>
        <w:rPr>
          <w:rFonts w:ascii="Garamond" w:cs="Garamond" w:eastAsia="Garamond" w:hAnsi="Garamond"/>
          <w:b/>
          <w:bCs/>
          <w:i w:val="false"/>
          <w:iCs w:val="false"/>
          <w:color w:val="1B2A4A"/>
          <w:sz w:val="22"/>
          <w:szCs w:val="22"/>
        </w:rPr>
        <w:t xml:space="preserve">Gatekeeping Appeal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candidate removed from a ballot by the JI's certification function may appeal to the Appellate Court within 14 days. The Court reviews only whether the JI correctly applied the eligibility criteria. Must rule within 21 days. If the removal is found improper, the candidate is reinstated to the ballot.</w:t>
      </w:r>
    </w:p>
    <w:p>
      <w:pPr>
        <w:spacing w:after="60" w:before="200"/>
        <w:ind w:left="431"/>
        <w:jc w:val="left"/>
      </w:pPr>
      <w:r>
        <w:rPr>
          <w:rFonts w:ascii="Courier New" w:cs="Courier New" w:eastAsia="Courier New" w:hAnsi="Courier New"/>
          <w:b/>
          <w:bCs/>
          <w:color w:val="1B2A4A"/>
          <w:sz w:val="18"/>
          <w:szCs w:val="18"/>
        </w:rPr>
        <w:t xml:space="preserve">§8.5  </w:t>
      </w:r>
      <w:r>
        <w:rPr>
          <w:rFonts w:ascii="Garamond" w:cs="Garamond" w:eastAsia="Garamond" w:hAnsi="Garamond"/>
          <w:b/>
          <w:bCs/>
          <w:i w:val="false"/>
          <w:iCs w:val="false"/>
          <w:color w:val="1B2A4A"/>
          <w:sz w:val="22"/>
          <w:szCs w:val="22"/>
        </w:rPr>
        <w:t xml:space="preserve">Inspector General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Inspector General may be removed only through the mechanisms specified in this section.</w:t>
      </w:r>
    </w:p>
    <w:p>
      <w:pPr>
        <w:spacing w:after="60" w:before="200"/>
        <w:ind w:left="431"/>
        <w:jc w:val="left"/>
      </w:pPr>
      <w:r>
        <w:rPr>
          <w:rFonts w:ascii="Courier New" w:cs="Courier New" w:eastAsia="Courier New" w:hAnsi="Courier New"/>
          <w:b/>
          <w:bCs/>
          <w:color w:val="1B2A4A"/>
          <w:sz w:val="18"/>
          <w:szCs w:val="18"/>
        </w:rPr>
        <w:t xml:space="preserve">§8.5.a  </w:t>
      </w:r>
      <w:r>
        <w:rPr>
          <w:rFonts w:ascii="Garamond" w:cs="Garamond" w:eastAsia="Garamond" w:hAnsi="Garamond"/>
          <w:b/>
          <w:bCs/>
          <w:i w:val="false"/>
          <w:iCs w:val="false"/>
          <w:color w:val="1B2A4A"/>
          <w:sz w:val="22"/>
          <w:szCs w:val="22"/>
        </w:rPr>
        <w:t xml:space="preserve">For-Cause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 Inspector General requires a 2/3 vote of both chambers simultaneously, preceded by a substantiated finding from a State Designee Panel under §8.9.f. Duty suspension triggers upon publication of a substantiated Panel finding, pending the legislative vote and any SC review.</w:t>
      </w:r>
    </w:p>
    <w:p>
      <w:pPr>
        <w:spacing w:after="60" w:before="200"/>
        <w:ind w:left="431"/>
        <w:jc w:val="left"/>
      </w:pPr>
      <w:r>
        <w:rPr>
          <w:rFonts w:ascii="Courier New" w:cs="Courier New" w:eastAsia="Courier New" w:hAnsi="Courier New"/>
          <w:b/>
          <w:bCs/>
          <w:color w:val="1B2A4A"/>
          <w:sz w:val="18"/>
          <w:szCs w:val="18"/>
        </w:rPr>
        <w:t xml:space="preserve">§8.5.b  </w:t>
      </w:r>
      <w:r>
        <w:rPr>
          <w:rFonts w:ascii="Garamond" w:cs="Garamond" w:eastAsia="Garamond" w:hAnsi="Garamond"/>
          <w:b/>
          <w:bCs/>
          <w:i w:val="false"/>
          <w:iCs w:val="false"/>
          <w:color w:val="1B2A4A"/>
          <w:sz w:val="22"/>
          <w:szCs w:val="22"/>
        </w:rPr>
        <w:t xml:space="preserve">No-Cause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IG may be removed without cause by 3/4 of both chambers simultaneously, except the Judicial Inspectorate IG under §8.5.c, whose lottery-based selection makes no-cause removal equivalent to a political veto over the draw result. The higher threshold (3/4 vs 2/3 for cause) ensures no-cause removal is used only when extraordinary circumstances make continued service untenable regardless of conduct.</w:t>
      </w:r>
    </w:p>
    <w:p>
      <w:pPr>
        <w:spacing w:after="60" w:before="200"/>
        <w:ind w:left="431"/>
        <w:jc w:val="left"/>
      </w:pPr>
      <w:r>
        <w:rPr>
          <w:rFonts w:ascii="Courier New" w:cs="Courier New" w:eastAsia="Courier New" w:hAnsi="Courier New"/>
          <w:b/>
          <w:bCs/>
          <w:color w:val="1B2A4A"/>
          <w:sz w:val="18"/>
          <w:szCs w:val="18"/>
        </w:rPr>
        <w:t xml:space="preserve">§8.5.c  </w:t>
      </w:r>
      <w:r>
        <w:rPr>
          <w:rFonts w:ascii="Garamond" w:cs="Garamond" w:eastAsia="Garamond" w:hAnsi="Garamond"/>
          <w:b/>
          <w:bCs/>
          <w:i w:val="false"/>
          <w:iCs w:val="false"/>
          <w:color w:val="1B2A4A"/>
          <w:sz w:val="22"/>
          <w:szCs w:val="22"/>
        </w:rPr>
        <w:t xml:space="preserve">Judicial IG — For-Cause Only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IG may only be removed for cause; no-cause removal is not available. The JI's lottery-based selection and its role in judicial independence oversight makes it the most insulated of the three offices.</w:t>
      </w:r>
    </w:p>
    <w:p>
      <w:pPr>
        <w:spacing w:after="60" w:before="200"/>
        <w:ind w:left="431"/>
        <w:jc w:val="left"/>
      </w:pPr>
      <w:r>
        <w:rPr>
          <w:rFonts w:ascii="Courier New" w:cs="Courier New" w:eastAsia="Courier New" w:hAnsi="Courier New"/>
          <w:b/>
          <w:bCs/>
          <w:color w:val="1B2A4A"/>
          <w:sz w:val="18"/>
          <w:szCs w:val="18"/>
        </w:rPr>
        <w:t xml:space="preserve">§8.6  </w:t>
      </w:r>
      <w:r>
        <w:rPr>
          <w:rFonts w:ascii="Garamond" w:cs="Garamond" w:eastAsia="Garamond" w:hAnsi="Garamond"/>
          <w:b/>
          <w:bCs/>
          <w:i w:val="false"/>
          <w:iCs w:val="false"/>
          <w:color w:val="1B2A4A"/>
          <w:sz w:val="22"/>
          <w:szCs w:val="22"/>
        </w:rPr>
        <w:t xml:space="preserve">Inspectorate Operations and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operate under a shared information-only mandate: they observe, audit, and publish.</w:t>
      </w:r>
    </w:p>
    <w:p>
      <w:pPr>
        <w:spacing w:after="60" w:before="200"/>
        <w:ind w:left="431"/>
        <w:jc w:val="left"/>
      </w:pPr>
      <w:r>
        <w:rPr>
          <w:rFonts w:ascii="Courier New" w:cs="Courier New" w:eastAsia="Courier New" w:hAnsi="Courier New"/>
          <w:b/>
          <w:bCs/>
          <w:color w:val="1B2A4A"/>
          <w:sz w:val="18"/>
          <w:szCs w:val="18"/>
        </w:rPr>
        <w:t xml:space="preserve">§8.6.a  </w:t>
      </w:r>
      <w:r>
        <w:rPr>
          <w:rFonts w:ascii="Garamond" w:cs="Garamond" w:eastAsia="Garamond" w:hAnsi="Garamond"/>
          <w:b/>
          <w:bCs/>
          <w:i w:val="false"/>
          <w:iCs w:val="false"/>
          <w:color w:val="1B2A4A"/>
          <w:sz w:val="22"/>
          <w:szCs w:val="22"/>
        </w:rPr>
        <w:t xml:space="preserve">Information-Only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Inspectorates publish facts; they do not issue binding orders or legal determinations. A finding that a government actor has breached the constitution is a factual statement, not a judgment.</w:t>
      </w:r>
    </w:p>
    <w:p>
      <w:pPr>
        <w:spacing w:after="60" w:before="200"/>
        <w:ind w:left="431"/>
        <w:jc w:val="left"/>
      </w:pPr>
      <w:r>
        <w:rPr>
          <w:rFonts w:ascii="Courier New" w:cs="Courier New" w:eastAsia="Courier New" w:hAnsi="Courier New"/>
          <w:b/>
          <w:bCs/>
          <w:color w:val="1B2A4A"/>
          <w:sz w:val="18"/>
          <w:szCs w:val="18"/>
        </w:rPr>
        <w:t xml:space="preserve">§8.6.b  </w:t>
      </w:r>
      <w:r>
        <w:rPr>
          <w:rFonts w:ascii="Garamond" w:cs="Garamond" w:eastAsia="Garamond" w:hAnsi="Garamond"/>
          <w:b/>
          <w:bCs/>
          <w:i w:val="false"/>
          <w:iCs w:val="false"/>
          <w:color w:val="1B2A4A"/>
          <w:sz w:val="22"/>
          <w:szCs w:val="22"/>
        </w:rPr>
        <w:t xml:space="preserve">NRS Publication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Inspectorate finding, report, and discrepancy notice must be published to the NRS permanently and free of charge. No official may suppress, delay, classify, or alter an Inspectorate Report before publication. The publication requirement is absolute.</w:t>
      </w:r>
    </w:p>
    <w:p>
      <w:pPr>
        <w:spacing w:after="60" w:before="200"/>
        <w:ind w:left="431"/>
        <w:jc w:val="left"/>
      </w:pPr>
      <w:r>
        <w:rPr>
          <w:rFonts w:ascii="Courier New" w:cs="Courier New" w:eastAsia="Courier New" w:hAnsi="Courier New"/>
          <w:b/>
          <w:bCs/>
          <w:color w:val="1B2A4A"/>
          <w:sz w:val="18"/>
          <w:szCs w:val="18"/>
        </w:rPr>
        <w:t xml:space="preserve">§8.6.c  </w:t>
      </w:r>
      <w:r>
        <w:rPr>
          <w:rFonts w:ascii="Garamond" w:cs="Garamond" w:eastAsia="Garamond" w:hAnsi="Garamond"/>
          <w:b/>
          <w:bCs/>
          <w:i w:val="false"/>
          <w:iCs w:val="false"/>
          <w:color w:val="1B2A4A"/>
          <w:sz w:val="22"/>
          <w:szCs w:val="22"/>
        </w:rPr>
        <w:t xml:space="preserve">Minority Reports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staff member may publish a Minority Report directly to the NRS if they believe a finding has been improperly omitted or suppressed by the IG. Staff cannot be disciplined for filing a Minority Report — the protection is absolute. Creates an internal whistleblower mechanism within the Inspectorate's own accountability structure.</w:t>
      </w:r>
    </w:p>
    <w:p>
      <w:pPr>
        <w:spacing w:after="60" w:before="200"/>
        <w:ind w:left="431"/>
        <w:jc w:val="left"/>
      </w:pPr>
      <w:r>
        <w:rPr>
          <w:rFonts w:ascii="Courier New" w:cs="Courier New" w:eastAsia="Courier New" w:hAnsi="Courier New"/>
          <w:b/>
          <w:bCs/>
          <w:color w:val="1B2A4A"/>
          <w:sz w:val="18"/>
          <w:szCs w:val="18"/>
        </w:rPr>
        <w:t xml:space="preserve">§8.6.d  </w:t>
      </w:r>
      <w:r>
        <w:rPr>
          <w:rFonts w:ascii="Garamond" w:cs="Garamond" w:eastAsia="Garamond" w:hAnsi="Garamond"/>
          <w:b/>
          <w:bCs/>
          <w:i w:val="false"/>
          <w:iCs w:val="false"/>
          <w:color w:val="1B2A4A"/>
          <w:sz w:val="22"/>
          <w:szCs w:val="22"/>
        </w:rPr>
        <w:t xml:space="preserve">Classification Exemption for Inspectorate Reports</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 Reports are permanently exempt from classification. If an investigation involves classified material, the Report describes the issue's nature without reproducing classified content and flags it for the relevant executive. The classification exemption is one of the few absolute rules in the constitution — it admits no national security exception.</w:t>
      </w:r>
    </w:p>
    <w:p>
      <w:pPr>
        <w:spacing w:after="60" w:before="200"/>
        <w:ind w:left="431"/>
        <w:jc w:val="left"/>
      </w:pPr>
      <w:r>
        <w:rPr>
          <w:rFonts w:ascii="Courier New" w:cs="Courier New" w:eastAsia="Courier New" w:hAnsi="Courier New"/>
          <w:b/>
          <w:bCs/>
          <w:color w:val="1B2A4A"/>
          <w:sz w:val="18"/>
          <w:szCs w:val="18"/>
        </w:rPr>
        <w:t xml:space="preserve">§8.6.e  </w:t>
      </w:r>
      <w:r>
        <w:rPr>
          <w:rFonts w:ascii="Garamond" w:cs="Garamond" w:eastAsia="Garamond" w:hAnsi="Garamond"/>
          <w:b/>
          <w:bCs/>
          <w:i w:val="false"/>
          <w:iCs w:val="false"/>
          <w:color w:val="1B2A4A"/>
          <w:sz w:val="22"/>
          <w:szCs w:val="22"/>
        </w:rPr>
        <w:t xml:space="preserve">Annual State of the Republic Report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jointly publish an annual report on a constitutionally fixed date, regardless of whether any political actor requests it. Covers compliance rates, investigation summaries, constitutional strains, and a forward-looking risk register. No government actor may delay, suppress, or require advance review.</w:t>
      </w:r>
    </w:p>
    <w:p>
      <w:pPr>
        <w:spacing w:after="60" w:before="200"/>
        <w:ind w:left="431"/>
        <w:jc w:val="left"/>
      </w:pPr>
      <w:r>
        <w:rPr>
          <w:rFonts w:ascii="Courier New" w:cs="Courier New" w:eastAsia="Courier New" w:hAnsi="Courier New"/>
          <w:b/>
          <w:bCs/>
          <w:color w:val="1B2A4A"/>
          <w:sz w:val="18"/>
          <w:szCs w:val="18"/>
        </w:rPr>
        <w:t xml:space="preserve">§8.6.f  </w:t>
      </w:r>
      <w:r>
        <w:rPr>
          <w:rFonts w:ascii="Garamond" w:cs="Garamond" w:eastAsia="Garamond" w:hAnsi="Garamond"/>
          <w:b/>
          <w:bCs/>
          <w:i w:val="false"/>
          <w:iCs w:val="false"/>
          <w:color w:val="1B2A4A"/>
          <w:sz w:val="22"/>
          <w:szCs w:val="22"/>
        </w:rPr>
        <w:t xml:space="preserve">Joint Investigation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compliance question spans multiple Inspectorate mandates, the Inspectorates may conduct a joint investigation. Joint findings are published as a combined report. Neither IG may veto the other's contribution to a joint finding.</w:t>
      </w:r>
    </w:p>
    <w:p>
      <w:pPr>
        <w:spacing w:after="60" w:before="200"/>
        <w:ind w:left="431"/>
        <w:jc w:val="left"/>
      </w:pPr>
      <w:r>
        <w:rPr>
          <w:rFonts w:ascii="Courier New" w:cs="Courier New" w:eastAsia="Courier New" w:hAnsi="Courier New"/>
          <w:b/>
          <w:bCs/>
          <w:color w:val="1B2A4A"/>
          <w:sz w:val="18"/>
          <w:szCs w:val="18"/>
        </w:rPr>
        <w:t xml:space="preserve">§8.6.g  </w:t>
      </w:r>
      <w:r>
        <w:rPr>
          <w:rFonts w:ascii="Garamond" w:cs="Garamond" w:eastAsia="Garamond" w:hAnsi="Garamond"/>
          <w:b/>
          <w:bCs/>
          <w:i w:val="false"/>
          <w:iCs w:val="false"/>
          <w:color w:val="1B2A4A"/>
          <w:sz w:val="22"/>
          <w:szCs w:val="22"/>
        </w:rPr>
        <w:t xml:space="preserve">Investigative Access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have unrestricted access to records, personnel, facilities, and systems within their audit mandate. No official may obstruct, delay, or impede an Inspectorate investigation. Obstruction is a constitutional breach reportable by the affected Inspectorate to the NRS.</w:t>
      </w:r>
    </w:p>
    <w:p>
      <w:pPr>
        <w:spacing w:after="60" w:before="200"/>
        <w:ind w:left="431"/>
        <w:jc w:val="left"/>
      </w:pPr>
      <w:r>
        <w:rPr>
          <w:rFonts w:ascii="Courier New" w:cs="Courier New" w:eastAsia="Courier New" w:hAnsi="Courier New"/>
          <w:b/>
          <w:bCs/>
          <w:color w:val="1B2A4A"/>
          <w:sz w:val="18"/>
          <w:szCs w:val="18"/>
        </w:rPr>
        <w:t xml:space="preserve">§8.7  </w:t>
      </w:r>
      <w:r>
        <w:rPr>
          <w:rFonts w:ascii="Garamond" w:cs="Garamond" w:eastAsia="Garamond" w:hAnsi="Garamond"/>
          <w:b/>
          <w:bCs/>
          <w:i w:val="false"/>
          <w:iCs w:val="false"/>
          <w:color w:val="1B2A4A"/>
          <w:sz w:val="22"/>
          <w:szCs w:val="22"/>
        </w:rPr>
        <w:t xml:space="preserve">Triggered Investigations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may investigate a constitutional officer for dereliction: failure to perform a constitutionally mandated function. Dereliction is distinct from breach — breach is doing something unconstitutional, dereliction is failing to do something constitutionally required. The EI publishes its dereliction findings to the NRS.</w:t>
      </w:r>
    </w:p>
    <w:p>
      <w:pPr>
        <w:spacing w:after="60" w:before="200"/>
        <w:ind w:left="431"/>
        <w:jc w:val="left"/>
      </w:pPr>
      <w:r>
        <w:rPr>
          <w:rFonts w:ascii="Courier New" w:cs="Courier New" w:eastAsia="Courier New" w:hAnsi="Courier New"/>
          <w:b/>
          <w:bCs/>
          <w:color w:val="1B2A4A"/>
          <w:sz w:val="18"/>
          <w:szCs w:val="18"/>
        </w:rPr>
        <w:t xml:space="preserve">§8.7.a  </w:t>
      </w:r>
      <w:r>
        <w:rPr>
          <w:rFonts w:ascii="Garamond" w:cs="Garamond" w:eastAsia="Garamond" w:hAnsi="Garamond"/>
          <w:b/>
          <w:bCs/>
          <w:i w:val="false"/>
          <w:iCs w:val="false"/>
          <w:color w:val="1B2A4A"/>
          <w:sz w:val="22"/>
          <w:szCs w:val="22"/>
        </w:rPr>
        <w:t xml:space="preserve">Official Trigger</w:t>
      </w:r>
    </w:p>
    <w:p>
      <w:pPr>
        <w:spacing w:after="120" w:before="0"/>
        <w:ind w:left="431"/>
        <w:jc w:val="both"/>
      </w:pPr>
      <w:r>
        <w:rPr>
          <w:rFonts w:ascii="Garamond" w:cs="Garamond" w:eastAsia="Garamond" w:hAnsi="Garamond"/>
          <w:b w:val="false"/>
          <w:bCs w:val="false"/>
          <w:i w:val="false"/>
          <w:iCs w:val="false"/>
          <w:color w:val="2a2520"/>
          <w:sz w:val="22"/>
          <w:szCs w:val="22"/>
        </w:rPr>
        <w:t xml:space="preserve">Dereliction requires: (a) the constitutional function is clearly established; (b) the officer failed to perform it within the constitutionally required period; and (c) the failure was not caused by circumstances genuinely beyond the officer's control. Political disagreement with a constitutional requirement is not a defense.</w:t>
      </w:r>
    </w:p>
    <w:p>
      <w:pPr>
        <w:spacing w:after="60" w:before="200"/>
        <w:ind w:left="431"/>
        <w:jc w:val="left"/>
      </w:pPr>
      <w:r>
        <w:rPr>
          <w:rFonts w:ascii="Courier New" w:cs="Courier New" w:eastAsia="Courier New" w:hAnsi="Courier New"/>
          <w:b/>
          <w:bCs/>
          <w:color w:val="1B2A4A"/>
          <w:sz w:val="18"/>
          <w:szCs w:val="18"/>
        </w:rPr>
        <w:t xml:space="preserve">§8.8  </w:t>
      </w:r>
      <w:r>
        <w:rPr>
          <w:rFonts w:ascii="Garamond" w:cs="Garamond" w:eastAsia="Garamond" w:hAnsi="Garamond"/>
          <w:b/>
          <w:bCs/>
          <w:i w:val="false"/>
          <w:iCs w:val="false"/>
          <w:color w:val="1B2A4A"/>
          <w:sz w:val="22"/>
          <w:szCs w:val="22"/>
        </w:rPr>
        <w:t xml:space="preserve">EI Annual Military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dedicated section within the EI's annual report covering: whether military operations in the prior year were authorized through the correct Tier; whether the §1.30.d Intelligence Firewall was maintained; whether PM fund certifications were obtained and observed; whether the 48-hour NRS publication requirement was met for all military orders.</w:t>
      </w:r>
    </w:p>
    <w:p>
      <w:pPr>
        <w:spacing w:after="60" w:before="200"/>
        <w:ind w:left="431"/>
        <w:jc w:val="left"/>
      </w:pPr>
      <w:r>
        <w:rPr>
          <w:rFonts w:ascii="Courier New" w:cs="Courier New" w:eastAsia="Courier New" w:hAnsi="Courier New"/>
          <w:b/>
          <w:bCs/>
          <w:color w:val="1B2A4A"/>
          <w:sz w:val="18"/>
          <w:szCs w:val="18"/>
        </w:rPr>
        <w:t xml:space="preserve">§8.9  </w:t>
      </w:r>
      <w:r>
        <w:rPr>
          <w:rFonts w:ascii="Garamond" w:cs="Garamond" w:eastAsia="Garamond" w:hAnsi="Garamond"/>
          <w:b/>
          <w:bCs/>
          <w:i w:val="false"/>
          <w:iCs w:val="false"/>
          <w:color w:val="1B2A4A"/>
          <w:sz w:val="22"/>
          <w:szCs w:val="22"/>
        </w:rPr>
        <w:t xml:space="preserve">State Designee Panel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State Designee Panel is a verification body constituted per proceeding whose sole constitutional function is to assess, prior to any qualifying For-Cause removal vote by the Legislature, whether the stated grounds for removal are substantiated within the enumerated constitutional categories. The Panel publishes a binary finding — grounds substantiated or grounds unsubstantiated — and the Legislature may proceed to any removal vote regardless of the finding's direction. The Panel has no investigative authority and no institutional presence outside of active proceedings. It is a verification body, not a court.</w:t>
      </w:r>
    </w:p>
    <w:p>
      <w:pPr>
        <w:spacing w:after="60" w:before="200"/>
        <w:ind w:left="431"/>
        <w:jc w:val="left"/>
      </w:pPr>
      <w:r>
        <w:rPr>
          <w:rFonts w:ascii="Courier New" w:cs="Courier New" w:eastAsia="Courier New" w:hAnsi="Courier New"/>
          <w:b/>
          <w:bCs/>
          <w:color w:val="1B2A4A"/>
          <w:sz w:val="18"/>
          <w:szCs w:val="18"/>
        </w:rPr>
        <w:t xml:space="preserve">§8.9.a  </w:t>
      </w:r>
      <w:r>
        <w:rPr>
          <w:rFonts w:ascii="Garamond" w:cs="Garamond" w:eastAsia="Garamond" w:hAnsi="Garamond"/>
          <w:b/>
          <w:bCs/>
          <w:i w:val="false"/>
          <w:iCs w:val="false"/>
          <w:color w:val="1B2A4A"/>
          <w:sz w:val="22"/>
          <w:szCs w:val="22"/>
        </w:rPr>
        <w:t xml:space="preserve">State Designee Pools</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maintains a standing State Designee Pool. Any Republic citizen may be placed into a State's Pool through that State's own constitutional or statutory process, provided they meet the following eligibility requirements at the time of entry: (1) at least five continuous years of Republic citizenship; (2) no current federal elected or appointed office; (3) no federal elected or appointed office held within the three years prior to pool entry; (4) no pending federal criminal proceedings; (5) no current service in any Panel constituted under this Article. Pool membership is a public record maintained on the NRS by the LI. A member whose position is extinguished upon completing service in a proceeding may be re-added to the pool by their State in any subsequent calendar year within the annual addition cap.</w:t>
      </w:r>
    </w:p>
    <w:p>
      <w:pPr>
        <w:spacing w:after="60" w:before="200"/>
        <w:ind w:left="431"/>
        <w:jc w:val="left"/>
      </w:pPr>
      <w:r>
        <w:rPr>
          <w:rFonts w:ascii="Courier New" w:cs="Courier New" w:eastAsia="Courier New" w:hAnsi="Courier New"/>
          <w:b/>
          <w:bCs/>
          <w:color w:val="1B2A4A"/>
          <w:sz w:val="18"/>
          <w:szCs w:val="18"/>
        </w:rPr>
        <w:t xml:space="preserve">§8.9.b  </w:t>
      </w:r>
      <w:r>
        <w:rPr>
          <w:rFonts w:ascii="Garamond" w:cs="Garamond" w:eastAsia="Garamond" w:hAnsi="Garamond"/>
          <w:b/>
          <w:bCs/>
          <w:i w:val="false"/>
          <w:iCs w:val="false"/>
          <w:color w:val="1B2A4A"/>
          <w:sz w:val="22"/>
          <w:szCs w:val="22"/>
        </w:rPr>
        <w:t xml:space="preserve">Designee Pool Annual Addition Cap</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may add no more than five entrants to its Pool per calendar year. Unused addition slots do not carry forward; a year with fewer than five additions simply has fewer, and unused capacity is permanently lost. If a pool member voluntarily withdraws, becomes ineligible, or is drawn to serve in a proceeding, their position is extinguished and not replaced outside of the normal annual addition process and the mandatory designation provision of §8.9.b.i.</w:t>
      </w:r>
    </w:p>
    <w:p>
      <w:pPr>
        <w:spacing w:after="60" w:before="200"/>
        <w:ind w:left="431"/>
        <w:jc w:val="left"/>
      </w:pPr>
      <w:r>
        <w:rPr>
          <w:rFonts w:ascii="Courier New" w:cs="Courier New" w:eastAsia="Courier New" w:hAnsi="Courier New"/>
          <w:b/>
          <w:bCs/>
          <w:color w:val="1B2A4A"/>
          <w:sz w:val="18"/>
          <w:szCs w:val="18"/>
        </w:rPr>
        <w:t xml:space="preserve">§8.9.b.i  </w:t>
      </w:r>
      <w:r>
        <w:rPr>
          <w:rFonts w:ascii="Garamond" w:cs="Garamond" w:eastAsia="Garamond" w:hAnsi="Garamond"/>
          <w:b/>
          <w:bCs/>
          <w:i w:val="false"/>
          <w:iCs w:val="false"/>
          <w:color w:val="1B2A4A"/>
          <w:sz w:val="22"/>
          <w:szCs w:val="22"/>
        </w:rPr>
        <w:t xml:space="preserve">Mandatory State Designation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combined national pool contains fewer than thirty eligible members at the time any proceeding is activated, or if any State has made zero additions to its Pool for three or more consecutive calendar years and its Pool contains fewer than two eligible members, the JI issues a Mandatory Designation Notice to each State meeting either condition. Each notified State must designate one eligible person to its Pool within ten days of the notice. Designated persons must meet all eligibility requirements of §8.9.a; the mandatory designation process does not lower the eligibility standard. Mandatory designations are not subject to the annual addition cap of §8.9.b and do not consume a voluntary addition slot. Failure to make a mandatory designation within the required period is a constitutional compliance failure flagged by the LI in the annual State of the Republic Report and in a standalone NRS notice. The EI assumes mandatory designation oversight when an LI IG removal proceeding is the triggering event.</w:t>
      </w:r>
    </w:p>
    <w:p>
      <w:pPr>
        <w:spacing w:after="60" w:before="200"/>
        <w:ind w:left="431"/>
        <w:jc w:val="left"/>
      </w:pPr>
      <w:r>
        <w:rPr>
          <w:rFonts w:ascii="Courier New" w:cs="Courier New" w:eastAsia="Courier New" w:hAnsi="Courier New"/>
          <w:b/>
          <w:bCs/>
          <w:color w:val="1B2A4A"/>
          <w:sz w:val="18"/>
          <w:szCs w:val="18"/>
        </w:rPr>
        <w:t xml:space="preserve">§8.9.c  </w:t>
      </w:r>
      <w:r>
        <w:rPr>
          <w:rFonts w:ascii="Garamond" w:cs="Garamond" w:eastAsia="Garamond" w:hAnsi="Garamond"/>
          <w:b/>
          <w:bCs/>
          <w:i w:val="false"/>
          <w:iCs w:val="false"/>
          <w:color w:val="1B2A4A"/>
          <w:sz w:val="22"/>
          <w:szCs w:val="22"/>
        </w:rPr>
        <w:t xml:space="preserve">Pool Monitoring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monitors each State's Pool and publishes an annual Pool Status Report to the NRS. If any State's Pool falls below two eligible entrants, the LI publishes a Pool Health Notice — advisory, not compulsory. If the combined national pool falls below twenty eligible members at the time any proceeding is activated, the LI must convene an emergency pool-health session with State governments and publish its findings to the NRS within 30 days. A State's failure to maintain a pool is not a constitutional violation but is flagged in the annual State of the Republic Report. Exception: when an LI IG removal proceeding is active, the EI assumes pool monitoring duties for the duration of that proceeding.</w:t>
      </w:r>
    </w:p>
    <w:p>
      <w:pPr>
        <w:spacing w:after="60" w:before="200"/>
        <w:ind w:left="431"/>
        <w:jc w:val="left"/>
      </w:pPr>
      <w:r>
        <w:rPr>
          <w:rFonts w:ascii="Courier New" w:cs="Courier New" w:eastAsia="Courier New" w:hAnsi="Courier New"/>
          <w:b/>
          <w:bCs/>
          <w:color w:val="1B2A4A"/>
          <w:sz w:val="18"/>
          <w:szCs w:val="18"/>
        </w:rPr>
        <w:t xml:space="preserve">§8.9.d  </w:t>
      </w:r>
      <w:r>
        <w:rPr>
          <w:rFonts w:ascii="Garamond" w:cs="Garamond" w:eastAsia="Garamond" w:hAnsi="Garamond"/>
          <w:b/>
          <w:bCs/>
          <w:i w:val="false"/>
          <w:iCs w:val="false"/>
          <w:color w:val="1B2A4A"/>
          <w:sz w:val="22"/>
          <w:szCs w:val="22"/>
        </w:rPr>
        <w:t xml:space="preserve">Panel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Upon activation of a qualifying proceeding under §8.9.f, the JI constitutes the State Designee Panel by public lottery within five days of activation. The JI draws five members by lot from the combined national eligible pool — all State pools aggregated — plus two alternates, in a single session certified jointly by all three Inspectorates. The session may be conducted remotely under parameters set by statute. The full draw is recorded to the NRS in real time. Drawn members must accept or decline service within 48 hours of notification; a member who declines is replaced by the first available alternate in the order drawn. If both alternates are exhausted before five members have accepted, the JI conducts a supplemental draw from the remaining eligible pool by the same procedure. The Panel is constituted for the duration of the proceeding and dissolves upon publication of the finding under §8.9.h.</w:t>
      </w:r>
    </w:p>
    <w:p>
      <w:pPr>
        <w:spacing w:after="60" w:before="200"/>
        <w:ind w:left="431"/>
        <w:jc w:val="left"/>
      </w:pPr>
      <w:r>
        <w:rPr>
          <w:rFonts w:ascii="Courier New" w:cs="Courier New" w:eastAsia="Courier New" w:hAnsi="Courier New"/>
          <w:b/>
          <w:bCs/>
          <w:color w:val="1B2A4A"/>
          <w:sz w:val="18"/>
          <w:szCs w:val="18"/>
        </w:rPr>
        <w:t xml:space="preserve">§8.9.d.i  </w:t>
      </w:r>
      <w:r>
        <w:rPr>
          <w:rFonts w:ascii="Garamond" w:cs="Garamond" w:eastAsia="Garamond" w:hAnsi="Garamond"/>
          <w:b/>
          <w:bCs/>
          <w:i w:val="false"/>
          <w:iCs w:val="false"/>
          <w:color w:val="1B2A4A"/>
          <w:sz w:val="22"/>
          <w:szCs w:val="22"/>
        </w:rPr>
        <w:t xml:space="preserve">Draw Challenge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named officer subject to the proceeding, or the initiating body, may challenge a drawn member within 48 hours of NRS publication of the draw on grounds of a documented relationship or conflict of interest impairing impartiality. The JI rules on any challenge within 48 hours of filing. If sustained, the challenged member's seat is filled by the first available alternate in the order drawn; if no alternate remains, a supplemental draw is conducted. The 21-day review clock under §8.9.f is suspended during any pending challenge and resumes from the point of suspension upon JI ruling. No challenge may be filed solely on grounds of the member's State of origin, professional background, or prior pool membership.</w:t>
      </w:r>
    </w:p>
    <w:p>
      <w:pPr>
        <w:spacing w:after="60" w:before="200"/>
        <w:ind w:left="431"/>
        <w:jc w:val="left"/>
      </w:pPr>
      <w:r>
        <w:rPr>
          <w:rFonts w:ascii="Courier New" w:cs="Courier New" w:eastAsia="Courier New" w:hAnsi="Courier New"/>
          <w:b/>
          <w:bCs/>
          <w:color w:val="1B2A4A"/>
          <w:sz w:val="18"/>
          <w:szCs w:val="18"/>
        </w:rPr>
        <w:t xml:space="preserve">§8.9.e  </w:t>
      </w:r>
      <w:r>
        <w:rPr>
          <w:rFonts w:ascii="Garamond" w:cs="Garamond" w:eastAsia="Garamond" w:hAnsi="Garamond"/>
          <w:b/>
          <w:bCs/>
          <w:i w:val="false"/>
          <w:iCs w:val="false"/>
          <w:color w:val="1B2A4A"/>
          <w:sz w:val="22"/>
          <w:szCs w:val="22"/>
        </w:rPr>
        <w:t xml:space="preserve">Ongoing Eligibility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From the date a member accepts service through the date the Panel's finding is published, Panel members may not: assume any federal elected or appointed position; serve as retained legal counsel in any federal proceeding involving the Legislature, either executive, or any Inspectorate; or accept appointment to any State government executive position above the level of department director. Assumption of a disqualifying position extinguishes the seat; the first available alternate fills it in the order established at draw. A member may recuse themselves at any time; recusal extinguishes the seat without replacement beyond the available alternates.</w:t>
      </w:r>
    </w:p>
    <w:p>
      <w:pPr>
        <w:spacing w:after="60" w:before="200"/>
        <w:ind w:left="431"/>
        <w:jc w:val="left"/>
      </w:pPr>
      <w:r>
        <w:rPr>
          <w:rFonts w:ascii="Courier New" w:cs="Courier New" w:eastAsia="Courier New" w:hAnsi="Courier New"/>
          <w:b/>
          <w:bCs/>
          <w:color w:val="1B2A4A"/>
          <w:sz w:val="18"/>
          <w:szCs w:val="18"/>
        </w:rPr>
        <w:t xml:space="preserve">§8.9.f  </w:t>
      </w:r>
      <w:r>
        <w:rPr>
          <w:rFonts w:ascii="Garamond" w:cs="Garamond" w:eastAsia="Garamond" w:hAnsi="Garamond"/>
          <w:b/>
          <w:bCs/>
          <w:i w:val="false"/>
          <w:iCs w:val="false"/>
          <w:color w:val="1B2A4A"/>
          <w:sz w:val="22"/>
          <w:szCs w:val="22"/>
        </w:rPr>
        <w:t xml:space="preserve">Activation and Meeting Parameters</w:t>
      </w:r>
    </w:p>
    <w:p>
      <w:pPr>
        <w:spacing w:after="120" w:before="0"/>
        <w:ind w:left="431"/>
        <w:jc w:val="both"/>
      </w:pPr>
      <w:r>
        <w:rPr>
          <w:rFonts w:ascii="Garamond" w:cs="Garamond" w:eastAsia="Garamond" w:hAnsi="Garamond"/>
          <w:b w:val="false"/>
          <w:bCs w:val="false"/>
          <w:i w:val="false"/>
          <w:iCs w:val="false"/>
          <w:color w:val="2a2520"/>
          <w:sz w:val="22"/>
          <w:szCs w:val="22"/>
        </w:rPr>
        <w:t xml:space="preserve">A qualifying proceeding is initiated when the initiating body transmits the stated grounds and supporting documentary record to the JI, triggering the draw under §8.9.d. The 21-day review clock begins from the date the Panel is fully constituted — five members having accepted service and any draw challenges under §8.9.d.i having been resolved. The Legislature sets by statute the parameters under which the Panel conducts its review, including: authorization of and requirements for remote participation; quorum and voting requirements; secure platform specifications; and any other operational parameters. The Legislature may not set parameters that prevent effective deliberation or impose undue burden on members. The Panel may request additional documentary submissions from the initiating body within the first seven days of the review period; this does not extend the 21-day deadline. No submission received after day seven is required to be considered.</w:t>
      </w:r>
    </w:p>
    <w:p>
      <w:pPr>
        <w:spacing w:after="60" w:before="200"/>
        <w:ind w:left="431"/>
        <w:jc w:val="left"/>
      </w:pPr>
      <w:r>
        <w:rPr>
          <w:rFonts w:ascii="Courier New" w:cs="Courier New" w:eastAsia="Courier New" w:hAnsi="Courier New"/>
          <w:b/>
          <w:bCs/>
          <w:color w:val="1B2A4A"/>
          <w:sz w:val="18"/>
          <w:szCs w:val="18"/>
        </w:rPr>
        <w:t xml:space="preserve">§8.9.g  </w:t>
      </w:r>
      <w:r>
        <w:rPr>
          <w:rFonts w:ascii="Garamond" w:cs="Garamond" w:eastAsia="Garamond" w:hAnsi="Garamond"/>
          <w:b/>
          <w:bCs/>
          <w:i w:val="false"/>
          <w:iCs w:val="false"/>
          <w:color w:val="1B2A4A"/>
          <w:sz w:val="22"/>
          <w:szCs w:val="22"/>
        </w:rPr>
        <w:t xml:space="preserve">Scope of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Panel's review is categorical and bounded. The Panel determines only whether the stated grounds, as documented in the submitted record, constitute at least one of the enumerated constitutional categories for For-Cause removal applicable to the subject office. The Panel does not: independently investigate or gather evidence beyond the submitted record; assess the credibility of any witness or document; weigh competing factual accounts; evaluate whether removal is warranted as a policy matter; or issue any order, direction, or recommendation beyond the binary finding. The published finding states the conclusion and identifies which constitutional category or categories it finds present or absent in the submitted record.</w:t>
      </w:r>
    </w:p>
    <w:p>
      <w:pPr>
        <w:spacing w:after="60" w:before="200"/>
        <w:ind w:left="431"/>
        <w:jc w:val="left"/>
      </w:pPr>
      <w:r>
        <w:rPr>
          <w:rFonts w:ascii="Courier New" w:cs="Courier New" w:eastAsia="Courier New" w:hAnsi="Courier New"/>
          <w:b/>
          <w:bCs/>
          <w:color w:val="1B2A4A"/>
          <w:sz w:val="18"/>
          <w:szCs w:val="18"/>
        </w:rPr>
        <w:t xml:space="preserve">§8.9.h  </w:t>
      </w:r>
      <w:r>
        <w:rPr>
          <w:rFonts w:ascii="Garamond" w:cs="Garamond" w:eastAsia="Garamond" w:hAnsi="Garamond"/>
          <w:b/>
          <w:bCs/>
          <w:i w:val="false"/>
          <w:iCs w:val="false"/>
          <w:color w:val="1B2A4A"/>
          <w:sz w:val="22"/>
          <w:szCs w:val="22"/>
        </w:rPr>
        <w:t xml:space="preserve">Effect of Finding</w:t>
      </w:r>
    </w:p>
    <w:p>
      <w:pPr>
        <w:spacing w:after="120" w:before="0"/>
        <w:ind w:left="431"/>
        <w:jc w:val="both"/>
      </w:pPr>
      <w:r>
        <w:rPr>
          <w:rFonts w:ascii="Garamond" w:cs="Garamond" w:eastAsia="Garamond" w:hAnsi="Garamond"/>
          <w:b w:val="false"/>
          <w:bCs w:val="false"/>
          <w:i w:val="false"/>
          <w:iCs w:val="false"/>
          <w:color w:val="2a2520"/>
          <w:sz w:val="22"/>
          <w:szCs w:val="22"/>
        </w:rPr>
        <w:t xml:space="preserve">A finding of grounds substantiated: constitutes the condition precedent that authorizes the Legislature to proceed to a For-Cause removal vote at the applicable threshold; triggers the duty-suspension provisions of §8.5.a or §16.2.a as applicable; and is published permanently to the NRS alongside any subsequent legislative vote. A finding of grounds unsubstantiated: does not bar the Legislature from proceeding to a removal vote; is published permanently to the NRS alongside any subsequent legislative vote; and constitutes no legal determination as to the truth or falsity of the stated grounds. All constitutional voting thresholds for removal remain in effect regardless of the Panel's finding.</w:t>
      </w:r>
    </w:p>
    <w:p>
      <w:pPr>
        <w:spacing w:after="60" w:before="200"/>
        <w:ind w:left="431"/>
        <w:jc w:val="left"/>
      </w:pPr>
      <w:r>
        <w:rPr>
          <w:rFonts w:ascii="Courier New" w:cs="Courier New" w:eastAsia="Courier New" w:hAnsi="Courier New"/>
          <w:b/>
          <w:bCs/>
          <w:color w:val="1B2A4A"/>
          <w:sz w:val="18"/>
          <w:szCs w:val="18"/>
        </w:rPr>
        <w:t xml:space="preserve">§8.9.i  </w:t>
      </w:r>
      <w:r>
        <w:rPr>
          <w:rFonts w:ascii="Garamond" w:cs="Garamond" w:eastAsia="Garamond" w:hAnsi="Garamond"/>
          <w:b/>
          <w:bCs/>
          <w:i w:val="false"/>
          <w:iCs w:val="false"/>
          <w:color w:val="1B2A4A"/>
          <w:sz w:val="22"/>
          <w:szCs w:val="22"/>
        </w:rPr>
        <w:t xml:space="preserve">SC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Any named officer subject to a Panel finding may petition the Supreme Court for review within 14 days of NRS publication. The Court reviews only whether the Panel correctly applied the constitutional categories to the submitted record — it does not review the substance of the underlying grounds, the adequacy of the documentary record, or any subsequent legislative vote. A petition does not automatically stay a duty-suspension triggered by a substantiated finding; the Court may grant a temporary stay on a showing of probable constitutional error in the Panel's categorical determination. The Court must rule within 21 days of the petition. If the Court finds the Panel's determination constitutionally erroneous, the proceeding returns to the Panel for a corrected determination; the Legislature may not vote until the corrected determination is published.</w:t>
      </w:r>
    </w:p>
    <w:p>
      <w:pPr>
        <w:spacing w:after="60" w:before="200"/>
        <w:ind w:left="431"/>
        <w:jc w:val="left"/>
      </w:pPr>
      <w:r>
        <w:rPr>
          <w:rFonts w:ascii="Courier New" w:cs="Courier New" w:eastAsia="Courier New" w:hAnsi="Courier New"/>
          <w:b/>
          <w:bCs/>
          <w:color w:val="1B2A4A"/>
          <w:sz w:val="18"/>
          <w:szCs w:val="18"/>
        </w:rPr>
        <w:t xml:space="preserve">§8.9.j  </w:t>
      </w:r>
      <w:r>
        <w:rPr>
          <w:rFonts w:ascii="Garamond" w:cs="Garamond" w:eastAsia="Garamond" w:hAnsi="Garamond"/>
          <w:b/>
          <w:bCs/>
          <w:i w:val="false"/>
          <w:iCs w:val="false"/>
          <w:color w:val="1B2A4A"/>
          <w:sz w:val="22"/>
          <w:szCs w:val="22"/>
        </w:rPr>
        <w:t xml:space="preserve">Compensation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Panel members receive no compensation for pool membership. Members receive service-day compensation for each day of active service during a constituted proceeding, from the date of acceptance through the date of finding publication. Rates and any remote service equivalencies are set by statute. The member's State pays the service-day compensation; the federal government reimburses each State for compensation paid to its drawn member. Service-day records and compensation amounts are published to the NRS alongside each Panel finding.</w:t>
      </w:r>
    </w:p>
    <w:p>
      <w:pPr>
        <w:spacing w:after="60" w:before="200"/>
        <w:ind w:left="431"/>
        <w:jc w:val="left"/>
      </w:pPr>
      <w:r>
        <w:rPr>
          <w:rFonts w:ascii="Courier New" w:cs="Courier New" w:eastAsia="Courier New" w:hAnsi="Courier New"/>
          <w:b/>
          <w:bCs/>
          <w:color w:val="1B2A4A"/>
          <w:sz w:val="18"/>
          <w:szCs w:val="18"/>
        </w:rPr>
        <w:t xml:space="preserve">§8.10  </w:t>
      </w:r>
      <w:r>
        <w:rPr>
          <w:rFonts w:ascii="Garamond" w:cs="Garamond" w:eastAsia="Garamond" w:hAnsi="Garamond"/>
          <w:b/>
          <w:bCs/>
          <w:i w:val="false"/>
          <w:iCs w:val="false"/>
          <w:color w:val="1B2A4A"/>
          <w:sz w:val="22"/>
          <w:szCs w:val="22"/>
        </w:rPr>
        <w:t xml:space="preserve">Inspectorate Minimum Funding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appropriation for each Inspectorate may not fall below the prior fiscal year's funding level without a 2/3 vote of both chambers simultaneously. This floor ensures that Inspectorate independence cannot be undermined through budgetary attrition by the branches they audit. The Monetary Authority certifies each Inspectorate's prior-year funding level annually and publishes the certified floor to the NRS before the Legislature begins its annual budget process.</w:t>
      </w:r>
    </w:p>
    <w:p>
      <w:pPr>
        <w:spacing w:after="60" w:before="200"/>
        <w:ind w:left="431"/>
        <w:jc w:val="left"/>
      </w:pPr>
      <w:r>
        <w:rPr>
          <w:rFonts w:ascii="Courier New" w:cs="Courier New" w:eastAsia="Courier New" w:hAnsi="Courier New"/>
          <w:b/>
          <w:bCs/>
          <w:color w:val="1B2A4A"/>
          <w:sz w:val="18"/>
          <w:szCs w:val="18"/>
        </w:rPr>
        <w:t xml:space="preserve">§8.11  </w:t>
      </w:r>
      <w:r>
        <w:rPr>
          <w:rFonts w:ascii="Garamond" w:cs="Garamond" w:eastAsia="Garamond" w:hAnsi="Garamond"/>
          <w:b/>
          <w:bCs/>
          <w:i w:val="false"/>
          <w:iCs w:val="false"/>
          <w:color w:val="1B2A4A"/>
          <w:sz w:val="22"/>
          <w:szCs w:val="22"/>
        </w:rPr>
        <w:t xml:space="preserve">Eighth-Year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eight years from the date of full constitutional operation, the three Inspectorates jointly assess the performance of the constitutional framework across all domains: (1) enforcement of Article I rights across all States, Territories, and compact jurisdictions; (2) functioning of the Inspectorate reporting mechanism and adequacy of Judicial Inspectorate mandate scope relative to operational capacity; (3) compliance with fiscal obligations and whether the BNF is meeting the §10.1.b adequacy standard across all five §10.1.c categories; (4) completeness of military subordination to constitutional authority; (5) comprehensiveness of NRS coverage, node distribution, and cryptographic integrity; and (6) health of the constitutional pool and lottery selection mechanisms under §7.2.c, §8.9, and §9.3, including State participation rates and pool depth. The assessment is published to the NRS and transmitted to both chambers of the Legislature. Findings are classified by severity: No Finding, Deficiency, or Critical Failure. The Legislature must respond within 90 days. For a No Finding: acknowledgment is sufficient. For a Deficiency: the Legislature must publish a remediation plan specifying actions and timelines; acknowledgment without a plan is a constitutional compliance breach certified by the LI. For a Critical Failure: the Legislature must publish a remediation plan and any member of either chamber may petition the SC to determine whether the failure constitutes a constitutional breach requiring judicial remedy. Findings, responses, and remediation plans form a permanent longitudinal record of constitutional performance published to the NRS.</w:t>
      </w:r>
    </w:p>
    <w:p>
      <w:pPr>
        <w:spacing w:after="60" w:before="200"/>
        <w:jc w:val="left"/>
      </w:pPr>
      <w:r>
        <w:rPr>
          <w:rFonts w:ascii="Garamond" w:cs="Garamond" w:eastAsia="Garamond" w:hAnsi="Garamond"/>
          <w:b/>
          <w:bCs/>
          <w:i w:val="false"/>
          <w:iCs w:val="false"/>
          <w:color w:val="1B2A4A"/>
          <w:sz w:val="34"/>
          <w:szCs w:val="34"/>
        </w:rPr>
        <w:t xml:space="preserve">Article IX — The National Record System</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§9.1  </w:t>
      </w:r>
      <w:r>
        <w:rPr>
          <w:rFonts w:ascii="Garamond" w:cs="Garamond" w:eastAsia="Garamond" w:hAnsi="Garamond"/>
          <w:b/>
          <w:bCs/>
          <w:i w:val="false"/>
          <w:iCs w:val="false"/>
          <w:color w:val="1B2A4A"/>
          <w:sz w:val="22"/>
          <w:szCs w:val="22"/>
        </w:rPr>
        <w:t xml:space="preserve">NRS Properties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the permanent, tamper-evident public record of the Republic — freely accessible to every Inhabitant at no cost. Every government act required to be published must appear on the NRS before it takes legal effect. An act not on the NRS is constitutionally suspect. The NRS is not a government convenience — it is the mechanism by which Inhabitants verify that government acts exist and what they say.</w:t>
      </w:r>
    </w:p>
    <w:p>
      <w:pPr>
        <w:spacing w:after="60" w:before="200"/>
        <w:ind w:left="431"/>
        <w:jc w:val="left"/>
      </w:pPr>
      <w:r>
        <w:rPr>
          <w:rFonts w:ascii="Courier New" w:cs="Courier New" w:eastAsia="Courier New" w:hAnsi="Courier New"/>
          <w:b/>
          <w:bCs/>
          <w:color w:val="1B2A4A"/>
          <w:sz w:val="18"/>
          <w:szCs w:val="18"/>
        </w:rPr>
        <w:t xml:space="preserve">§9.1.a  </w:t>
      </w:r>
      <w:r>
        <w:rPr>
          <w:rFonts w:ascii="Garamond" w:cs="Garamond" w:eastAsia="Garamond" w:hAnsi="Garamond"/>
          <w:b/>
          <w:bCs/>
          <w:i w:val="false"/>
          <w:iCs w:val="false"/>
          <w:color w:val="1B2A4A"/>
          <w:sz w:val="22"/>
          <w:szCs w:val="22"/>
        </w:rPr>
        <w:t xml:space="preserve">Immutability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Records published to the NRS may not be deleted, altered, or reclassified after publication. Corrections are published as new entries alongside the original, not as replacements. The full history of any government act — including corrections, amendments, and subsequent interpretations — is permanently available.</w:t>
      </w:r>
    </w:p>
    <w:p>
      <w:pPr>
        <w:spacing w:after="60" w:before="200"/>
        <w:ind w:left="431"/>
        <w:jc w:val="left"/>
      </w:pPr>
      <w:r>
        <w:rPr>
          <w:rFonts w:ascii="Courier New" w:cs="Courier New" w:eastAsia="Courier New" w:hAnsi="Courier New"/>
          <w:b/>
          <w:bCs/>
          <w:color w:val="1B2A4A"/>
          <w:sz w:val="18"/>
          <w:szCs w:val="18"/>
        </w:rPr>
        <w:t xml:space="preserve">§9.1.b  </w:t>
      </w:r>
      <w:r>
        <w:rPr>
          <w:rFonts w:ascii="Garamond" w:cs="Garamond" w:eastAsia="Garamond" w:hAnsi="Garamond"/>
          <w:b/>
          <w:bCs/>
          <w:i w:val="false"/>
          <w:iCs w:val="false"/>
          <w:color w:val="1B2A4A"/>
          <w:sz w:val="22"/>
          <w:szCs w:val="22"/>
        </w:rPr>
        <w:t xml:space="preserve">NRS Access</w:t>
      </w:r>
    </w:p>
    <w:p>
      <w:pPr>
        <w:spacing w:after="120" w:before="0"/>
        <w:ind w:left="431"/>
        <w:jc w:val="both"/>
      </w:pPr>
      <w:r>
        <w:rPr>
          <w:rFonts w:ascii="Garamond" w:cs="Garamond" w:eastAsia="Garamond" w:hAnsi="Garamond"/>
          <w:b w:val="false"/>
          <w:bCs w:val="false"/>
          <w:i w:val="false"/>
          <w:iCs w:val="false"/>
          <w:color w:val="2a2520"/>
          <w:sz w:val="22"/>
          <w:szCs w:val="22"/>
        </w:rPr>
        <w:t xml:space="preserve">Freely accessible to every Inhabitant at no cost. No registration, no fees, no identification required for read access. The Republic must provide free public access terminals in every State and Territory. The NRS is not a luxury service — it is the mechanism by which Inhabitants verify that government acts exist and what they say.</w:t>
      </w:r>
    </w:p>
    <w:p>
      <w:pPr>
        <w:spacing w:after="60" w:before="200"/>
        <w:ind w:left="431"/>
        <w:jc w:val="left"/>
      </w:pPr>
      <w:r>
        <w:rPr>
          <w:rFonts w:ascii="Courier New" w:cs="Courier New" w:eastAsia="Courier New" w:hAnsi="Courier New"/>
          <w:b/>
          <w:bCs/>
          <w:color w:val="1B2A4A"/>
          <w:sz w:val="18"/>
          <w:szCs w:val="18"/>
        </w:rPr>
        <w:t xml:space="preserve">§9.1.c  </w:t>
      </w:r>
      <w:r>
        <w:rPr>
          <w:rFonts w:ascii="Garamond" w:cs="Garamond" w:eastAsia="Garamond" w:hAnsi="Garamond"/>
          <w:b/>
          <w:bCs/>
          <w:i w:val="false"/>
          <w:iCs w:val="false"/>
          <w:color w:val="1B2A4A"/>
          <w:sz w:val="22"/>
          <w:szCs w:val="22"/>
        </w:rPr>
        <w:t xml:space="preserve">Public Accessibility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category of government act required to be published must be published within the time specified by the constitution or enabling statute. Acts not published within their required period are not void (except where the constitution specifically provides otherwise), but the publication failure is a constitutional breach reportable by the relevant Inspectorate.</w:t>
      </w:r>
    </w:p>
    <w:p>
      <w:pPr>
        <w:spacing w:after="60" w:before="200"/>
        <w:ind w:left="431"/>
        <w:jc w:val="left"/>
      </w:pPr>
      <w:r>
        <w:rPr>
          <w:rFonts w:ascii="Courier New" w:cs="Courier New" w:eastAsia="Courier New" w:hAnsi="Courier New"/>
          <w:b/>
          <w:bCs/>
          <w:color w:val="1B2A4A"/>
          <w:sz w:val="18"/>
          <w:szCs w:val="18"/>
        </w:rPr>
        <w:t xml:space="preserve">§9.1.d  </w:t>
      </w:r>
      <w:r>
        <w:rPr>
          <w:rFonts w:ascii="Garamond" w:cs="Garamond" w:eastAsia="Garamond" w:hAnsi="Garamond"/>
          <w:b/>
          <w:bCs/>
          <w:i w:val="false"/>
          <w:iCs w:val="false"/>
          <w:color w:val="1B2A4A"/>
          <w:sz w:val="22"/>
          <w:szCs w:val="22"/>
        </w:rPr>
        <w:t xml:space="preserve">NRS Technical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by statute define the technical standards: format, metadata requirements, search and retrieval standards, and backup and redundancy requirements. The standards must ensure the NRS remains fully functional in the event of a localized technical failure. No single point of failure is constitutionally acceptable.</w:t>
      </w:r>
    </w:p>
    <w:p>
      <w:pPr>
        <w:spacing w:after="60" w:before="200"/>
        <w:ind w:left="431"/>
        <w:jc w:val="left"/>
      </w:pPr>
      <w:r>
        <w:rPr>
          <w:rFonts w:ascii="Courier New" w:cs="Courier New" w:eastAsia="Courier New" w:hAnsi="Courier New"/>
          <w:b/>
          <w:bCs/>
          <w:color w:val="1B2A4A"/>
          <w:sz w:val="18"/>
          <w:szCs w:val="18"/>
        </w:rPr>
        <w:t xml:space="preserve">§9.1.e  </w:t>
      </w:r>
      <w:r>
        <w:rPr>
          <w:rFonts w:ascii="Garamond" w:cs="Garamond" w:eastAsia="Garamond" w:hAnsi="Garamond"/>
          <w:b/>
          <w:bCs/>
          <w:i w:val="false"/>
          <w:iCs w:val="false"/>
          <w:color w:val="1B2A4A"/>
          <w:sz w:val="22"/>
          <w:szCs w:val="22"/>
        </w:rPr>
        <w:t xml:space="preserve">NRS Integrity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NRS integrity annually, verifying that: all required publications have been made; no records have been altered or deleted; search and retrieval functions are operating correctly; and access is genuinely free and unrestricted.</w:t>
      </w:r>
    </w:p>
    <w:p>
      <w:pPr>
        <w:spacing w:after="60" w:before="200"/>
        <w:ind w:left="431"/>
        <w:jc w:val="left"/>
      </w:pPr>
      <w:r>
        <w:rPr>
          <w:rFonts w:ascii="Courier New" w:cs="Courier New" w:eastAsia="Courier New" w:hAnsi="Courier New"/>
          <w:b/>
          <w:bCs/>
          <w:color w:val="1B2A4A"/>
          <w:sz w:val="18"/>
          <w:szCs w:val="18"/>
        </w:rPr>
        <w:t xml:space="preserve">§9.1.f  </w:t>
      </w:r>
      <w:r>
        <w:rPr>
          <w:rFonts w:ascii="Garamond" w:cs="Garamond" w:eastAsia="Garamond" w:hAnsi="Garamond"/>
          <w:b/>
          <w:bCs/>
          <w:i w:val="false"/>
          <w:iCs w:val="false"/>
          <w:color w:val="1B2A4A"/>
          <w:sz w:val="22"/>
          <w:szCs w:val="22"/>
        </w:rPr>
        <w:t xml:space="preserve">Third-Party NRS Mirrors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authorize non-governmental organizations to maintain verified mirrors of the NRS for redundancy. Mirrors must meet the same technical standards as the primary NRS. The primary NRS remains a government function — the authorization does not create a privatization pathway.</w:t>
      </w:r>
    </w:p>
    <w:p>
      <w:pPr>
        <w:spacing w:after="60" w:before="200"/>
        <w:ind w:left="431"/>
        <w:jc w:val="left"/>
      </w:pPr>
      <w:r>
        <w:rPr>
          <w:rFonts w:ascii="Courier New" w:cs="Courier New" w:eastAsia="Courier New" w:hAnsi="Courier New"/>
          <w:b/>
          <w:bCs/>
          <w:color w:val="1B2A4A"/>
          <w:sz w:val="18"/>
          <w:szCs w:val="18"/>
        </w:rPr>
        <w:t xml:space="preserve">§9.1.g  </w:t>
      </w:r>
      <w:r>
        <w:rPr>
          <w:rFonts w:ascii="Garamond" w:cs="Garamond" w:eastAsia="Garamond" w:hAnsi="Garamond"/>
          <w:b/>
          <w:bCs/>
          <w:i w:val="false"/>
          <w:iCs w:val="false"/>
          <w:color w:val="1B2A4A"/>
          <w:sz w:val="22"/>
          <w:szCs w:val="22"/>
        </w:rPr>
        <w:t xml:space="preserve">NRS Classification Exemption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 Reports published to the NRS are permanently exempt from classification, consistent with §8.6.d. The NRS itself may not apply classification restrictions to Inspectorate Reports — the publication platform cannot override the content exemption.</w:t>
      </w:r>
    </w:p>
    <w:p>
      <w:pPr>
        <w:spacing w:after="60" w:before="200"/>
        <w:ind w:left="431"/>
        <w:jc w:val="left"/>
      </w:pPr>
      <w:r>
        <w:rPr>
          <w:rFonts w:ascii="Courier New" w:cs="Courier New" w:eastAsia="Courier New" w:hAnsi="Courier New"/>
          <w:b/>
          <w:bCs/>
          <w:color w:val="1B2A4A"/>
          <w:sz w:val="18"/>
          <w:szCs w:val="18"/>
        </w:rPr>
        <w:t xml:space="preserve">§9.1.h  </w:t>
      </w:r>
      <w:r>
        <w:rPr>
          <w:rFonts w:ascii="Garamond" w:cs="Garamond" w:eastAsia="Garamond" w:hAnsi="Garamond"/>
          <w:b/>
          <w:bCs/>
          <w:i w:val="false"/>
          <w:iCs w:val="false"/>
          <w:color w:val="1B2A4A"/>
          <w:sz w:val="22"/>
          <w:szCs w:val="22"/>
        </w:rPr>
        <w:t xml:space="preserve">Cross-Jurisdictional Record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Records published to the NRS by any jurisdiction within the Republic are recognized as authentic records by all other jurisdictions without re-certification, apostille, or additional verification. The NRS publication is the authentication. A court, agency, or official that refuses to recognize an NRS-published record on the grounds that it originated in another jurisdiction acts in constitutional defiance of this provision.</w:t>
      </w:r>
    </w:p>
    <w:p>
      <w:pPr>
        <w:spacing w:after="60" w:before="200"/>
        <w:ind w:left="431"/>
        <w:jc w:val="left"/>
      </w:pPr>
      <w:r>
        <w:rPr>
          <w:rFonts w:ascii="Courier New" w:cs="Courier New" w:eastAsia="Courier New" w:hAnsi="Courier New"/>
          <w:b/>
          <w:bCs/>
          <w:color w:val="1B2A4A"/>
          <w:sz w:val="18"/>
          <w:szCs w:val="18"/>
        </w:rPr>
        <w:t xml:space="preserve">§9.2  </w:t>
      </w:r>
      <w:r>
        <w:rPr>
          <w:rFonts w:ascii="Garamond" w:cs="Garamond" w:eastAsia="Garamond" w:hAnsi="Garamond"/>
          <w:b/>
          <w:bCs/>
          <w:i w:val="false"/>
          <w:iCs w:val="false"/>
          <w:color w:val="1B2A4A"/>
          <w:sz w:val="22"/>
          <w:szCs w:val="22"/>
        </w:rPr>
        <w:t xml:space="preserve">Historical Records Preservation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NRS includes a permanent historical archive of all prior legislative acts, executive orders, judicial decisions, and government documents dating to the Republic's founding. The Legislature may not delete records from the historical archive — it may annotate them to indicate supersession or repeal, but the original records remain.</w:t>
      </w:r>
    </w:p>
    <w:p>
      <w:pPr>
        <w:spacing w:after="60" w:before="200"/>
        <w:ind w:left="431"/>
        <w:jc w:val="left"/>
      </w:pPr>
      <w:r>
        <w:rPr>
          <w:rFonts w:ascii="Courier New" w:cs="Courier New" w:eastAsia="Courier New" w:hAnsi="Courier New"/>
          <w:b/>
          <w:bCs/>
          <w:color w:val="1B2A4A"/>
          <w:sz w:val="18"/>
          <w:szCs w:val="18"/>
        </w:rPr>
        <w:t xml:space="preserve">§9.3  </w:t>
      </w:r>
      <w:r>
        <w:rPr>
          <w:rFonts w:ascii="Garamond" w:cs="Garamond" w:eastAsia="Garamond" w:hAnsi="Garamond"/>
          <w:b/>
          <w:bCs/>
          <w:i w:val="false"/>
          <w:iCs w:val="false"/>
          <w:color w:val="1B2A4A"/>
          <w:sz w:val="22"/>
          <w:szCs w:val="22"/>
        </w:rPr>
        <w:t xml:space="preserve">RSA Technical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System Administrator operates the NRS under the oversight of the Legislative Inspectorate. The RSA Director is a statutory independent officer whose independence is protected by §9.5.a. A decennial Technical Integrity Commission reviews whether the NRS architecture continues to meet the constitutional requirements for distributed custody, cryptographic verification, and public accessibility under §9.1.</w:t>
      </w:r>
    </w:p>
    <w:p>
      <w:pPr>
        <w:spacing w:after="60" w:before="200"/>
        <w:ind w:left="431"/>
        <w:jc w:val="left"/>
      </w:pPr>
      <w:r>
        <w:rPr>
          <w:rFonts w:ascii="Courier New" w:cs="Courier New" w:eastAsia="Courier New" w:hAnsi="Courier New"/>
          <w:b/>
          <w:bCs/>
          <w:color w:val="1B2A4A"/>
          <w:sz w:val="18"/>
          <w:szCs w:val="18"/>
        </w:rPr>
        <w:t xml:space="preserve">§9.3.a  </w:t>
      </w:r>
      <w:r>
        <w:rPr>
          <w:rFonts w:ascii="Garamond" w:cs="Garamond" w:eastAsia="Garamond" w:hAnsi="Garamond"/>
          <w:b/>
          <w:bCs/>
          <w:i w:val="false"/>
          <w:iCs w:val="false"/>
          <w:color w:val="1B2A4A"/>
          <w:sz w:val="22"/>
          <w:szCs w:val="22"/>
        </w:rPr>
        <w:t xml:space="preserve">RSA Technical Integrity Commission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decennial RSA Technical Integrity Commission reviews whether the NRS architecture continues to meet the constitutional requirements for distributed, tamper-evident operation established by §9.1. The Commission has publication authority only — it may not issue binding orders, impose penalties, or direct the RSA Director. Its findings are published jointly by all three Inspectorates to the NRS and cannot be withheld, suppressed, or altered after publication. The Commission convenes every ten years from the date of the first Legislature convening under §19.3.d. Qualifications for pool eligibility, audit methodology and scope, working session parameters, and compensation are established by statute. The Legislature may not adjust the decennial trigger date by statute. If the LI's annual audit under §9.1.e identifies a critical architectural failure — defined as a finding that the NRS no longer meets the constitutional requirements for tamper-evident operation or distributed custody — the LI may declare an emergency review, triggering an extraordinary Commission draw from the current confirmed pool under §9.3.d. An emergency Commission draw does not reset the decennial clock.</w:t>
      </w:r>
    </w:p>
    <w:p>
      <w:pPr>
        <w:spacing w:after="60" w:before="200"/>
        <w:ind w:left="431"/>
        <w:jc w:val="left"/>
      </w:pPr>
      <w:r>
        <w:rPr>
          <w:rFonts w:ascii="Courier New" w:cs="Courier New" w:eastAsia="Courier New" w:hAnsi="Courier New"/>
          <w:b/>
          <w:bCs/>
          <w:color w:val="1B2A4A"/>
          <w:sz w:val="18"/>
          <w:szCs w:val="18"/>
        </w:rPr>
        <w:t xml:space="preserve">§9.3.b  </w:t>
      </w:r>
      <w:r>
        <w:rPr>
          <w:rFonts w:ascii="Garamond" w:cs="Garamond" w:eastAsia="Garamond" w:hAnsi="Garamond"/>
          <w:b/>
          <w:bCs/>
          <w:i w:val="false"/>
          <w:iCs w:val="false"/>
          <w:color w:val="1B2A4A"/>
          <w:sz w:val="22"/>
          <w:szCs w:val="22"/>
        </w:rPr>
        <w:t xml:space="preserve">RSA Technical Pool —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and PM each nominate one qualified person per year to the RSA Technical Pool. Each nominee must be confirmed by the Senate within 60 days of nomination by affirmative vote — no deemed-confirmed fallback applies to this position. Senate failure to vote within 60 days is a constitutional compliance failure published to the NRS by the LI. The pool is a public NRS record. Qualifications are defined by statute and certified by the JI at time of nomination. Over a ten-year cycle both executives may each nominate up to ten members, for a maximum pool of twenty confirmed members.</w:t>
      </w:r>
    </w:p>
    <w:p>
      <w:pPr>
        <w:spacing w:after="60" w:before="200"/>
        <w:ind w:left="431"/>
        <w:jc w:val="left"/>
      </w:pPr>
      <w:r>
        <w:rPr>
          <w:rFonts w:ascii="Courier New" w:cs="Courier New" w:eastAsia="Courier New" w:hAnsi="Courier New"/>
          <w:b/>
          <w:bCs/>
          <w:color w:val="1B2A4A"/>
          <w:sz w:val="18"/>
          <w:szCs w:val="18"/>
        </w:rPr>
        <w:t xml:space="preserve">§9.3.c  </w:t>
      </w:r>
      <w:r>
        <w:rPr>
          <w:rFonts w:ascii="Garamond" w:cs="Garamond" w:eastAsia="Garamond" w:hAnsi="Garamond"/>
          <w:b/>
          <w:bCs/>
          <w:i w:val="false"/>
          <w:iCs w:val="false"/>
          <w:color w:val="1B2A4A"/>
          <w:sz w:val="22"/>
          <w:szCs w:val="22"/>
        </w:rPr>
        <w:t xml:space="preserve">Pool Reset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RSA Technical Pool resets after each decennial commission cycle. Previously confirmed pool members who did not serve on the commission may be re-nominated by either executive in the new cycle; fresh Senate confirmation under §9.3.b is required and no member carries forward automatically. Members who served on the commission are not eligible for re-nomination to the pool.</w:t>
      </w:r>
    </w:p>
    <w:p>
      <w:pPr>
        <w:spacing w:after="60" w:before="200"/>
        <w:ind w:left="431"/>
        <w:jc w:val="left"/>
      </w:pPr>
      <w:r>
        <w:rPr>
          <w:rFonts w:ascii="Courier New" w:cs="Courier New" w:eastAsia="Courier New" w:hAnsi="Courier New"/>
          <w:b/>
          <w:bCs/>
          <w:color w:val="1B2A4A"/>
          <w:sz w:val="18"/>
          <w:szCs w:val="18"/>
        </w:rPr>
        <w:t xml:space="preserve">§9.3.d  </w:t>
      </w:r>
      <w:r>
        <w:rPr>
          <w:rFonts w:ascii="Garamond" w:cs="Garamond" w:eastAsia="Garamond" w:hAnsi="Garamond"/>
          <w:b/>
          <w:bCs/>
          <w:i w:val="false"/>
          <w:iCs w:val="false"/>
          <w:color w:val="1B2A4A"/>
          <w:sz w:val="22"/>
          <w:szCs w:val="22"/>
        </w:rPr>
        <w:t xml:space="preserve">Commission Draw</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decennial review is triggered, all three Inspectorates jointly constitute the Commission by public lottery, drawing five members at random from the eligible pool. The draw is conducted in a public session; all three Inspectorates certify the result and publish it to the NRS before the session closes. The remaining pool members constitute the standing replacement pool for the duration of the Commission's working period.</w:t>
      </w:r>
    </w:p>
    <w:p>
      <w:pPr>
        <w:spacing w:after="60" w:before="200"/>
        <w:ind w:left="431"/>
        <w:jc w:val="left"/>
      </w:pPr>
      <w:r>
        <w:rPr>
          <w:rFonts w:ascii="Courier New" w:cs="Courier New" w:eastAsia="Courier New" w:hAnsi="Courier New"/>
          <w:b/>
          <w:bCs/>
          <w:color w:val="1B2A4A"/>
          <w:sz w:val="18"/>
          <w:szCs w:val="18"/>
        </w:rPr>
        <w:t xml:space="preserve">§9.3.e  </w:t>
      </w:r>
      <w:r>
        <w:rPr>
          <w:rFonts w:ascii="Garamond" w:cs="Garamond" w:eastAsia="Garamond" w:hAnsi="Garamond"/>
          <w:b/>
          <w:bCs/>
          <w:i w:val="false"/>
          <w:iCs w:val="false"/>
          <w:color w:val="1B2A4A"/>
          <w:sz w:val="22"/>
          <w:szCs w:val="22"/>
        </w:rPr>
        <w:t xml:space="preserve">Commission Replacement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If a Commission member must be replaced during the review period — through ineligibility, withdrawal, or disqualification — all three Inspectorates draw one replacement at random from the remaining eligible pool members using the same public lottery procedure under §9.3.d. The replacement member holds the same authority and obligations as the member they replace.</w:t>
      </w:r>
    </w:p>
    <w:p>
      <w:pPr>
        <w:spacing w:after="60" w:before="200"/>
        <w:ind w:left="431"/>
        <w:jc w:val="left"/>
      </w:pPr>
      <w:r>
        <w:rPr>
          <w:rFonts w:ascii="Courier New" w:cs="Courier New" w:eastAsia="Courier New" w:hAnsi="Courier New"/>
          <w:b/>
          <w:bCs/>
          <w:color w:val="1B2A4A"/>
          <w:sz w:val="18"/>
          <w:szCs w:val="18"/>
        </w:rPr>
        <w:t xml:space="preserve">§9.3.f  </w:t>
      </w:r>
      <w:r>
        <w:rPr>
          <w:rFonts w:ascii="Garamond" w:cs="Garamond" w:eastAsia="Garamond" w:hAnsi="Garamond"/>
          <w:b/>
          <w:bCs/>
          <w:i w:val="false"/>
          <w:iCs w:val="false"/>
          <w:color w:val="1B2A4A"/>
          <w:sz w:val="22"/>
          <w:szCs w:val="22"/>
        </w:rPr>
        <w:t xml:space="preserve">Tri-Inspectorate Oversight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certify the draw under §9.3.d, oversee the Commission's working sessions to verify that the Commission has the access to records, systems, and personnel required by its statutory mandate, and review the Commission's findings before publication to confirm the findings reflect the Commission's genuine conclusions and have not been suppressed or modified. All three Inspectorate seals appear on findings published to the NRS. The RSA Director receives a copy of published findings simultaneously with NRS publication.</w:t>
      </w:r>
    </w:p>
    <w:p>
      <w:pPr>
        <w:spacing w:after="60" w:before="200"/>
        <w:ind w:left="431"/>
        <w:jc w:val="left"/>
      </w:pPr>
      <w:r>
        <w:rPr>
          <w:rFonts w:ascii="Courier New" w:cs="Courier New" w:eastAsia="Courier New" w:hAnsi="Courier New"/>
          <w:b/>
          <w:bCs/>
          <w:color w:val="1B2A4A"/>
          <w:sz w:val="18"/>
          <w:szCs w:val="18"/>
        </w:rPr>
        <w:t xml:space="preserve">§9.3.g  </w:t>
      </w:r>
      <w:r>
        <w:rPr>
          <w:rFonts w:ascii="Garamond" w:cs="Garamond" w:eastAsia="Garamond" w:hAnsi="Garamond"/>
          <w:b/>
          <w:bCs/>
          <w:i w:val="false"/>
          <w:iCs w:val="false"/>
          <w:color w:val="1B2A4A"/>
          <w:sz w:val="22"/>
          <w:szCs w:val="22"/>
        </w:rPr>
        <w:t xml:space="preserve">Commission Findings</w:t>
      </w:r>
    </w:p>
    <w:p>
      <w:pPr>
        <w:spacing w:after="120" w:before="0"/>
        <w:ind w:left="431"/>
        <w:jc w:val="both"/>
      </w:pPr>
      <w:r>
        <w:rPr>
          <w:rFonts w:ascii="Garamond" w:cs="Garamond" w:eastAsia="Garamond" w:hAnsi="Garamond"/>
          <w:b w:val="false"/>
          <w:bCs w:val="false"/>
          <w:i w:val="false"/>
          <w:iCs w:val="false"/>
          <w:color w:val="2a2520"/>
          <w:sz w:val="22"/>
          <w:szCs w:val="22"/>
        </w:rPr>
        <w:t xml:space="preserve">Commission findings are published directly and jointly to the NRS by all three Inspectorates upon completion of the decennial review. Findings may include assessments of cryptographic integrity, node distribution adequacy, technical standard compliance, and any architectural features that approach or breach constitutional requirements. The Legislature, the RSA Director, and both executives receive findings simultaneously with NRS publication. The Commission's mandate ends upon publication; the Commission dissolves and the pool resets under §9.3.c. Where an Emergency RSA Commission has been constituted under §9.3.h since the prior decennial review, the next regularly scheduled decennial Commission must include in its scope a review of the emergency findings — assessing whether the remediation was adequate and making architectural recommendations to prevent recurrence. These findings are published as a dedicated section of the decennial report.</w:t>
      </w:r>
    </w:p>
    <w:p>
      <w:pPr>
        <w:spacing w:after="60" w:before="200"/>
        <w:ind w:left="431"/>
        <w:jc w:val="left"/>
      </w:pPr>
      <w:r>
        <w:rPr>
          <w:rFonts w:ascii="Courier New" w:cs="Courier New" w:eastAsia="Courier New" w:hAnsi="Courier New"/>
          <w:b/>
          <w:bCs/>
          <w:color w:val="1B2A4A"/>
          <w:sz w:val="18"/>
          <w:szCs w:val="18"/>
        </w:rPr>
        <w:t xml:space="preserve">§9.3.h  </w:t>
      </w:r>
      <w:r>
        <w:rPr>
          <w:rFonts w:ascii="Garamond" w:cs="Garamond" w:eastAsia="Garamond" w:hAnsi="Garamond"/>
          <w:b/>
          <w:bCs/>
          <w:i w:val="false"/>
          <w:iCs w:val="false"/>
          <w:color w:val="1B2A4A"/>
          <w:sz w:val="22"/>
          <w:szCs w:val="22"/>
        </w:rPr>
        <w:t xml:space="preserve">Emergency RSA Commission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LI has declared an emergency review under §9.3.a, the LI formally alerts the PM and publishes the emergency finding to the NRS. The PM requests each State to nominate one qualified person to an Emergency Technical Pool within 14 days. The LI certifies each nominee's qualifications against the statutory standard established under §9.3.b. All three Inspectorates then conduct a public lottery draw of five members from the certified nominees using the procedure under §9.3.d — the draw is published to the NRS before the session closes. The Emergency Commission's scope is limited to the specific architectural failure identified in the LI's emergency finding; it may not expand its mandate beyond that scope. Findings are published jointly by all three Inspectorates to the NRS upon completion. Senate confirmation is not required for Emergency Commission members; the mandatory Senate accountability session under §9.3.i provides accountability in lieu of confirmation. The Emergency Commission does not trigger a pool reset; the regular decennial pool and clock are unaffected. The Emergency Technical Pool dissolves upon conclusion of the Senate accountability session.</w:t>
      </w:r>
    </w:p>
    <w:p>
      <w:pPr>
        <w:spacing w:after="60" w:before="200"/>
        <w:ind w:left="431"/>
        <w:jc w:val="left"/>
      </w:pPr>
      <w:r>
        <w:rPr>
          <w:rFonts w:ascii="Courier New" w:cs="Courier New" w:eastAsia="Courier New" w:hAnsi="Courier New"/>
          <w:b/>
          <w:bCs/>
          <w:color w:val="1B2A4A"/>
          <w:sz w:val="18"/>
          <w:szCs w:val="18"/>
        </w:rPr>
        <w:t xml:space="preserve">§9.3.i  </w:t>
      </w:r>
      <w:r>
        <w:rPr>
          <w:rFonts w:ascii="Garamond" w:cs="Garamond" w:eastAsia="Garamond" w:hAnsi="Garamond"/>
          <w:b/>
          <w:bCs/>
          <w:i w:val="false"/>
          <w:iCs w:val="false"/>
          <w:color w:val="1B2A4A"/>
          <w:sz w:val="22"/>
          <w:szCs w:val="22"/>
        </w:rPr>
        <w:t xml:space="preserve">Emergency Commission Senate Accountability Session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30 days of the Emergency Commission's appointment under §9.3.h, the Senate must schedule a mandatory public accountability session. The session must occur within 90 days of the Emergency Commission's appointment. Emergency Commission members appear before the Senate, present their findings, and respond to questions from senators. The session is published in full to the NRS. Failure to schedule the session within 30 days of appointment is a constitutional compliance breach certified by the LI and published to the NRS. The Senate accountability session provides the legitimacy in lieu of Senate confirmation — the Commission's findings carry full constitutional weight upon NRS publication regardless of whether the session has yet occurred.</w:t>
      </w:r>
    </w:p>
    <w:p>
      <w:pPr>
        <w:spacing w:after="60" w:before="200"/>
        <w:ind w:left="431"/>
        <w:jc w:val="left"/>
      </w:pPr>
      <w:r>
        <w:rPr>
          <w:rFonts w:ascii="Courier New" w:cs="Courier New" w:eastAsia="Courier New" w:hAnsi="Courier New"/>
          <w:b/>
          <w:bCs/>
          <w:color w:val="1B2A4A"/>
          <w:sz w:val="18"/>
          <w:szCs w:val="18"/>
        </w:rPr>
        <w:t xml:space="preserve">§9.4  </w:t>
      </w:r>
      <w:r>
        <w:rPr>
          <w:rFonts w:ascii="Garamond" w:cs="Garamond" w:eastAsia="Garamond" w:hAnsi="Garamond"/>
          <w:b/>
          <w:bCs/>
          <w:i w:val="false"/>
          <w:iCs w:val="false"/>
          <w:color w:val="1B2A4A"/>
          <w:sz w:val="22"/>
          <w:szCs w:val="22"/>
        </w:rPr>
        <w:t xml:space="preserve">NRS and Electoral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electoral records (voter registration, ballot counts, audit trails, certification documents) must be published to the NRS within the timeframes specified by the Electoral Commission's constitutional mandate under Article XVI. No classification exception applies to electoral records.</w:t>
      </w:r>
    </w:p>
    <w:p>
      <w:pPr>
        <w:spacing w:after="60" w:before="200"/>
        <w:ind w:left="431"/>
        <w:jc w:val="left"/>
      </w:pPr>
      <w:r>
        <w:rPr>
          <w:rFonts w:ascii="Courier New" w:cs="Courier New" w:eastAsia="Courier New" w:hAnsi="Courier New"/>
          <w:b/>
          <w:bCs/>
          <w:color w:val="1B2A4A"/>
          <w:sz w:val="18"/>
          <w:szCs w:val="18"/>
        </w:rPr>
        <w:t xml:space="preserve">§9.5  </w:t>
      </w:r>
      <w:r>
        <w:rPr>
          <w:rFonts w:ascii="Garamond" w:cs="Garamond" w:eastAsia="Garamond" w:hAnsi="Garamond"/>
          <w:b/>
          <w:bCs/>
          <w:i w:val="false"/>
          <w:iCs w:val="false"/>
          <w:color w:val="1B2A4A"/>
          <w:sz w:val="22"/>
          <w:szCs w:val="22"/>
        </w:rPr>
        <w:t xml:space="preserve">NRS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administered by a technically independent office under LI oversight.</w:t>
      </w:r>
    </w:p>
    <w:p>
      <w:pPr>
        <w:spacing w:after="60" w:before="200"/>
        <w:ind w:left="431"/>
        <w:jc w:val="left"/>
      </w:pPr>
      <w:r>
        <w:rPr>
          <w:rFonts w:ascii="Courier New" w:cs="Courier New" w:eastAsia="Courier New" w:hAnsi="Courier New"/>
          <w:b/>
          <w:bCs/>
          <w:color w:val="1B2A4A"/>
          <w:sz w:val="18"/>
          <w:szCs w:val="18"/>
        </w:rPr>
        <w:t xml:space="preserve">§9.5.a  </w:t>
      </w:r>
      <w:r>
        <w:rPr>
          <w:rFonts w:ascii="Garamond" w:cs="Garamond" w:eastAsia="Garamond" w:hAnsi="Garamond"/>
          <w:b/>
          <w:bCs/>
          <w:i w:val="false"/>
          <w:iCs w:val="false"/>
          <w:color w:val="1B2A4A"/>
          <w:sz w:val="22"/>
          <w:szCs w:val="22"/>
        </w:rPr>
        <w:t xml:space="preserve">NRS Staffing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NRS is administered by a non-partisan technical office reporting to the LI for oversight. NRS staff may not receive direction from either executive or the Legislature regarding the content, timing, or availability of any record. The NRS administrator is appointed by the LI following public application and qualification review.</w:t>
      </w:r>
    </w:p>
    <w:p>
      <w:pPr>
        <w:spacing w:after="60" w:before="200"/>
        <w:ind w:left="431"/>
        <w:jc w:val="left"/>
      </w:pPr>
      <w:r>
        <w:rPr>
          <w:rFonts w:ascii="Courier New" w:cs="Courier New" w:eastAsia="Courier New" w:hAnsi="Courier New"/>
          <w:b/>
          <w:bCs/>
          <w:color w:val="1B2A4A"/>
          <w:sz w:val="18"/>
          <w:szCs w:val="18"/>
        </w:rPr>
        <w:t xml:space="preserve">§9.5.b  </w:t>
      </w:r>
      <w:r>
        <w:rPr>
          <w:rFonts w:ascii="Garamond" w:cs="Garamond" w:eastAsia="Garamond" w:hAnsi="Garamond"/>
          <w:b/>
          <w:bCs/>
          <w:i w:val="false"/>
          <w:iCs w:val="false"/>
          <w:color w:val="1B2A4A"/>
          <w:sz w:val="22"/>
          <w:szCs w:val="22"/>
        </w:rPr>
        <w:t xml:space="preserve">NRS Downtime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In the event of a technical outage, government acts that would otherwise have required NRS publication to take effect are delayed until the outage is resolved. Emergency acts required for immediate public safety may be announced through alternative channels, but the NRS publication requirement applies from the moment the NRS is restored.</w:t>
      </w:r>
    </w:p>
    <w:p>
      <w:pPr>
        <w:spacing w:after="60" w:before="200"/>
        <w:ind w:left="431"/>
        <w:jc w:val="left"/>
      </w:pPr>
      <w:r>
        <w:rPr>
          <w:rFonts w:ascii="Courier New" w:cs="Courier New" w:eastAsia="Courier New" w:hAnsi="Courier New"/>
          <w:b/>
          <w:bCs/>
          <w:color w:val="1B2A4A"/>
          <w:sz w:val="18"/>
          <w:szCs w:val="18"/>
        </w:rPr>
        <w:t xml:space="preserve">§9.5.c  </w:t>
      </w:r>
      <w:r>
        <w:rPr>
          <w:rFonts w:ascii="Garamond" w:cs="Garamond" w:eastAsia="Garamond" w:hAnsi="Garamond"/>
          <w:b/>
          <w:bCs/>
          <w:i w:val="false"/>
          <w:iCs w:val="false"/>
          <w:color w:val="1B2A4A"/>
          <w:sz w:val="22"/>
          <w:szCs w:val="22"/>
        </w:rPr>
        <w:t xml:space="preserve">Citizen NRS Submissions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submit corrections, context, or additional documentation relating to any NRS record via a public submission mechanism maintained by the LI. Submissions are published alongside the original record after accuracy review. Citizens cannot alter government records — only add publicly visible commentary.</w:t>
      </w:r>
    </w:p>
    <w:p>
      <w:pPr>
        <w:spacing w:after="60" w:before="200"/>
        <w:ind w:left="431"/>
        <w:jc w:val="left"/>
      </w:pPr>
      <w:r>
        <w:rPr>
          <w:rFonts w:ascii="Courier New" w:cs="Courier New" w:eastAsia="Courier New" w:hAnsi="Courier New"/>
          <w:b/>
          <w:bCs/>
          <w:color w:val="1B2A4A"/>
          <w:sz w:val="18"/>
          <w:szCs w:val="18"/>
        </w:rPr>
        <w:t xml:space="preserve">§9.5.d  </w:t>
      </w:r>
      <w:r>
        <w:rPr>
          <w:rFonts w:ascii="Garamond" w:cs="Garamond" w:eastAsia="Garamond" w:hAnsi="Garamond"/>
          <w:b/>
          <w:bCs/>
          <w:i w:val="false"/>
          <w:iCs w:val="false"/>
          <w:color w:val="1B2A4A"/>
          <w:sz w:val="22"/>
          <w:szCs w:val="22"/>
        </w:rPr>
        <w:t xml:space="preserve">NRS Funding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Funding for the NRS may not be reduced below the prior year's level without a 2/3 vote of both chambers. The Legislature may increase NRS funding by simple majority. The funding floor protects the NRS from being defunded as a mechanism of opacity — reducing NRS functionality is treated as a constitutional concern.</w:t>
      </w:r>
    </w:p>
    <w:p>
      <w:pPr>
        <w:spacing w:after="60" w:before="200"/>
        <w:ind w:left="431"/>
        <w:jc w:val="left"/>
      </w:pPr>
      <w:r>
        <w:rPr>
          <w:rFonts w:ascii="Courier New" w:cs="Courier New" w:eastAsia="Courier New" w:hAnsi="Courier New"/>
          <w:b/>
          <w:bCs/>
          <w:color w:val="1B2A4A"/>
          <w:sz w:val="18"/>
          <w:szCs w:val="18"/>
        </w:rPr>
        <w:t xml:space="preserve">§9.5.e  </w:t>
      </w:r>
      <w:r>
        <w:rPr>
          <w:rFonts w:ascii="Garamond" w:cs="Garamond" w:eastAsia="Garamond" w:hAnsi="Garamond"/>
          <w:b/>
          <w:bCs/>
          <w:i w:val="false"/>
          <w:iCs w:val="false"/>
          <w:color w:val="1B2A4A"/>
          <w:sz w:val="22"/>
          <w:szCs w:val="22"/>
        </w:rPr>
        <w:t xml:space="preserve">Improper Classification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Classification used to conceal a constitutional violation, an illegal order, or embarrassing but non-sensitive information is constitutionally prohibited in itself. Improper classification is not an administrative error — it is a constitutional offense.</w:t>
      </w:r>
    </w:p>
    <w:p>
      <w:pPr>
        <w:spacing w:after="60" w:before="200"/>
        <w:jc w:val="left"/>
      </w:pPr>
      <w:r>
        <w:rPr>
          <w:rFonts w:ascii="Garamond" w:cs="Garamond" w:eastAsia="Garamond" w:hAnsi="Garamond"/>
          <w:b/>
          <w:bCs/>
          <w:i w:val="false"/>
          <w:iCs w:val="false"/>
          <w:color w:val="1B2A4A"/>
          <w:sz w:val="34"/>
          <w:szCs w:val="34"/>
        </w:rPr>
        <w:t xml:space="preserve">Article X — Economic Provisions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§10.1  </w:t>
      </w:r>
      <w:r>
        <w:rPr>
          <w:rFonts w:ascii="Garamond" w:cs="Garamond" w:eastAsia="Garamond" w:hAnsi="Garamond"/>
          <w:b/>
          <w:bCs/>
          <w:i w:val="false"/>
          <w:iCs w:val="false"/>
          <w:color w:val="1B2A4A"/>
          <w:sz w:val="22"/>
          <w:szCs w:val="22"/>
        </w:rPr>
        <w:t xml:space="preserve">The Basic Needs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guarantees every Inhabitant access to a minimum basket of goods and services — food, housing, healthcare, education, and utilities — at a level adequate for a dignified life. Funded by a constitutionally reserved 5% of gross domestic revenue — this percentage cannot be reduced without a constitutional amendment.</w:t>
      </w:r>
    </w:p>
    <w:p>
      <w:pPr>
        <w:spacing w:after="60" w:before="200"/>
        <w:ind w:left="431"/>
        <w:jc w:val="left"/>
      </w:pPr>
      <w:r>
        <w:rPr>
          <w:rFonts w:ascii="Courier New" w:cs="Courier New" w:eastAsia="Courier New" w:hAnsi="Courier New"/>
          <w:b/>
          <w:bCs/>
          <w:color w:val="1B2A4A"/>
          <w:sz w:val="18"/>
          <w:szCs w:val="18"/>
        </w:rPr>
        <w:t xml:space="preserve">§10.1.a  </w:t>
      </w:r>
      <w:r>
        <w:rPr>
          <w:rFonts w:ascii="Garamond" w:cs="Garamond" w:eastAsia="Garamond" w:hAnsi="Garamond"/>
          <w:b/>
          <w:bCs/>
          <w:i w:val="false"/>
          <w:iCs w:val="false"/>
          <w:color w:val="1B2A4A"/>
          <w:sz w:val="22"/>
          <w:szCs w:val="22"/>
        </w:rPr>
        <w:t xml:space="preserve">BNF Funding Reserve</w:t>
      </w:r>
    </w:p>
    <w:p>
      <w:pPr>
        <w:spacing w:after="120" w:before="0"/>
        <w:ind w:left="431"/>
        <w:jc w:val="both"/>
      </w:pPr>
      <w:r>
        <w:rPr>
          <w:rFonts w:ascii="Garamond" w:cs="Garamond" w:eastAsia="Garamond" w:hAnsi="Garamond"/>
          <w:b w:val="false"/>
          <w:bCs w:val="false"/>
          <w:i w:val="false"/>
          <w:iCs w:val="false"/>
          <w:color w:val="2a2520"/>
          <w:sz w:val="22"/>
          <w:szCs w:val="22"/>
        </w:rPr>
        <w:t xml:space="preserve">5% of gross domestic revenue is constitutionally reserved for the BNF and cannot be redirected. If the BNF requires more than 5%, the Legislature may appropriate additional funding by statute. The reserve is calculated annually by the MA and published to the NRS. During a Severe Revenue Contraction (§10.1.f), the National Endowment backstops the BNF.</w:t>
      </w:r>
    </w:p>
    <w:p>
      <w:pPr>
        <w:spacing w:after="60" w:before="200"/>
        <w:ind w:left="431"/>
        <w:jc w:val="left"/>
      </w:pPr>
      <w:r>
        <w:rPr>
          <w:rFonts w:ascii="Courier New" w:cs="Courier New" w:eastAsia="Courier New" w:hAnsi="Courier New"/>
          <w:b/>
          <w:bCs/>
          <w:color w:val="1B2A4A"/>
          <w:sz w:val="18"/>
          <w:szCs w:val="18"/>
        </w:rPr>
        <w:t xml:space="preserve">§10.1.b  </w:t>
      </w:r>
      <w:r>
        <w:rPr>
          <w:rFonts w:ascii="Garamond" w:cs="Garamond" w:eastAsia="Garamond" w:hAnsi="Garamond"/>
          <w:b/>
          <w:bCs/>
          <w:i w:val="false"/>
          <w:iCs w:val="false"/>
          <w:color w:val="1B2A4A"/>
          <w:sz w:val="22"/>
          <w:szCs w:val="22"/>
        </w:rPr>
        <w:t xml:space="preserve">BNF Adequacy Standard</w:t>
      </w:r>
    </w:p>
    <w:p>
      <w:pPr>
        <w:spacing w:after="120" w:before="0"/>
        <w:ind w:left="431"/>
        <w:jc w:val="both"/>
      </w:pPr>
      <w:r>
        <w:rPr>
          <w:rFonts w:ascii="Garamond" w:cs="Garamond" w:eastAsia="Garamond" w:hAnsi="Garamond"/>
          <w:b w:val="false"/>
          <w:bCs w:val="false"/>
          <w:i w:val="false"/>
          <w:iCs w:val="false"/>
          <w:color w:val="2a2520"/>
          <w:sz w:val="22"/>
          <w:szCs w:val="22"/>
        </w:rPr>
        <w:t xml:space="preserve">The BNF basket must be sufficient to meet genuine basic needs — not merely nominally available. The PM's annual budget must fund the BNF at a level the MA certifies as adequate to deliver the constitutional basket to every eligible Inhabitant. A budget that funds the BNF below the MA's certified adequacy level is constitutionally deficient.</w:t>
      </w:r>
    </w:p>
    <w:p>
      <w:pPr>
        <w:spacing w:after="60" w:before="200"/>
        <w:ind w:left="431"/>
        <w:jc w:val="left"/>
      </w:pPr>
      <w:r>
        <w:rPr>
          <w:rFonts w:ascii="Courier New" w:cs="Courier New" w:eastAsia="Courier New" w:hAnsi="Courier New"/>
          <w:b/>
          <w:bCs/>
          <w:color w:val="1B2A4A"/>
          <w:sz w:val="18"/>
          <w:szCs w:val="18"/>
        </w:rPr>
        <w:t xml:space="preserve">§10.1.b.i  </w:t>
      </w:r>
      <w:r>
        <w:rPr>
          <w:rFonts w:ascii="Garamond" w:cs="Garamond" w:eastAsia="Garamond" w:hAnsi="Garamond"/>
          <w:b/>
          <w:bCs/>
          <w:i w:val="false"/>
          <w:iCs w:val="false"/>
          <w:color w:val="1B2A4A"/>
          <w:sz w:val="22"/>
          <w:szCs w:val="22"/>
        </w:rPr>
        <w:t xml:space="preserve">BNF Non-Compliance — EI Certification and Justiciability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MA's annual adequacy certification under §10.1.b finds that the BNF basket is not being delivered at the constitutional standard, the EI immediately publishes a constitutional compliance breach notice to the NRS. The Republic's failure to meet the BNF adequacy standard is simultaneously directly justiciable by any Inhabitant who can demonstrate they are not receiving the basket at the certified level. Courts may order the Republic to restore compliance and may specify remediation timelines. The justiciability of BNF adequacy failures is self-executing — no enabling legislation is required.</w:t>
      </w:r>
    </w:p>
    <w:p>
      <w:pPr>
        <w:spacing w:after="60" w:before="200"/>
        <w:ind w:left="431"/>
        <w:jc w:val="left"/>
      </w:pPr>
      <w:r>
        <w:rPr>
          <w:rFonts w:ascii="Courier New" w:cs="Courier New" w:eastAsia="Courier New" w:hAnsi="Courier New"/>
          <w:b/>
          <w:bCs/>
          <w:color w:val="1B2A4A"/>
          <w:sz w:val="18"/>
          <w:szCs w:val="18"/>
        </w:rPr>
        <w:t xml:space="preserve">§10.1.b.ii  </w:t>
      </w:r>
      <w:r>
        <w:rPr>
          <w:rFonts w:ascii="Garamond" w:cs="Garamond" w:eastAsia="Garamond" w:hAnsi="Garamond"/>
          <w:b/>
          <w:bCs/>
          <w:i w:val="false"/>
          <w:iCs w:val="false"/>
          <w:color w:val="1B2A4A"/>
          <w:sz w:val="22"/>
          <w:szCs w:val="22"/>
        </w:rPr>
        <w:t xml:space="preserve">BNF Non-Compliance — Legislative Response Obligation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90 days of the EI's breach notice under §10.1.b.i, the Legislature must either publish a funded remediation plan specifying how and when BNF adequacy will be restored, or formally dispute the MA's certification before the SC. If the Legislature disputes the MA's certification, the SC resolves the dispute within 30 days; if the SC upholds the certification, the 90-day remediation clock restarts from the SC's ruling. Failure to publish a remediation plan or initiate a formal dispute within 90 days is a further constitutional compliance breach certified by the LI.</w:t>
      </w:r>
    </w:p>
    <w:p>
      <w:pPr>
        <w:spacing w:after="60" w:before="200"/>
        <w:ind w:left="431"/>
        <w:jc w:val="left"/>
      </w:pPr>
      <w:r>
        <w:rPr>
          <w:rFonts w:ascii="Courier New" w:cs="Courier New" w:eastAsia="Courier New" w:hAnsi="Courier New"/>
          <w:b/>
          <w:bCs/>
          <w:color w:val="1B2A4A"/>
          <w:sz w:val="18"/>
          <w:szCs w:val="18"/>
        </w:rPr>
        <w:t xml:space="preserve">§10.1.b.iii  </w:t>
      </w:r>
      <w:r>
        <w:rPr>
          <w:rFonts w:ascii="Garamond" w:cs="Garamond" w:eastAsia="Garamond" w:hAnsi="Garamond"/>
          <w:b/>
          <w:bCs/>
          <w:i w:val="false"/>
          <w:iCs w:val="false"/>
          <w:color w:val="1B2A4A"/>
          <w:sz w:val="22"/>
          <w:szCs w:val="22"/>
        </w:rPr>
        <w:t xml:space="preserve">BNF Non-Compliance — National Endowment Backstop</w:t>
      </w:r>
    </w:p>
    <w:p>
      <w:pPr>
        <w:spacing w:after="120" w:before="0"/>
        <w:ind w:left="431"/>
        <w:jc w:val="both"/>
      </w:pPr>
      <w:r>
        <w:rPr>
          <w:rFonts w:ascii="Garamond" w:cs="Garamond" w:eastAsia="Garamond" w:hAnsi="Garamond"/>
          <w:b w:val="false"/>
          <w:bCs w:val="false"/>
          <w:i w:val="false"/>
          <w:iCs w:val="false"/>
          <w:color w:val="2a2520"/>
          <w:sz w:val="22"/>
          <w:szCs w:val="22"/>
        </w:rPr>
        <w:t xml:space="preserve">If 90 days pass after the EI breach notice under §10.1.b.i without a published legislative remediation plan and without a pending SC dispute, the National Endowment board may authorize emergency BNF expenditure under §10.6 to fill the adequacy gap. The PM certifies the expenditure under §2.1.d. Emergency backstop disbursements continue for up to 6 months. If after 6 months the Legislature has still not published a remediation plan, the Endowment board must report to the NRS that the constitutional promise of the BNF is not being honoured through the normal budget process and that the Endowment is bearing the gap. The Endowment backstop does not relieve the Legislature of its constitutional obligation to fund the BNF through the annual budget — it ensures Inhabitants receive the basket while that obligation is enforced.</w:t>
      </w:r>
    </w:p>
    <w:p>
      <w:pPr>
        <w:spacing w:after="60" w:before="200"/>
        <w:ind w:left="431"/>
        <w:jc w:val="left"/>
      </w:pPr>
      <w:r>
        <w:rPr>
          <w:rFonts w:ascii="Courier New" w:cs="Courier New" w:eastAsia="Courier New" w:hAnsi="Courier New"/>
          <w:b/>
          <w:bCs/>
          <w:color w:val="1B2A4A"/>
          <w:sz w:val="18"/>
          <w:szCs w:val="18"/>
        </w:rPr>
        <w:t xml:space="preserve">§10.1.c  </w:t>
      </w:r>
      <w:r>
        <w:rPr>
          <w:rFonts w:ascii="Garamond" w:cs="Garamond" w:eastAsia="Garamond" w:hAnsi="Garamond"/>
          <w:b/>
          <w:bCs/>
          <w:i w:val="false"/>
          <w:iCs w:val="false"/>
          <w:color w:val="1B2A4A"/>
          <w:sz w:val="22"/>
          <w:szCs w:val="22"/>
        </w:rPr>
        <w:t xml:space="preserve">BNF Coverage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BNF must cover five categories: food security, housing, healthcare, education access, and digital connectivity. The Legislature defines the specific floor within each category by statute. No statute may reduce any category below the level of genuine adequacy — the constitutional floor is real sufficiency, not symbolic provision.</w:t>
      </w:r>
    </w:p>
    <w:p>
      <w:pPr>
        <w:spacing w:after="60" w:before="200"/>
        <w:ind w:left="431"/>
        <w:jc w:val="left"/>
      </w:pPr>
      <w:r>
        <w:rPr>
          <w:rFonts w:ascii="Courier New" w:cs="Courier New" w:eastAsia="Courier New" w:hAnsi="Courier New"/>
          <w:b/>
          <w:bCs/>
          <w:color w:val="1B2A4A"/>
          <w:sz w:val="18"/>
          <w:szCs w:val="18"/>
        </w:rPr>
        <w:t xml:space="preserve">§10.1.d  </w:t>
      </w:r>
      <w:r>
        <w:rPr>
          <w:rFonts w:ascii="Garamond" w:cs="Garamond" w:eastAsia="Garamond" w:hAnsi="Garamond"/>
          <w:b/>
          <w:bCs/>
          <w:i w:val="false"/>
          <w:iCs w:val="false"/>
          <w:color w:val="1B2A4A"/>
          <w:sz w:val="22"/>
          <w:szCs w:val="22"/>
        </w:rPr>
        <w:t xml:space="preserve">BNF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Access to BNF benefits may not be conditioned on citizenship, residency status, political affiliation, or any characteristic protected under §1.9. Every Inhabitant receives equal access. The Legislature may not create tiered access based on contribution history or prior benefit receipt — the BNF is a floor, not an insurance program.</w:t>
      </w:r>
    </w:p>
    <w:p>
      <w:pPr>
        <w:spacing w:after="60" w:before="200"/>
        <w:ind w:left="431"/>
        <w:jc w:val="left"/>
      </w:pPr>
      <w:r>
        <w:rPr>
          <w:rFonts w:ascii="Courier New" w:cs="Courier New" w:eastAsia="Courier New" w:hAnsi="Courier New"/>
          <w:b/>
          <w:bCs/>
          <w:color w:val="1B2A4A"/>
          <w:sz w:val="18"/>
          <w:szCs w:val="18"/>
        </w:rPr>
        <w:t xml:space="preserve">§10.1.e  </w:t>
      </w:r>
      <w:r>
        <w:rPr>
          <w:rFonts w:ascii="Garamond" w:cs="Garamond" w:eastAsia="Garamond" w:hAnsi="Garamond"/>
          <w:b/>
          <w:bCs/>
          <w:i w:val="false"/>
          <w:iCs w:val="false"/>
          <w:color w:val="1B2A4A"/>
          <w:sz w:val="22"/>
          <w:szCs w:val="22"/>
        </w:rPr>
        <w:t xml:space="preserve">BNF Administration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administers the BNF through the Domestic Affairs Council. Administration must meet the constitutional adequacy standard — delivery mechanisms must actually reach Inhabitants, not merely be nominally available. The LI audits BNF delivery annually.</w:t>
      </w:r>
    </w:p>
    <w:p>
      <w:pPr>
        <w:spacing w:after="60" w:before="200"/>
        <w:ind w:left="431"/>
        <w:jc w:val="left"/>
      </w:pPr>
      <w:r>
        <w:rPr>
          <w:rFonts w:ascii="Courier New" w:cs="Courier New" w:eastAsia="Courier New" w:hAnsi="Courier New"/>
          <w:b/>
          <w:bCs/>
          <w:color w:val="1B2A4A"/>
          <w:sz w:val="18"/>
          <w:szCs w:val="18"/>
        </w:rPr>
        <w:t xml:space="preserve">§10.1.f  </w:t>
      </w:r>
      <w:r>
        <w:rPr>
          <w:rFonts w:ascii="Garamond" w:cs="Garamond" w:eastAsia="Garamond" w:hAnsi="Garamond"/>
          <w:b/>
          <w:bCs/>
          <w:i w:val="false"/>
          <w:iCs w:val="false"/>
          <w:color w:val="1B2A4A"/>
          <w:sz w:val="22"/>
          <w:szCs w:val="22"/>
        </w:rPr>
        <w:t xml:space="preserve">Severe Revenue Contraction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MA certifies a severe revenue contraction, the BNF funding floor remains in effect and the National Endowment reserve fund supplements the 5% reserve to ensure BNF continuity. The MA certification triggers automatic activation of the Endowment — no legislative action required. The BNF is recession-proof.</w:t>
      </w:r>
    </w:p>
    <w:p>
      <w:pPr>
        <w:spacing w:after="60" w:before="200"/>
        <w:ind w:left="431"/>
        <w:jc w:val="left"/>
      </w:pPr>
      <w:r>
        <w:rPr>
          <w:rFonts w:ascii="Courier New" w:cs="Courier New" w:eastAsia="Courier New" w:hAnsi="Courier New"/>
          <w:b/>
          <w:bCs/>
          <w:color w:val="1B2A4A"/>
          <w:sz w:val="18"/>
          <w:szCs w:val="18"/>
        </w:rPr>
        <w:t xml:space="preserve">§10.1.g  </w:t>
      </w:r>
      <w:r>
        <w:rPr>
          <w:rFonts w:ascii="Garamond" w:cs="Garamond" w:eastAsia="Garamond" w:hAnsi="Garamond"/>
          <w:b/>
          <w:bCs/>
          <w:i w:val="false"/>
          <w:iCs w:val="false"/>
          <w:color w:val="1B2A4A"/>
          <w:sz w:val="22"/>
          <w:szCs w:val="22"/>
        </w:rPr>
        <w:t xml:space="preserve">BNF and Emergency Declarations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No domestic emergency may reduce, suspend, or otherwise diminish BNF benefits. The BNF is explicitly excluded from emergency powers. A PM who attempts to redirect BNF funds during an emergency has committed a constitutional breach reportable by the EI.</w:t>
      </w:r>
    </w:p>
    <w:p>
      <w:pPr>
        <w:spacing w:after="60" w:before="200"/>
        <w:ind w:left="431"/>
        <w:jc w:val="left"/>
      </w:pPr>
      <w:r>
        <w:rPr>
          <w:rFonts w:ascii="Courier New" w:cs="Courier New" w:eastAsia="Courier New" w:hAnsi="Courier New"/>
          <w:b/>
          <w:bCs/>
          <w:color w:val="1B2A4A"/>
          <w:sz w:val="18"/>
          <w:szCs w:val="18"/>
        </w:rPr>
        <w:t xml:space="preserve">§10.2  </w:t>
      </w:r>
      <w:r>
        <w:rPr>
          <w:rFonts w:ascii="Garamond" w:cs="Garamond" w:eastAsia="Garamond" w:hAnsi="Garamond"/>
          <w:b/>
          <w:bCs/>
          <w:i w:val="false"/>
          <w:iCs w:val="false"/>
          <w:color w:val="1B2A4A"/>
          <w:sz w:val="22"/>
          <w:szCs w:val="22"/>
        </w:rPr>
        <w:t xml:space="preserve">Fiscal Accountability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constitutional framework for government spending discipline. The Legislature must pass a balanced budget or publish a structural deficit justification. The fiscal framework is enforced by the Inspectorates — the LI audits legislative fiscal claims, the EI audits executive spending certifications.</w:t>
      </w:r>
    </w:p>
    <w:p>
      <w:pPr>
        <w:spacing w:after="60" w:before="200"/>
        <w:ind w:left="431"/>
        <w:jc w:val="left"/>
      </w:pPr>
      <w:r>
        <w:rPr>
          <w:rFonts w:ascii="Courier New" w:cs="Courier New" w:eastAsia="Courier New" w:hAnsi="Courier New"/>
          <w:b/>
          <w:bCs/>
          <w:color w:val="1B2A4A"/>
          <w:sz w:val="18"/>
          <w:szCs w:val="18"/>
        </w:rPr>
        <w:t xml:space="preserve">§10.2.a  </w:t>
      </w:r>
      <w:r>
        <w:rPr>
          <w:rFonts w:ascii="Garamond" w:cs="Garamond" w:eastAsia="Garamond" w:hAnsi="Garamond"/>
          <w:b/>
          <w:bCs/>
          <w:i w:val="false"/>
          <w:iCs w:val="false"/>
          <w:color w:val="1B2A4A"/>
          <w:sz w:val="22"/>
          <w:szCs w:val="22"/>
        </w:rPr>
        <w:t xml:space="preserve">Deficit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Structural deficits above the constitutional threshold (defined by the MA by statute) require a published justification from the Legislature and a published plan for return to balance. The MA reviews the justification for fiscal accuracy — not political adequacy.</w:t>
      </w:r>
    </w:p>
    <w:p>
      <w:pPr>
        <w:spacing w:after="60" w:before="200"/>
        <w:ind w:left="431"/>
        <w:jc w:val="left"/>
      </w:pPr>
      <w:r>
        <w:rPr>
          <w:rFonts w:ascii="Courier New" w:cs="Courier New" w:eastAsia="Courier New" w:hAnsi="Courier New"/>
          <w:b/>
          <w:bCs/>
          <w:color w:val="1B2A4A"/>
          <w:sz w:val="18"/>
          <w:szCs w:val="18"/>
        </w:rPr>
        <w:t xml:space="preserve">§10.2.b  </w:t>
      </w:r>
      <w:r>
        <w:rPr>
          <w:rFonts w:ascii="Garamond" w:cs="Garamond" w:eastAsia="Garamond" w:hAnsi="Garamond"/>
          <w:b/>
          <w:bCs/>
          <w:i w:val="false"/>
          <w:iCs w:val="false"/>
          <w:color w:val="1B2A4A"/>
          <w:sz w:val="22"/>
          <w:szCs w:val="22"/>
        </w:rPr>
        <w:t xml:space="preserve">Legislative Pay Withholding</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discretionary government spending has been suspended due to budget failure, the pay of all members of both chambers is withheld from the same date on which government employee pay is withheld — no earlier and no later. Withheld legislator pay is held and released in full within 14 days of a budget being enacted. No member may receive advance pay, loans from government sources, or any substitute compensation from public funds during this period. The MA publishes a daily count of days withheld to the NRS, running concurrently with the equivalent count for government employees.</w:t>
      </w:r>
    </w:p>
    <w:p>
      <w:pPr>
        <w:spacing w:after="60" w:before="200"/>
        <w:ind w:left="431"/>
        <w:jc w:val="left"/>
      </w:pPr>
      <w:r>
        <w:rPr>
          <w:rFonts w:ascii="Courier New" w:cs="Courier New" w:eastAsia="Courier New" w:hAnsi="Courier New"/>
          <w:b/>
          <w:bCs/>
          <w:color w:val="1B2A4A"/>
          <w:sz w:val="18"/>
          <w:szCs w:val="18"/>
        </w:rPr>
        <w:t xml:space="preserve">§10.2.c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reserve fund for BNF backstop purposes is established and governed under §10.6. The Legislature must fund it by appropriation in years of fiscal surplus. Failure to establish or adequately fund the Endowment within the constitutionally required period is a compliance breach reportable by the LI.</w:t>
      </w:r>
    </w:p>
    <w:p>
      <w:pPr>
        <w:spacing w:after="60" w:before="200"/>
        <w:ind w:left="431"/>
        <w:jc w:val="left"/>
      </w:pPr>
      <w:r>
        <w:rPr>
          <w:rFonts w:ascii="Courier New" w:cs="Courier New" w:eastAsia="Courier New" w:hAnsi="Courier New"/>
          <w:b/>
          <w:bCs/>
          <w:color w:val="1B2A4A"/>
          <w:sz w:val="18"/>
          <w:szCs w:val="18"/>
        </w:rPr>
        <w:t xml:space="preserve">§10.3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by statute establish a public campaign financing system within 24 months of the first Legislature convening under §19.3.d. If it fails to do so, the failure is a constitutional compliance breach — the LI certifies the breach, the EI reports it, and citizens may petition for a citizen legislative initiative under §11.2.a to impose a public financing framework by direct mandate.</w:t>
      </w:r>
    </w:p>
    <w:p>
      <w:pPr>
        <w:spacing w:after="60" w:before="200"/>
        <w:ind w:left="431"/>
        <w:jc w:val="left"/>
      </w:pPr>
      <w:r>
        <w:rPr>
          <w:rFonts w:ascii="Courier New" w:cs="Courier New" w:eastAsia="Courier New" w:hAnsi="Courier New"/>
          <w:b/>
          <w:bCs/>
          <w:color w:val="1B2A4A"/>
          <w:sz w:val="18"/>
          <w:szCs w:val="18"/>
        </w:rPr>
        <w:t xml:space="preserve">§10.3.a  </w:t>
      </w:r>
      <w:r>
        <w:rPr>
          <w:rFonts w:ascii="Garamond" w:cs="Garamond" w:eastAsia="Garamond" w:hAnsi="Garamond"/>
          <w:b/>
          <w:bCs/>
          <w:i w:val="false"/>
          <w:iCs w:val="false"/>
          <w:color w:val="1B2A4A"/>
          <w:sz w:val="22"/>
          <w:szCs w:val="22"/>
        </w:rPr>
        <w:t xml:space="preserve">Campaign Financing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public financing system must provide all registered candidates with equal access to public funds. No incumbent advantage in the allocation formula. Private contributions are capped at the de minimis threshold under §18.3. Administered by the Electoral Commission — not by either executive or the Legislature.</w:t>
      </w:r>
    </w:p>
    <w:p>
      <w:pPr>
        <w:spacing w:after="60" w:before="200"/>
        <w:ind w:left="431"/>
        <w:jc w:val="left"/>
      </w:pPr>
      <w:r>
        <w:rPr>
          <w:rFonts w:ascii="Courier New" w:cs="Courier New" w:eastAsia="Courier New" w:hAnsi="Courier New"/>
          <w:b/>
          <w:bCs/>
          <w:color w:val="1B2A4A"/>
          <w:sz w:val="18"/>
          <w:szCs w:val="18"/>
        </w:rPr>
        <w:t xml:space="preserve">§10.3.b  </w:t>
      </w:r>
      <w:r>
        <w:rPr>
          <w:rFonts w:ascii="Garamond" w:cs="Garamond" w:eastAsia="Garamond" w:hAnsi="Garamond"/>
          <w:b/>
          <w:bCs/>
          <w:i w:val="false"/>
          <w:iCs w:val="false"/>
          <w:color w:val="1B2A4A"/>
          <w:sz w:val="22"/>
          <w:szCs w:val="22"/>
        </w:rPr>
        <w:t xml:space="preserve">Campaign Financing Enforcement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Violations are a constitutional breach reportable by the EI. The EI audits all campaign finance records within 90 days of any election. Candidates who received impermissible contributions must refund them or have the amount treated as an undisclosed in-kind contribution.</w:t>
      </w:r>
    </w:p>
    <w:p>
      <w:pPr>
        <w:spacing w:after="60" w:before="200"/>
        <w:ind w:left="431"/>
        <w:jc w:val="left"/>
      </w:pPr>
      <w:r>
        <w:rPr>
          <w:rFonts w:ascii="Courier New" w:cs="Courier New" w:eastAsia="Courier New" w:hAnsi="Courier New"/>
          <w:b/>
          <w:bCs/>
          <w:color w:val="1B2A4A"/>
          <w:sz w:val="18"/>
          <w:szCs w:val="18"/>
        </w:rPr>
        <w:t xml:space="preserve">§10.4  </w:t>
      </w:r>
      <w:r>
        <w:rPr>
          <w:rFonts w:ascii="Garamond" w:cs="Garamond" w:eastAsia="Garamond" w:hAnsi="Garamond"/>
          <w:b/>
          <w:bCs/>
          <w:i w:val="false"/>
          <w:iCs w:val="false"/>
          <w:color w:val="1B2A4A"/>
          <w:sz w:val="22"/>
          <w:szCs w:val="22"/>
        </w:rPr>
        <w:t xml:space="preserve">The Monetary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Monetary Authority is the Republic's constitutionally independent central bank, governed by an elected Director and an appointed board. Its mandate hierarchy and independence from political direction are established in this section.</w:t>
      </w:r>
    </w:p>
    <w:p>
      <w:pPr>
        <w:spacing w:after="60" w:before="200"/>
        <w:ind w:left="431"/>
        <w:jc w:val="left"/>
      </w:pPr>
      <w:r>
        <w:rPr>
          <w:rFonts w:ascii="Courier New" w:cs="Courier New" w:eastAsia="Courier New" w:hAnsi="Courier New"/>
          <w:b/>
          <w:bCs/>
          <w:color w:val="1B2A4A"/>
          <w:sz w:val="18"/>
          <w:szCs w:val="18"/>
        </w:rPr>
        <w:t xml:space="preserve">§10.4.a  </w:t>
      </w:r>
      <w:r>
        <w:rPr>
          <w:rFonts w:ascii="Garamond" w:cs="Garamond" w:eastAsia="Garamond" w:hAnsi="Garamond"/>
          <w:b/>
          <w:bCs/>
          <w:i w:val="false"/>
          <w:iCs w:val="false"/>
          <w:color w:val="1B2A4A"/>
          <w:sz w:val="22"/>
          <w:szCs w:val="22"/>
        </w:rPr>
        <w:t xml:space="preserve">MA Director Election and Board Composition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 is governed by an elected Director and a board of five appointed members. The Director is elected by national RCV on National Election Day to a single non-renewable 8-year term, staggered from the board member appointment cycle. Board members are appointed by the PM and confirmed by the Senate to staggered 6-year non-renewable terms. No more than two board members may be appointed by the same PM. Board vacancies must be filled within 90 days of opening; if the PM fails to nominate within 60 days, the JI publishes a notice of constitutional non-compliance.</w:t>
      </w:r>
    </w:p>
    <w:p>
      <w:pPr>
        <w:spacing w:after="60" w:before="200"/>
        <w:ind w:left="431"/>
        <w:jc w:val="left"/>
      </w:pPr>
      <w:r>
        <w:rPr>
          <w:rFonts w:ascii="Courier New" w:cs="Courier New" w:eastAsia="Courier New" w:hAnsi="Courier New"/>
          <w:b/>
          <w:bCs/>
          <w:color w:val="1B2A4A"/>
          <w:sz w:val="18"/>
          <w:szCs w:val="18"/>
        </w:rPr>
        <w:t xml:space="preserve">§10.4.b  </w:t>
      </w:r>
      <w:r>
        <w:rPr>
          <w:rFonts w:ascii="Garamond" w:cs="Garamond" w:eastAsia="Garamond" w:hAnsi="Garamond"/>
          <w:b/>
          <w:bCs/>
          <w:i w:val="false"/>
          <w:iCs w:val="false"/>
          <w:color w:val="1B2A4A"/>
          <w:sz w:val="22"/>
          <w:szCs w:val="22"/>
        </w:rPr>
        <w:t xml:space="preserve">MA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MA's hierarchical mandate is constitutionally fixed: primary mandate is price stability and fiscal solvency; secondary mandate is regard for employment conditions and sustainable growth. The primary mandate takes precedence in all cases of conflict. This hierarchy cannot be altered by ordinary statute — only by constitutional amendment. No government may direct the MA to elevate its secondary mandate to co-equal status with the primary mandate.</w:t>
      </w:r>
    </w:p>
    <w:p>
      <w:pPr>
        <w:spacing w:after="60" w:before="200"/>
        <w:ind w:left="431"/>
        <w:jc w:val="left"/>
      </w:pPr>
      <w:r>
        <w:rPr>
          <w:rFonts w:ascii="Courier New" w:cs="Courier New" w:eastAsia="Courier New" w:hAnsi="Courier New"/>
          <w:b/>
          <w:bCs/>
          <w:color w:val="1B2A4A"/>
          <w:sz w:val="18"/>
          <w:szCs w:val="18"/>
        </w:rPr>
        <w:t xml:space="preserve">§10.4.b.i  </w:t>
      </w:r>
      <w:r>
        <w:rPr>
          <w:rFonts w:ascii="Garamond" w:cs="Garamond" w:eastAsia="Garamond" w:hAnsi="Garamond"/>
          <w:b/>
          <w:bCs/>
          <w:i w:val="false"/>
          <w:iCs w:val="false"/>
          <w:color w:val="1B2A4A"/>
          <w:sz w:val="22"/>
          <w:szCs w:val="22"/>
        </w:rPr>
        <w:t xml:space="preserve">Executive Non-Interference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Monetary Authority's operational independence is explicitly protected against executive direction. Neither executive may direct, modify, delay, or suppress an MA operational capacity certification. An acting MA Director who issues certifications under executive direction or pressure is subject to the same constitutional accountability framework as a confirmed Director and is constitutionally prohibited from issuing such certifications under political direction.</w:t>
      </w:r>
    </w:p>
    <w:p>
      <w:pPr>
        <w:spacing w:after="60" w:before="200"/>
        <w:ind w:left="431"/>
        <w:jc w:val="left"/>
      </w:pPr>
      <w:r>
        <w:rPr>
          <w:rFonts w:ascii="Courier New" w:cs="Courier New" w:eastAsia="Courier New" w:hAnsi="Courier New"/>
          <w:b/>
          <w:bCs/>
          <w:color w:val="1B2A4A"/>
          <w:sz w:val="18"/>
          <w:szCs w:val="18"/>
        </w:rPr>
        <w:t xml:space="preserve">§10.4.b.ii  </w:t>
      </w:r>
      <w:r>
        <w:rPr>
          <w:rFonts w:ascii="Garamond" w:cs="Garamond" w:eastAsia="Garamond" w:hAnsi="Garamond"/>
          <w:b/>
          <w:bCs/>
          <w:i w:val="false"/>
          <w:iCs w:val="false"/>
          <w:color w:val="1B2A4A"/>
          <w:sz w:val="22"/>
          <w:szCs w:val="22"/>
        </w:rPr>
        <w:t xml:space="preserve">Acting MA Director</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MA Director position is vacant or the Director is incapacitated, the board of five members selects an Acting Director from among themselves by majority vote within 7 days of the vacancy or incapacity being established. The Acting Director holds all Director powers except the veto right under §10.4.f, which is suspended until a new Director is elected under §10.4.a. An Acting Director may not be nominated to stand as the permanent elected Director for the vacancy period they filled. The JI publishes the vacancy notice to the NRS within 48 hours, triggering the electoral process for a replacement Director under the timeline established by statute.</w:t>
      </w:r>
    </w:p>
    <w:p>
      <w:pPr>
        <w:spacing w:after="60" w:before="200"/>
        <w:ind w:left="431"/>
        <w:jc w:val="left"/>
      </w:pPr>
      <w:r>
        <w:rPr>
          <w:rFonts w:ascii="Courier New" w:cs="Courier New" w:eastAsia="Courier New" w:hAnsi="Courier New"/>
          <w:b/>
          <w:bCs/>
          <w:color w:val="1B2A4A"/>
          <w:sz w:val="18"/>
          <w:szCs w:val="18"/>
        </w:rPr>
        <w:t xml:space="preserve">§10.4.c  </w:t>
      </w:r>
      <w:r>
        <w:rPr>
          <w:rFonts w:ascii="Garamond" w:cs="Garamond" w:eastAsia="Garamond" w:hAnsi="Garamond"/>
          <w:b/>
          <w:bCs/>
          <w:i w:val="false"/>
          <w:iCs w:val="false"/>
          <w:color w:val="1B2A4A"/>
          <w:sz w:val="22"/>
          <w:szCs w:val="22"/>
        </w:rPr>
        <w:t xml:space="preserve">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MA determinations, rate decisions, board votes, dissents, and mandate analyses must be published to the NRS within 48 hours of the board meeting. Board Member dissents are published alongside the majority determination.</w:t>
      </w:r>
    </w:p>
    <w:p>
      <w:pPr>
        <w:spacing w:after="60" w:before="200"/>
        <w:ind w:left="431"/>
        <w:jc w:val="left"/>
      </w:pPr>
      <w:r>
        <w:rPr>
          <w:rFonts w:ascii="Courier New" w:cs="Courier New" w:eastAsia="Courier New" w:hAnsi="Courier New"/>
          <w:b/>
          <w:bCs/>
          <w:color w:val="1B2A4A"/>
          <w:sz w:val="18"/>
          <w:szCs w:val="18"/>
        </w:rPr>
        <w:t xml:space="preserve">§10.4.d  </w:t>
      </w:r>
      <w:r>
        <w:rPr>
          <w:rFonts w:ascii="Garamond" w:cs="Garamond" w:eastAsia="Garamond" w:hAnsi="Garamond"/>
          <w:b/>
          <w:bCs/>
          <w:i w:val="false"/>
          <w:iCs w:val="false"/>
          <w:color w:val="1B2A4A"/>
          <w:sz w:val="22"/>
          <w:szCs w:val="22"/>
        </w:rPr>
        <w:t xml:space="preserve">Methodology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MA's calculation methodologies must be published and publicly available. The MA may not change its published methodology without 90 days' notice and a published explanation. Covert methodology changes — changing how the numbers are calculated without telling anyone — are a constitutional breach. Violations of the notice requirement are a constitutional breach reportable by the EI. The MA's methodology must maintain comparability with its prior published series — changes that retroactively alter historical measurements are void without an explicit published historical restatement reconciling old and new series.</w:t>
      </w:r>
    </w:p>
    <w:p>
      <w:pPr>
        <w:spacing w:after="60" w:before="200"/>
        <w:ind w:left="431"/>
        <w:jc w:val="left"/>
      </w:pPr>
      <w:r>
        <w:rPr>
          <w:rFonts w:ascii="Courier New" w:cs="Courier New" w:eastAsia="Courier New" w:hAnsi="Courier New"/>
          <w:b/>
          <w:bCs/>
          <w:color w:val="1B2A4A"/>
          <w:sz w:val="18"/>
          <w:szCs w:val="18"/>
        </w:rPr>
        <w:t xml:space="preserve">§10.4.e  </w:t>
      </w:r>
      <w:r>
        <w:rPr>
          <w:rFonts w:ascii="Garamond" w:cs="Garamond" w:eastAsia="Garamond" w:hAnsi="Garamond"/>
          <w:b/>
          <w:bCs/>
          <w:i w:val="false"/>
          <w:iCs w:val="false"/>
          <w:color w:val="1B2A4A"/>
          <w:sz w:val="22"/>
          <w:szCs w:val="22"/>
        </w:rPr>
        <w:t xml:space="preserve">Uncertifiable Inherited Fiscal Position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MA cannot certify the incoming government's fiscal position because the inherited data is too incomplete or unreliable, the MA publishes a qualified certification explaining the limitations. The Legislature must respond within 30 days with a plan to establish reliable fiscal data.</w:t>
      </w:r>
    </w:p>
    <w:p>
      <w:pPr>
        <w:spacing w:after="60" w:before="200"/>
        <w:ind w:left="431"/>
        <w:jc w:val="left"/>
      </w:pPr>
      <w:r>
        <w:rPr>
          <w:rFonts w:ascii="Courier New" w:cs="Courier New" w:eastAsia="Courier New" w:hAnsi="Courier New"/>
          <w:b/>
          <w:bCs/>
          <w:color w:val="1B2A4A"/>
          <w:sz w:val="18"/>
          <w:szCs w:val="18"/>
        </w:rPr>
        <w:t xml:space="preserve">§10.4.f  </w:t>
      </w:r>
      <w:r>
        <w:rPr>
          <w:rFonts w:ascii="Garamond" w:cs="Garamond" w:eastAsia="Garamond" w:hAnsi="Garamond"/>
          <w:b/>
          <w:bCs/>
          <w:i w:val="false"/>
          <w:iCs w:val="false"/>
          <w:color w:val="1B2A4A"/>
          <w:sz w:val="22"/>
          <w:szCs w:val="22"/>
        </w:rPr>
        <w:t xml:space="preserve">Director-Board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 Director chairs the board and holds veto authority over board decisions. The board of five members decides by majority vote; the Director does not hold a board vote. The Director may veto any board decision by publishing written grounds to the NRS within the period the Legislature defines by statute; a veto without published grounds is constitutionally void. The board may override a Director veto by 4-of-5 supermajority; the override and its grounds are published to the NRS. Where a board decision takes effect following a 4-of-5 override and the Director believes it violates the §10.4.b primary mandate hierarchy, the Director may refer the question to the Executive Inspectorate. If the EI advises that a potential mandate hierarchy violation exists, the Director may petition the Supreme Court for a mandate determination. The veto period must be no fewer than 7 days; the board override period no fewer than 14 days; the EI advisory period no fewer than 30 days; the SC petition period no fewer than 60 days. The Legislature may extend but not shorten these floors by statute.</w:t>
      </w:r>
    </w:p>
    <w:p>
      <w:pPr>
        <w:spacing w:after="60" w:before="200"/>
        <w:ind w:left="431"/>
        <w:jc w:val="left"/>
      </w:pPr>
      <w:r>
        <w:rPr>
          <w:rFonts w:ascii="Courier New" w:cs="Courier New" w:eastAsia="Courier New" w:hAnsi="Courier New"/>
          <w:b/>
          <w:bCs/>
          <w:color w:val="1B2A4A"/>
          <w:sz w:val="18"/>
          <w:szCs w:val="18"/>
        </w:rPr>
        <w:t xml:space="preserve">§10.5  </w:t>
      </w:r>
      <w:r>
        <w:rPr>
          <w:rFonts w:ascii="Garamond" w:cs="Garamond" w:eastAsia="Garamond" w:hAnsi="Garamond"/>
          <w:b/>
          <w:bCs/>
          <w:i w:val="false"/>
          <w:iCs w:val="false"/>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constitutional officers are subject to the ethics obligations of this section from the moment they take office. These obligations run concurrently with and do not replace any statutory ethics requirements the Legislature may establish.</w:t>
      </w:r>
    </w:p>
    <w:p>
      <w:pPr>
        <w:spacing w:after="60" w:before="200"/>
        <w:ind w:left="431"/>
        <w:jc w:val="left"/>
      </w:pPr>
      <w:r>
        <w:rPr>
          <w:rFonts w:ascii="Courier New" w:cs="Courier New" w:eastAsia="Courier New" w:hAnsi="Courier New"/>
          <w:b/>
          <w:bCs/>
          <w:color w:val="1B2A4A"/>
          <w:sz w:val="18"/>
          <w:szCs w:val="18"/>
        </w:rPr>
        <w:t xml:space="preserve">§10.5.a  </w:t>
      </w:r>
      <w:r>
        <w:rPr>
          <w:rFonts w:ascii="Garamond" w:cs="Garamond" w:eastAsia="Garamond" w:hAnsi="Garamond"/>
          <w:b/>
          <w:bCs/>
          <w:i w:val="false"/>
          <w:iCs w:val="false"/>
          <w:color w:val="1B2A4A"/>
          <w:sz w:val="22"/>
          <w:szCs w:val="22"/>
        </w:rPr>
        <w:t xml:space="preserve">Personal Financial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elected and appointed constitutional officers must disclose all financial interests, holdings, income sources, and liabilities to the EI within 30 days of taking office and annually thereafter. Disclosure records are published to the NRS. The standard for all official benefits, allowances, and in-office provisions — housing, healthcare, retirement — is that of a senior career public servant in a non-political role, not an executive, elected official, or political appointee. The Legislature defines the comparator by statute; any definition that produces a standard materially higher than senior career public service is constitutionally void. Departure above this standard is permitted only where an official's constitutional responsibilities create a demonstrable operational need, certified by the EI, and only to the minimum extent that need requires.</w:t>
      </w:r>
    </w:p>
    <w:p>
      <w:pPr>
        <w:spacing w:after="60" w:before="200"/>
        <w:ind w:left="431"/>
        <w:jc w:val="left"/>
      </w:pPr>
      <w:r>
        <w:rPr>
          <w:rFonts w:ascii="Courier New" w:cs="Courier New" w:eastAsia="Courier New" w:hAnsi="Courier New"/>
          <w:b/>
          <w:bCs/>
          <w:color w:val="1B2A4A"/>
          <w:sz w:val="18"/>
          <w:szCs w:val="18"/>
        </w:rPr>
        <w:t xml:space="preserve">§10.5.b  </w:t>
      </w:r>
      <w:r>
        <w:rPr>
          <w:rFonts w:ascii="Garamond" w:cs="Garamond" w:eastAsia="Garamond" w:hAnsi="Garamond"/>
          <w:b/>
          <w:bCs/>
          <w:i w:val="false"/>
          <w:iCs w:val="false"/>
          <w:color w:val="1B2A4A"/>
          <w:sz w:val="22"/>
          <w:szCs w:val="22"/>
        </w:rPr>
        <w:t xml:space="preserve">Conflict of Interest Recusal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constitutional officer with a direct financial interest in a decision within their authority must recuse themselves from that decision. Recusal is self-executing — the officer cannot be excused from recusal by the PM, President, or Legislature. Failure to recuse when required is a constitutional breach reportable by the EI.</w:t>
      </w:r>
    </w:p>
    <w:p>
      <w:pPr>
        <w:spacing w:after="60" w:before="200"/>
        <w:ind w:left="431"/>
        <w:jc w:val="left"/>
      </w:pPr>
      <w:r>
        <w:rPr>
          <w:rFonts w:ascii="Courier New" w:cs="Courier New" w:eastAsia="Courier New" w:hAnsi="Courier New"/>
          <w:b/>
          <w:bCs/>
          <w:color w:val="1B2A4A"/>
          <w:sz w:val="18"/>
          <w:szCs w:val="18"/>
        </w:rPr>
        <w:t xml:space="preserve">§10.5.c  </w:t>
      </w:r>
      <w:r>
        <w:rPr>
          <w:rFonts w:ascii="Garamond" w:cs="Garamond" w:eastAsia="Garamond" w:hAnsi="Garamond"/>
          <w:b/>
          <w:bCs/>
          <w:i w:val="false"/>
          <w:iCs w:val="false"/>
          <w:color w:val="1B2A4A"/>
          <w:sz w:val="22"/>
          <w:szCs w:val="22"/>
        </w:rPr>
        <w:t xml:space="preserve">Post-Service and Revolving Door Restrictions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officers may not, for 5 years after leaving office, engage in any activity that monetizes, exploits, or draws on non-public information, relationships, or access accumulated during service. This covers lobbying, consulting, advisory roles, and employment in regulated industries directly affected by the officer's prior decisions — regardless of whether the officer characterizes the engagement as drawing on their prior role. The EI determines whether a post-service engagement falls within this restriction; the officer bears the burden of demonstrating it does not. Violations are a constitutional breach and the officer forfeits any compensation received during the restricted period to the public treasury.</w:t>
      </w:r>
    </w:p>
    <w:p>
      <w:pPr>
        <w:spacing w:after="60" w:before="200"/>
        <w:ind w:left="431"/>
        <w:jc w:val="left"/>
      </w:pPr>
      <w:r>
        <w:rPr>
          <w:rFonts w:ascii="Courier New" w:cs="Courier New" w:eastAsia="Courier New" w:hAnsi="Courier New"/>
          <w:b/>
          <w:bCs/>
          <w:color w:val="1B2A4A"/>
          <w:sz w:val="18"/>
          <w:szCs w:val="18"/>
        </w:rPr>
        <w:t xml:space="preserve">§10.5.d  </w:t>
      </w:r>
      <w:r>
        <w:rPr>
          <w:rFonts w:ascii="Garamond" w:cs="Garamond" w:eastAsia="Garamond" w:hAnsi="Garamond"/>
          <w:b/>
          <w:bCs/>
          <w:i w:val="false"/>
          <w:iCs w:val="false"/>
          <w:color w:val="1B2A4A"/>
          <w:sz w:val="22"/>
          <w:szCs w:val="22"/>
        </w:rPr>
        <w:t xml:space="preserve">Gift and Hospitality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officers may not accept gifts or hospitality above a de minimis threshold defined by statute. All gifts above the threshold must be disclosed to the EI within 30 days and deposited with the relevant treasury. Retention without disclosure is a constitutional breach. Foreign gifts are subject to the same rules.</w:t>
      </w:r>
    </w:p>
    <w:p>
      <w:pPr>
        <w:spacing w:after="60" w:before="200"/>
        <w:ind w:left="431"/>
        <w:jc w:val="left"/>
      </w:pPr>
      <w:r>
        <w:rPr>
          <w:rFonts w:ascii="Courier New" w:cs="Courier New" w:eastAsia="Courier New" w:hAnsi="Courier New"/>
          <w:b/>
          <w:bCs/>
          <w:color w:val="1B2A4A"/>
          <w:sz w:val="18"/>
          <w:szCs w:val="18"/>
        </w:rPr>
        <w:t xml:space="preserve">§10.5.e  </w:t>
      </w:r>
      <w:r>
        <w:rPr>
          <w:rFonts w:ascii="Garamond" w:cs="Garamond" w:eastAsia="Garamond" w:hAnsi="Garamond"/>
          <w:b/>
          <w:bCs/>
          <w:i w:val="false"/>
          <w:iCs w:val="false"/>
          <w:color w:val="1B2A4A"/>
          <w:sz w:val="22"/>
          <w:szCs w:val="22"/>
        </w:rPr>
        <w:t xml:space="preserve">Official Records Belong to the Republic</w:t>
      </w:r>
    </w:p>
    <w:p>
      <w:pPr>
        <w:spacing w:after="120" w:before="0"/>
        <w:ind w:left="431"/>
        <w:jc w:val="both"/>
      </w:pPr>
      <w:r>
        <w:rPr>
          <w:rFonts w:ascii="Garamond" w:cs="Garamond" w:eastAsia="Garamond" w:hAnsi="Garamond"/>
          <w:b w:val="false"/>
          <w:bCs w:val="false"/>
          <w:i w:val="false"/>
          <w:iCs w:val="false"/>
          <w:color w:val="2a2520"/>
          <w:sz w:val="22"/>
          <w:szCs w:val="22"/>
        </w:rPr>
        <w:t xml:space="preserve">All records created in the exercise of official functions are public records. Constitutional officers may not retain, destroy, or remove official records after leaving office. Records physically retained without authorization are subject to forfeiture.</w:t>
      </w:r>
    </w:p>
    <w:p>
      <w:pPr>
        <w:spacing w:after="60" w:before="200"/>
        <w:ind w:left="431"/>
        <w:jc w:val="left"/>
      </w:pPr>
      <w:r>
        <w:rPr>
          <w:rFonts w:ascii="Courier New" w:cs="Courier New" w:eastAsia="Courier New" w:hAnsi="Courier New"/>
          <w:b/>
          <w:bCs/>
          <w:color w:val="1B2A4A"/>
          <w:sz w:val="18"/>
          <w:szCs w:val="18"/>
        </w:rPr>
        <w:t xml:space="preserve">§10.5.f  </w:t>
      </w:r>
      <w:r>
        <w:rPr>
          <w:rFonts w:ascii="Garamond" w:cs="Garamond" w:eastAsia="Garamond" w:hAnsi="Garamond"/>
          <w:b/>
          <w:bCs/>
          <w:i w:val="false"/>
          <w:iCs w:val="false"/>
          <w:color w:val="1B2A4A"/>
          <w:sz w:val="22"/>
          <w:szCs w:val="22"/>
        </w:rPr>
        <w:t xml:space="preserve">Revolving Door — see §10.5.c</w:t>
      </w:r>
    </w:p>
    <w:p>
      <w:pPr>
        <w:spacing w:after="120" w:before="0"/>
        <w:ind w:left="431"/>
        <w:jc w:val="both"/>
      </w:pPr>
      <w:r>
        <w:rPr>
          <w:rFonts w:ascii="Garamond" w:cs="Garamond" w:eastAsia="Garamond" w:hAnsi="Garamond"/>
          <w:b w:val="false"/>
          <w:bCs w:val="false"/>
          <w:i w:val="false"/>
          <w:iCs w:val="false"/>
          <w:color w:val="2a2520"/>
          <w:sz w:val="22"/>
          <w:szCs w:val="22"/>
        </w:rPr>
        <w:t xml:space="preserve">Post-service restrictions including the revolving door prohibition are consolidated in §10.5.c.</w:t>
      </w:r>
    </w:p>
    <w:p>
      <w:pPr>
        <w:spacing w:after="60" w:before="200"/>
        <w:ind w:left="431"/>
        <w:jc w:val="left"/>
      </w:pPr>
      <w:r>
        <w:rPr>
          <w:rFonts w:ascii="Courier New" w:cs="Courier New" w:eastAsia="Courier New" w:hAnsi="Courier New"/>
          <w:b/>
          <w:bCs/>
          <w:color w:val="1B2A4A"/>
          <w:sz w:val="18"/>
          <w:szCs w:val="18"/>
        </w:rPr>
        <w:t xml:space="preserve">§10.5.g  </w:t>
      </w:r>
      <w:r>
        <w:rPr>
          <w:rFonts w:ascii="Garamond" w:cs="Garamond" w:eastAsia="Garamond" w:hAnsi="Garamond"/>
          <w:b/>
          <w:bCs/>
          <w:i w:val="false"/>
          <w:iCs w:val="false"/>
          <w:color w:val="1B2A4A"/>
          <w:sz w:val="22"/>
          <w:szCs w:val="22"/>
        </w:rPr>
        <w:t xml:space="preserve">Official Intellectual Property</w:t>
      </w:r>
    </w:p>
    <w:p>
      <w:pPr>
        <w:spacing w:after="120" w:before="0"/>
        <w:ind w:left="431"/>
        <w:jc w:val="both"/>
      </w:pPr>
      <w:r>
        <w:rPr>
          <w:rFonts w:ascii="Garamond" w:cs="Garamond" w:eastAsia="Garamond" w:hAnsi="Garamond"/>
          <w:b w:val="false"/>
          <w:bCs w:val="false"/>
          <w:i w:val="false"/>
          <w:iCs w:val="false"/>
          <w:color w:val="2a2520"/>
          <w:sz w:val="22"/>
          <w:szCs w:val="22"/>
        </w:rPr>
        <w:t xml:space="preserve">Ideas, analyses, and work product created during official service belong to the Republic. An officer may not monetize work done in their official capacity for 5 years following service.</w:t>
      </w:r>
    </w:p>
    <w:p>
      <w:pPr>
        <w:spacing w:after="60" w:before="200"/>
        <w:ind w:left="431"/>
        <w:jc w:val="left"/>
      </w:pPr>
      <w:r>
        <w:rPr>
          <w:rFonts w:ascii="Courier New" w:cs="Courier New" w:eastAsia="Courier New" w:hAnsi="Courier New"/>
          <w:b/>
          <w:bCs/>
          <w:color w:val="1B2A4A"/>
          <w:sz w:val="18"/>
          <w:szCs w:val="18"/>
        </w:rPr>
        <w:t xml:space="preserve">§10.5.h  </w:t>
      </w:r>
      <w:r>
        <w:rPr>
          <w:rFonts w:ascii="Garamond" w:cs="Garamond" w:eastAsia="Garamond" w:hAnsi="Garamond"/>
          <w:b/>
          <w:bCs/>
          <w:i w:val="false"/>
          <w:iCs w:val="false"/>
          <w:color w:val="1B2A4A"/>
          <w:sz w:val="22"/>
          <w:szCs w:val="22"/>
        </w:rPr>
        <w:t xml:space="preserve">Ethics Enforcement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is the primary enforcement mechanism for the §10.5 ethics provisions. The EI publishes all disclosed conflicts, all flagged violations, and all referrals to the Legislature for removal proceedings. The EI publishes facts and refers serious violations — it does not impose penalties directly.</w:t>
      </w:r>
    </w:p>
    <w:p>
      <w:pPr>
        <w:spacing w:after="60" w:before="200"/>
        <w:ind w:left="431"/>
        <w:jc w:val="left"/>
      </w:pPr>
      <w:r>
        <w:rPr>
          <w:rFonts w:ascii="Courier New" w:cs="Courier New" w:eastAsia="Courier New" w:hAnsi="Courier New"/>
          <w:b/>
          <w:bCs/>
          <w:color w:val="1B2A4A"/>
          <w:sz w:val="18"/>
          <w:szCs w:val="18"/>
        </w:rPr>
        <w:t xml:space="preserve">§10.6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a constitutionally established reserve fund that provides BNF continuity during periods of severe revenue contraction. It operates independently of the annual budget process.</w:t>
      </w:r>
    </w:p>
    <w:p>
      <w:pPr>
        <w:spacing w:after="60" w:before="200"/>
        <w:ind w:left="431"/>
        <w:jc w:val="left"/>
      </w:pPr>
      <w:r>
        <w:rPr>
          <w:rFonts w:ascii="Courier New" w:cs="Courier New" w:eastAsia="Courier New" w:hAnsi="Courier New"/>
          <w:b/>
          <w:bCs/>
          <w:color w:val="1B2A4A"/>
          <w:sz w:val="18"/>
          <w:szCs w:val="18"/>
        </w:rPr>
        <w:t xml:space="preserve">§10.6.a  </w:t>
      </w:r>
      <w:r>
        <w:rPr>
          <w:rFonts w:ascii="Garamond" w:cs="Garamond" w:eastAsia="Garamond" w:hAnsi="Garamond"/>
          <w:b/>
          <w:bCs/>
          <w:i w:val="false"/>
          <w:iCs w:val="false"/>
          <w:color w:val="1B2A4A"/>
          <w:sz w:val="22"/>
          <w:szCs w:val="22"/>
        </w:rPr>
        <w:t xml:space="preserve">National Endowment Trustee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governed by a board of five trustees selected by public lottery from a constitutionally maintained Trustee Pool. The President and PM each nominate one qualified person per year to the Trustee Pool. Each nominee must hold demonstrable expertise in investment management, public finance, or fiduciary governance as determined by a qualifications standard published by the Legislature by statute. Each nominee must be confirmed by the Senate within 60 days of nomination by affirmative vote — no deemed confirmation applies. Unconfirmed nominees are returned without prejudice; the nominating executive may submit a replacement within 30 days. No more than two confirmed Pool members may be nominees of the same executive at any time. The Pool must maintain a minimum of ten confirmed members; if it falls below ten, both executives must nominate within 30 days and the JI publishes a notice of pool deficiency to the NRS.</w:t>
      </w:r>
    </w:p>
    <w:p>
      <w:pPr>
        <w:spacing w:after="60" w:before="200"/>
        <w:ind w:left="431"/>
        <w:jc w:val="left"/>
      </w:pPr>
      <w:r>
        <w:rPr>
          <w:rFonts w:ascii="Courier New" w:cs="Courier New" w:eastAsia="Courier New" w:hAnsi="Courier New"/>
          <w:b/>
          <w:bCs/>
          <w:color w:val="1B2A4A"/>
          <w:sz w:val="18"/>
          <w:szCs w:val="18"/>
        </w:rPr>
        <w:t xml:space="preserve">§10.6.a.i  </w:t>
      </w:r>
      <w:r>
        <w:rPr>
          <w:rFonts w:ascii="Garamond" w:cs="Garamond" w:eastAsia="Garamond" w:hAnsi="Garamond"/>
          <w:b/>
          <w:bCs/>
          <w:i w:val="false"/>
          <w:iCs w:val="false"/>
          <w:color w:val="1B2A4A"/>
          <w:sz w:val="22"/>
          <w:szCs w:val="22"/>
        </w:rPr>
        <w:t xml:space="preserve">Trustee Draw and Terms</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Endowment board has a vacancy, all three Inspectorates jointly conduct a public lottery draw from the confirmed Trustee Pool, excluding current serving trustees. The draw selects one trustee per vacancy. Trustees serve staggered 6-year non-renewable terms. A trustee drawn to fill a mid-term vacancy serves only the remainder of that term. The JI certifies each draw and publishes the result to the NRS within 24 hours. No trustee may be removed except for cause under the same grounds applicable to independent constitutional officers — the board's independence from political direction is constitutionally protected.</w:t>
      </w:r>
    </w:p>
    <w:p>
      <w:pPr>
        <w:spacing w:after="60" w:before="200"/>
        <w:ind w:left="431"/>
        <w:jc w:val="left"/>
      </w:pPr>
      <w:r>
        <w:rPr>
          <w:rFonts w:ascii="Courier New" w:cs="Courier New" w:eastAsia="Courier New" w:hAnsi="Courier New"/>
          <w:b/>
          <w:bCs/>
          <w:color w:val="1B2A4A"/>
          <w:sz w:val="18"/>
          <w:szCs w:val="18"/>
        </w:rPr>
        <w:t xml:space="preserve">§10.6.a.ii  </w:t>
      </w:r>
      <w:r>
        <w:rPr>
          <w:rFonts w:ascii="Garamond" w:cs="Garamond" w:eastAsia="Garamond" w:hAnsi="Garamond"/>
          <w:b/>
          <w:bCs/>
          <w:i w:val="false"/>
          <w:iCs w:val="false"/>
          <w:color w:val="1B2A4A"/>
          <w:sz w:val="22"/>
          <w:szCs w:val="22"/>
        </w:rPr>
        <w:t xml:space="preserve">Trustee Mandate and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board's sole mandate is to preserve and grow the Endowment fund for BNF backstop purposes. The board may not be directed to any other investment goal by either executive or the Legislature. All board decisions, investment mandates, and performance reports are published to the NRS quarterly. The EI audits the board annually for compliance with the sole-mandate requirement and publishes findings to the NRS. A trustee who acts outside the sole mandate has committed a constitutional breach.</w:t>
      </w:r>
    </w:p>
    <w:p>
      <w:pPr>
        <w:spacing w:after="60" w:before="200"/>
        <w:ind w:left="431"/>
        <w:jc w:val="left"/>
      </w:pPr>
      <w:r>
        <w:rPr>
          <w:rFonts w:ascii="Courier New" w:cs="Courier New" w:eastAsia="Courier New" w:hAnsi="Courier New"/>
          <w:b/>
          <w:bCs/>
          <w:color w:val="1B2A4A"/>
          <w:sz w:val="18"/>
          <w:szCs w:val="18"/>
        </w:rPr>
        <w:t xml:space="preserve">§10.6.b  </w:t>
      </w:r>
      <w:r>
        <w:rPr>
          <w:rFonts w:ascii="Garamond" w:cs="Garamond" w:eastAsia="Garamond" w:hAnsi="Garamond"/>
          <w:b/>
          <w:bCs/>
          <w:i w:val="false"/>
          <w:iCs w:val="false"/>
          <w:color w:val="1B2A4A"/>
          <w:sz w:val="22"/>
          <w:szCs w:val="22"/>
        </w:rPr>
        <w:t xml:space="preserve">National Endowment Activation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MA certifies a Severe Revenue Contraction under §10.1.f, the Endowment is automatically activated. The board must begin BNF supplement disbursements within 30 days. Disbursements continue until the MA certifies that the revenue contraction has ended. The board may not withhold disbursements during a certified contraction — activation is automatic.</w:t>
      </w:r>
    </w:p>
    <w:p>
      <w:pPr>
        <w:spacing w:after="60" w:before="200"/>
        <w:ind w:left="431"/>
        <w:jc w:val="left"/>
      </w:pPr>
      <w:r>
        <w:rPr>
          <w:rFonts w:ascii="Courier New" w:cs="Courier New" w:eastAsia="Courier New" w:hAnsi="Courier New"/>
          <w:b/>
          <w:bCs/>
          <w:color w:val="1B2A4A"/>
          <w:sz w:val="18"/>
          <w:szCs w:val="18"/>
        </w:rPr>
        <w:t xml:space="preserve">§10.7  </w:t>
      </w:r>
      <w:r>
        <w:rPr>
          <w:rFonts w:ascii="Garamond" w:cs="Garamond" w:eastAsia="Garamond" w:hAnsi="Garamond"/>
          <w:b/>
          <w:bCs/>
          <w:i w:val="false"/>
          <w:iCs w:val="false"/>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official may set their own compensation or the compensation of their direct supervisors. All official compensation is set by House statute and is public record on the NRS.</w:t>
      </w:r>
    </w:p>
    <w:p>
      <w:pPr>
        <w:spacing w:after="60" w:before="200"/>
        <w:ind w:left="431"/>
        <w:jc w:val="left"/>
      </w:pPr>
      <w:r>
        <w:rPr>
          <w:rFonts w:ascii="Courier New" w:cs="Courier New" w:eastAsia="Courier New" w:hAnsi="Courier New"/>
          <w:b/>
          <w:bCs/>
          <w:color w:val="1B2A4A"/>
          <w:sz w:val="18"/>
          <w:szCs w:val="18"/>
        </w:rPr>
        <w:t xml:space="preserve">§10.7.a  </w:t>
      </w:r>
      <w:r>
        <w:rPr>
          <w:rFonts w:ascii="Garamond" w:cs="Garamond" w:eastAsia="Garamond" w:hAnsi="Garamond"/>
          <w:b/>
          <w:bCs/>
          <w:i w:val="false"/>
          <w:iCs w:val="false"/>
          <w:color w:val="1B2A4A"/>
          <w:sz w:val="22"/>
          <w:szCs w:val="22"/>
        </w:rPr>
        <w:t xml:space="preserve">Jury Service — see §4.5</w:t>
      </w:r>
    </w:p>
    <w:p>
      <w:pPr>
        <w:spacing w:after="120" w:before="0"/>
        <w:ind w:left="431"/>
        <w:jc w:val="both"/>
      </w:pPr>
      <w:r>
        <w:rPr>
          <w:rFonts w:ascii="Garamond" w:cs="Garamond" w:eastAsia="Garamond" w:hAnsi="Garamond"/>
          <w:b w:val="false"/>
          <w:bCs w:val="false"/>
          <w:i w:val="false"/>
          <w:iCs w:val="false"/>
          <w:color w:val="2a2520"/>
          <w:sz w:val="22"/>
          <w:szCs w:val="22"/>
        </w:rPr>
        <w:t xml:space="preserve">Jury service obligations, compensation, and enforcement are established in §4.5.</w:t>
      </w:r>
    </w:p>
    <w:p>
      <w:pPr>
        <w:spacing w:after="60" w:before="200"/>
        <w:jc w:val="left"/>
      </w:pPr>
      <w:r>
        <w:rPr>
          <w:rFonts w:ascii="Garamond" w:cs="Garamond" w:eastAsia="Garamond" w:hAnsi="Garamond"/>
          <w:b/>
          <w:bCs/>
          <w:i w:val="false"/>
          <w:iCs w:val="false"/>
          <w:color w:val="1B2A4A"/>
          <w:sz w:val="34"/>
          <w:szCs w:val="34"/>
        </w:rPr>
        <w:t xml:space="preserve">Article XI — Direct Democracy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initiate a national referendum to repeal enacted legislation by petition of 5% of eligible voters within 90 days of enactment. The LI screens petitions for eligibility — laws that solely or primarily expand an Article I right are not eligible for referendum (the Bill of Rights cannot be repealed by popular vote). Simple majority of votes cast overturns the law.</w:t>
      </w:r>
    </w:p>
    <w:p>
      <w:pPr>
        <w:spacing w:after="60" w:before="200"/>
        <w:ind w:left="431"/>
        <w:jc w:val="left"/>
      </w:pPr>
      <w:r>
        <w:rPr>
          <w:rFonts w:ascii="Courier New" w:cs="Courier New" w:eastAsia="Courier New" w:hAnsi="Courier New"/>
          <w:b/>
          <w:bCs/>
          <w:color w:val="1B2A4A"/>
          <w:sz w:val="18"/>
          <w:szCs w:val="18"/>
        </w:rPr>
        <w:t xml:space="preserve">§11.1.a  </w:t>
      </w:r>
      <w:r>
        <w:rPr>
          <w:rFonts w:ascii="Garamond" w:cs="Garamond" w:eastAsia="Garamond" w:hAnsi="Garamond"/>
          <w:b/>
          <w:bCs/>
          <w:i w:val="false"/>
          <w:iCs w:val="false"/>
          <w:color w:val="1B2A4A"/>
          <w:sz w:val="22"/>
          <w:szCs w:val="22"/>
        </w:rPr>
        <w:t xml:space="preserve">Citizen Petition Right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5% petition must be collected within 90 days of the law's enactment. The EC verifies petition signatures for eligibility. If the threshold is met, the EC administers the referendum within 90 days of verification. Petitioners may withdraw the petition before the referendum is scheduled, but not after.</w:t>
      </w:r>
    </w:p>
    <w:p>
      <w:pPr>
        <w:spacing w:after="60" w:before="200"/>
        <w:ind w:left="431"/>
        <w:jc w:val="left"/>
      </w:pPr>
      <w:r>
        <w:rPr>
          <w:rFonts w:ascii="Courier New" w:cs="Courier New" w:eastAsia="Courier New" w:hAnsi="Courier New"/>
          <w:b/>
          <w:bCs/>
          <w:color w:val="1B2A4A"/>
          <w:sz w:val="18"/>
          <w:szCs w:val="18"/>
        </w:rPr>
        <w:t xml:space="preserve">§11.1.b  </w:t>
      </w:r>
      <w:r>
        <w:rPr>
          <w:rFonts w:ascii="Garamond" w:cs="Garamond" w:eastAsia="Garamond" w:hAnsi="Garamond"/>
          <w:b/>
          <w:bCs/>
          <w:i w:val="false"/>
          <w:iCs w:val="false"/>
          <w:color w:val="1B2A4A"/>
          <w:sz w:val="22"/>
          <w:szCs w:val="22"/>
        </w:rPr>
        <w:t xml:space="preserve">Eligibility Screen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Legislative Inspectorate determines whether a targeted law is eligible for referendum. Laws that solely or primarily expand an Article I right are ineligible; a law cannot be repealed by referendum if its primary effect is to broaden individual protections. Budget laws and laws implementing a constitutionally mandated obligation are also ineligible. The LI publishes its eligibility determination to the NRS within 14 days of petition submission. An ineligibility determination may be challenged in the Appellate Court within 7 days; the Court must rule within 21 days.</w:t>
      </w:r>
    </w:p>
    <w:p>
      <w:pPr>
        <w:spacing w:after="60" w:before="200"/>
        <w:ind w:left="431"/>
        <w:jc w:val="left"/>
      </w:pPr>
      <w:r>
        <w:rPr>
          <w:rFonts w:ascii="Courier New" w:cs="Courier New" w:eastAsia="Courier New" w:hAnsi="Courier New"/>
          <w:b/>
          <w:bCs/>
          <w:color w:val="1B2A4A"/>
          <w:sz w:val="18"/>
          <w:szCs w:val="18"/>
        </w:rPr>
        <w:t xml:space="preserve">§11.1.c  </w:t>
      </w:r>
      <w:r>
        <w:rPr>
          <w:rFonts w:ascii="Garamond" w:cs="Garamond" w:eastAsia="Garamond" w:hAnsi="Garamond"/>
          <w:b/>
          <w:bCs/>
          <w:i w:val="false"/>
          <w:iCs w:val="false"/>
          <w:color w:val="1B2A4A"/>
          <w:sz w:val="22"/>
          <w:szCs w:val="22"/>
        </w:rPr>
        <w:t xml:space="preserve">Referendum Thresholds and Finality</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referendum passes (simple majority of votes cast, subject to the Legislature-defined turnout threshold), the law is repealed immediately upon EC certification. If it fails, the law remains in effect and cannot be subjected to referendum on the same grounds for 5 years. The Legislature may re-enact a repealed law, but the re-enacted version is again subject to referendum.</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hold the right to propose legislation directly to the Legislature through the initiative mechanism. The initiative is distinct from the referendum — it creates new law rather than repealing enacted law.</w:t>
      </w:r>
    </w:p>
    <w:p>
      <w:pPr>
        <w:spacing w:after="60" w:before="200"/>
        <w:ind w:left="431"/>
        <w:jc w:val="left"/>
      </w:pPr>
      <w:r>
        <w:rPr>
          <w:rFonts w:ascii="Courier New" w:cs="Courier New" w:eastAsia="Courier New" w:hAnsi="Courier New"/>
          <w:b/>
          <w:bCs/>
          <w:color w:val="1B2A4A"/>
          <w:sz w:val="18"/>
          <w:szCs w:val="18"/>
        </w:rPr>
        <w:t xml:space="preserve">§11.2.a  </w:t>
      </w:r>
      <w:r>
        <w:rPr>
          <w:rFonts w:ascii="Garamond" w:cs="Garamond" w:eastAsia="Garamond" w:hAnsi="Garamond"/>
          <w:b/>
          <w:bCs/>
          <w:i w:val="false"/>
          <w:iCs w:val="false"/>
          <w:color w:val="1B2A4A"/>
          <w:sz w:val="22"/>
          <w:szCs w:val="22"/>
        </w:rPr>
        <w:t xml:space="preserve">Initiative Process and Thresholds</w:t>
      </w:r>
    </w:p>
    <w:p>
      <w:pPr>
        <w:spacing w:after="120" w:before="0"/>
        <w:ind w:left="431"/>
        <w:jc w:val="both"/>
      </w:pPr>
      <w:r>
        <w:rPr>
          <w:rFonts w:ascii="Garamond" w:cs="Garamond" w:eastAsia="Garamond" w:hAnsi="Garamond"/>
          <w:b w:val="false"/>
          <w:bCs w:val="false"/>
          <w:i w:val="false"/>
          <w:iCs w:val="false"/>
          <w:color w:val="2a2520"/>
          <w:sz w:val="22"/>
          <w:szCs w:val="22"/>
        </w:rPr>
        <w:t xml:space="preserve">10% of eligible voters petition for a specific legislative proposal. The Legislature must vote on the proposal within 90 days. If it fails or is not voted on, the proposal proceeds to a national referendum at the §15.1.c thresholds — citizen-initiated legislation that bypasses the Legislature requires a higher democratic mandate than simple repeal.</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Local governments — cities, counties, municipalities, and other subdivisions — receive constitutional recognition as the primary points of contact between citizens and government. They are entitled to reasonable fiscal capacity to carry out their constitutional functions. States may not starve local governments to achieve de facto state centralization.</w:t>
      </w:r>
    </w:p>
    <w:p>
      <w:pPr>
        <w:spacing w:after="60" w:before="200"/>
        <w:jc w:val="left"/>
      </w:pPr>
      <w:r>
        <w:rPr>
          <w:rFonts w:ascii="Garamond" w:cs="Garamond" w:eastAsia="Garamond" w:hAnsi="Garamond"/>
          <w:b/>
          <w:bCs/>
          <w:i w:val="false"/>
          <w:iCs w:val="false"/>
          <w:color w:val="1B2A4A"/>
          <w:sz w:val="34"/>
          <w:szCs w:val="34"/>
        </w:rPr>
        <w:t xml:space="preserve">Article XII — Military Authorization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limits military force to three purposes: border protection and territorial integrity; defense of treaty allies within defined triggering thresholds; and prevention of genocide or civilizational collapse. Three prohibited purposes are equally significant: nation-building, resource extraction, and ideological imposition. A Tier 3 Legislative Declaration must state which authorized purpose it serves — declarations that cannot be linked to an authorized purpose are constitutionally void.</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Legislative Declaration of Defense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Emergency Defense Allocation is the automatic funding mechanism that activates with a Tier 3 Declaration. The PM certifies funds concurrent with the Legislative Declaration — no Declaration takes effect without PM certification. The allocation covers specific categories of military expenditure defined by the Declaration.</w:t>
      </w:r>
    </w:p>
    <w:p>
      <w:pPr>
        <w:spacing w:after="60" w:before="200"/>
        <w:ind w:left="431"/>
        <w:jc w:val="left"/>
      </w:pPr>
      <w:r>
        <w:rPr>
          <w:rFonts w:ascii="Courier New" w:cs="Courier New" w:eastAsia="Courier New" w:hAnsi="Courier New"/>
          <w:b/>
          <w:bCs/>
          <w:color w:val="1B2A4A"/>
          <w:sz w:val="18"/>
          <w:szCs w:val="18"/>
        </w:rPr>
        <w:t xml:space="preserve">§12.2.a  </w:t>
      </w:r>
      <w:r>
        <w:rPr>
          <w:rFonts w:ascii="Garamond" w:cs="Garamond" w:eastAsia="Garamond" w:hAnsi="Garamond"/>
          <w:b/>
          <w:bCs/>
          <w:i w:val="false"/>
          <w:iCs w:val="false"/>
          <w:color w:val="1B2A4A"/>
          <w:sz w:val="22"/>
          <w:szCs w:val="22"/>
        </w:rPr>
        <w:t xml:space="preserve">Defense Allocation Categories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Declaration must specify which expenditure categories are authorized: operational costs, equipment, personnel, intelligence support, logistics, and post-conflict obligations. Expenditure in uncategorized areas requires a supplementary PM certification. The categorization requirement prevents the Declaration from becoming a blank check.</w:t>
      </w:r>
    </w:p>
    <w:p>
      <w:pPr>
        <w:spacing w:after="60" w:before="200"/>
        <w:ind w:left="431"/>
        <w:jc w:val="left"/>
      </w:pPr>
      <w:r>
        <w:rPr>
          <w:rFonts w:ascii="Courier New" w:cs="Courier New" w:eastAsia="Courier New" w:hAnsi="Courier New"/>
          <w:b/>
          <w:bCs/>
          <w:color w:val="1B2A4A"/>
          <w:sz w:val="18"/>
          <w:szCs w:val="18"/>
        </w:rPr>
        <w:t xml:space="preserve">§12.2.b  </w:t>
      </w:r>
      <w:r>
        <w:rPr>
          <w:rFonts w:ascii="Garamond" w:cs="Garamond" w:eastAsia="Garamond" w:hAnsi="Garamond"/>
          <w:b/>
          <w:bCs/>
          <w:i w:val="false"/>
          <w:iCs w:val="false"/>
          <w:color w:val="1B2A4A"/>
          <w:sz w:val="22"/>
          <w:szCs w:val="22"/>
        </w:rPr>
        <w:t xml:space="preserve">Emergency Defense Allocation Renewal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Emergency Defense Allocation renews automatically with each 180-day Declaration renewal, subject to PM certification. If the Legislature renews the Declaration but the PM withholds certification, the Declaration is voided — the PM's fiscal certification is an independent constitutional check on military operations.</w:t>
      </w:r>
    </w:p>
    <w:p>
      <w:pPr>
        <w:spacing w:after="60" w:before="200"/>
        <w:ind w:left="431"/>
        <w:jc w:val="left"/>
      </w:pPr>
      <w:r>
        <w:rPr>
          <w:rFonts w:ascii="Courier New" w:cs="Courier New" w:eastAsia="Courier New" w:hAnsi="Courier New"/>
          <w:b/>
          <w:bCs/>
          <w:color w:val="1B2A4A"/>
          <w:sz w:val="18"/>
          <w:szCs w:val="18"/>
        </w:rPr>
        <w:t xml:space="preserve">§12.2.c  </w:t>
      </w:r>
      <w:r>
        <w:rPr>
          <w:rFonts w:ascii="Garamond" w:cs="Garamond" w:eastAsia="Garamond" w:hAnsi="Garamond"/>
          <w:b/>
          <w:bCs/>
          <w:i w:val="false"/>
          <w:iCs w:val="false"/>
          <w:color w:val="1B2A4A"/>
          <w:sz w:val="22"/>
          <w:szCs w:val="22"/>
        </w:rPr>
        <w:t xml:space="preserve">Allocation Termination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Tier 3 Declaration expires or is not renewed, all Emergency Defense Allocation expenditure ceases automatically within 48 hours. Ongoing contracts within the certified allocation may continue to wind down for 30 days. New commitments may not be entered after Declaration expiry. The EI monitors wind-down expenditure throughout the 30-day period. Where irregularities are identified, the EI reports directly and confidentially to the Senate Armed Services Committee without NRS publication; operational security during wind-down is preserved by this confidential channel. The full wind-down expenditure record is published to the NRS as part of the §12.2.e post-allocation accountability report after military operations are fully concluded — defined as the end of the 30-day wind-down period.</w:t>
      </w:r>
    </w:p>
    <w:p>
      <w:pPr>
        <w:spacing w:after="60" w:before="200"/>
        <w:ind w:left="431"/>
        <w:jc w:val="left"/>
      </w:pPr>
      <w:r>
        <w:rPr>
          <w:rFonts w:ascii="Courier New" w:cs="Courier New" w:eastAsia="Courier New" w:hAnsi="Courier New"/>
          <w:b/>
          <w:bCs/>
          <w:color w:val="1B2A4A"/>
          <w:sz w:val="18"/>
          <w:szCs w:val="18"/>
        </w:rPr>
        <w:t xml:space="preserve">§12.2.d  </w:t>
      </w:r>
      <w:r>
        <w:rPr>
          <w:rFonts w:ascii="Garamond" w:cs="Garamond" w:eastAsia="Garamond" w:hAnsi="Garamond"/>
          <w:b/>
          <w:bCs/>
          <w:i w:val="false"/>
          <w:iCs w:val="false"/>
          <w:color w:val="1B2A4A"/>
          <w:sz w:val="22"/>
          <w:szCs w:val="22"/>
        </w:rPr>
        <w:t xml:space="preserve">Oversight of Allocation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audits Emergency Defense Allocation spending quarterly during any active Tier 3 Declaration and publishes findings to the NRS. The audit covers whether expenditure falls within certified categories, whether PM certifications were obtained, and whether expenditure complied with emergency procurement standards.</w:t>
      </w:r>
    </w:p>
    <w:p>
      <w:pPr>
        <w:spacing w:after="60" w:before="200"/>
        <w:ind w:left="431"/>
        <w:jc w:val="left"/>
      </w:pPr>
      <w:r>
        <w:rPr>
          <w:rFonts w:ascii="Courier New" w:cs="Courier New" w:eastAsia="Courier New" w:hAnsi="Courier New"/>
          <w:b/>
          <w:bCs/>
          <w:color w:val="1B2A4A"/>
          <w:sz w:val="18"/>
          <w:szCs w:val="18"/>
        </w:rPr>
        <w:t xml:space="preserve">§12.2.e  </w:t>
      </w:r>
      <w:r>
        <w:rPr>
          <w:rFonts w:ascii="Garamond" w:cs="Garamond" w:eastAsia="Garamond" w:hAnsi="Garamond"/>
          <w:b/>
          <w:bCs/>
          <w:i w:val="false"/>
          <w:iCs w:val="false"/>
          <w:color w:val="1B2A4A"/>
          <w:sz w:val="22"/>
          <w:szCs w:val="22"/>
        </w:rPr>
        <w:t xml:space="preserve">Post-Allocation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180 days of a Declaration's final expiry, the EI publishes a comprehensive allocation accountability report covering the entire period: total expenditure by category, compliance with PM certifications, and any identified irregularities.</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Military Intelligence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use of intelligence capabilities in support of authorized military operations. The §1.30.d Intelligence Firewall applies at all times — no military operation authorizes domestic intelligence collection against citizens. Intelligence activities must be published to the NRS in classified summary form within 90 days of military operations being fully concluded as defined in §12.2.c.</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90 days of a Tier 3 Declaration being renewed for a second time, the Senate must approve a Transition and Reconstruction Plan specifying the Republic's post-conflict obligations: status of alliance obligations, civilian reconstruction support, transitional justice support, and withdrawal timeline. The Plan is published to the NRS and is binding on the executive. If the Senate fails to approve a Plan within the required period, the LI certifies a constitutional compliance breach. The PM may provisionally authorize continued operations under the existing Declaration pending Senate action, as specified in §12.4.a.</w:t>
      </w:r>
    </w:p>
    <w:p>
      <w:pPr>
        <w:spacing w:after="60" w:before="200"/>
        <w:ind w:left="431"/>
        <w:jc w:val="left"/>
      </w:pPr>
      <w:r>
        <w:rPr>
          <w:rFonts w:ascii="Courier New" w:cs="Courier New" w:eastAsia="Courier New" w:hAnsi="Courier New"/>
          <w:b/>
          <w:bCs/>
          <w:color w:val="1B2A4A"/>
          <w:sz w:val="18"/>
          <w:szCs w:val="18"/>
        </w:rPr>
        <w:t xml:space="preserve">§12.4.a  </w:t>
      </w:r>
      <w:r>
        <w:rPr>
          <w:rFonts w:ascii="Garamond" w:cs="Garamond" w:eastAsia="Garamond" w:hAnsi="Garamond"/>
          <w:b/>
          <w:bCs/>
          <w:i w:val="false"/>
          <w:iCs w:val="false"/>
          <w:color w:val="1B2A4A"/>
          <w:sz w:val="22"/>
          <w:szCs w:val="22"/>
        </w:rPr>
        <w:t xml:space="preserve">Provisional PM Authorization — Transition Plan Failure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LI has certified a compliance breach under §12.4, the PM may provisionally authorize continued military operations under the existing Declaration using their fiscal certification authority under §2.1.d. Provisional authorization is granted in two extensions of 30 days each — 60 days total maximum. At each extension the PM must: notify the Senate Armed Services Committee in writing of the extension and its duration; certify to the LI and EI that operations remain within the scope of the existing Declaration and that no new commitments have been entered; and publish a notice of provisional authorization to the NRS. The LI and EI monitor compliance with these requirements and publish any breach findings immediately to the NRS. The PM's provisional authorization is a fiscal continuation of existing authority — it does not expand the scope of operations, authorize new commitments, or displace the President's operational command. Once the two 30-day extensions are exhausted, no further Declaration renewals are permitted until the Senate approves a Transition and Reconstruction Plan. The current Declaration continues to its natural expiry date and wind-down proceeds under §12.2.c. The Senate may approve a Plan at any point during the provisional authorization period and restore the standard renewal process immediately upon approval.</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invoke Treaty Emergency Certification as an alternative to the standard Tier authorization process, subject to the requirements of §12.5.a and §12.5.b. Treaty Emergency Certification does not displace the Legislature's ultimate authority over sustained operations — it provides an expedited initial response pathway only.</w:t>
      </w:r>
    </w:p>
    <w:p>
      <w:pPr>
        <w:spacing w:after="60" w:before="200"/>
        <w:ind w:left="431"/>
        <w:jc w:val="left"/>
      </w:pPr>
      <w:r>
        <w:rPr>
          <w:rFonts w:ascii="Courier New" w:cs="Courier New" w:eastAsia="Courier New" w:hAnsi="Courier New"/>
          <w:b/>
          <w:bCs/>
          <w:color w:val="1B2A4A"/>
          <w:sz w:val="18"/>
          <w:szCs w:val="18"/>
        </w:rPr>
        <w:t xml:space="preserve">§12.5.a  </w:t>
      </w:r>
      <w:r>
        <w:rPr>
          <w:rFonts w:ascii="Garamond" w:cs="Garamond" w:eastAsia="Garamond" w:hAnsi="Garamond"/>
          <w:b/>
          <w:bCs/>
          <w:i w:val="false"/>
          <w:iCs w:val="false"/>
          <w:color w:val="1B2A4A"/>
          <w:sz w:val="22"/>
          <w:szCs w:val="22"/>
        </w:rPr>
        <w:t xml:space="preserve">Treaty Emergency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invoke Treaty Emergency Certification as an alternative to the standard Tier authorization process. The certification must be published to the NRS within 6 hours with the specific treaty obligation cited. The Senate Armed Services Committee reviews the certification within 48 hours.</w:t>
      </w:r>
    </w:p>
    <w:p>
      <w:pPr>
        <w:spacing w:after="60" w:before="200"/>
        <w:ind w:left="431"/>
        <w:jc w:val="left"/>
      </w:pPr>
      <w:r>
        <w:rPr>
          <w:rFonts w:ascii="Courier New" w:cs="Courier New" w:eastAsia="Courier New" w:hAnsi="Courier New"/>
          <w:b/>
          <w:bCs/>
          <w:color w:val="1B2A4A"/>
          <w:sz w:val="18"/>
          <w:szCs w:val="18"/>
        </w:rPr>
        <w:t xml:space="preserve">§12.5.b  </w:t>
      </w:r>
      <w:r>
        <w:rPr>
          <w:rFonts w:ascii="Garamond" w:cs="Garamond" w:eastAsia="Garamond" w:hAnsi="Garamond"/>
          <w:b/>
          <w:bCs/>
          <w:i w:val="false"/>
          <w:iCs w:val="false"/>
          <w:color w:val="1B2A4A"/>
          <w:sz w:val="22"/>
          <w:szCs w:val="22"/>
        </w:rPr>
        <w:t xml:space="preserve">Treaty Emergency Procedures</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Emergency Certification activates the same 96-hour Senate Armed Services Committee review as Tier 2 authorization. The President must notify both chambers and the PM within 12 hours of invoking certification, specifying the treaty obligation triggered and the anticipated scope of operations. If the Senate Armed Services Committee does not authorize continued operations within 96 hours, operations must cease except for immediate defensive protection of Republic territory. Upon receiving the §12.5.b notification, the PM must within 6 hours either certify funding under §2.1.d or publish a formal objection to the NRS. If the PM does not respond within 6 hours, funding certification is deemed granted and the EI records the non-response as a constitutional lapse. If the PM formally objects, the matter is referred immediately to the SC for emergency resolution; operations may continue during SC review but no new commitments may be entered until the SC rules.</w:t>
      </w:r>
    </w:p>
    <w:p>
      <w:pPr>
        <w:spacing w:after="60" w:before="200"/>
        <w:ind w:left="431"/>
        <w:jc w:val="left"/>
      </w:pPr>
      <w:r>
        <w:rPr>
          <w:rFonts w:ascii="Courier New" w:cs="Courier New" w:eastAsia="Courier New" w:hAnsi="Courier New"/>
          <w:b/>
          <w:bCs/>
          <w:color w:val="1B2A4A"/>
          <w:sz w:val="18"/>
          <w:szCs w:val="18"/>
        </w:rPr>
        <w:t xml:space="preserve">§12.5.c  </w:t>
      </w:r>
      <w:r>
        <w:rPr>
          <w:rFonts w:ascii="Garamond" w:cs="Garamond" w:eastAsia="Garamond" w:hAnsi="Garamond"/>
          <w:b/>
          <w:bCs/>
          <w:i w:val="false"/>
          <w:iCs w:val="false"/>
          <w:color w:val="1B2A4A"/>
          <w:sz w:val="22"/>
          <w:szCs w:val="22"/>
        </w:rPr>
        <w:t xml:space="preserve">No Blank Check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Treaty Emergency Certification covers operational costs for the initial response and triggers parliamentary authorization for any extended engagement. Treaties cannot be blank checks for extended military commitment — each sustained engagement requires parliamentary authorization regardless of what the treaty says.</w:t>
      </w:r>
    </w:p>
    <w:p>
      <w:pPr>
        <w:spacing w:after="60" w:before="200"/>
        <w:jc w:val="left"/>
      </w:pPr>
      <w:r>
        <w:rPr>
          <w:rFonts w:ascii="Garamond" w:cs="Garamond" w:eastAsia="Garamond" w:hAnsi="Garamond"/>
          <w:b/>
          <w:bCs/>
          <w:i w:val="false"/>
          <w:iCs w:val="false"/>
          <w:color w:val="1B2A4A"/>
          <w:sz w:val="34"/>
          <w:szCs w:val="34"/>
        </w:rPr>
        <w:t xml:space="preserve">Article XIII — Territorial Structure and Statehood</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i w:val="false"/>
          <w:iCs w:val="false"/>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foundational category for non-State jurisdictions within the Republic. A Territory operates under a Territorial Compact, has federal protections under Article I, receives BNF benefits, and may begin the Statehood pathway under §13.2. Territories hold House seats proportional to their population under §3.1.a and participate in the House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i w:val="false"/>
          <w:iCs w:val="false"/>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pathway from Territory to State is automatic upon successfully completing the Statehood Audit and Provisional Membership Period. No political vote in Congress is required once the audit is passed — statehood is a constitutional entitlement for any Territory that meets the criteria, not a political grant.</w:t>
      </w:r>
    </w:p>
    <w:p>
      <w:pPr>
        <w:spacing w:after="60" w:before="200"/>
        <w:ind w:left="431"/>
        <w:jc w:val="left"/>
      </w:pPr>
      <w:r>
        <w:rPr>
          <w:rFonts w:ascii="Courier New" w:cs="Courier New" w:eastAsia="Courier New" w:hAnsi="Courier New"/>
          <w:b/>
          <w:bCs/>
          <w:color w:val="1B2A4A"/>
          <w:sz w:val="18"/>
          <w:szCs w:val="18"/>
        </w:rPr>
        <w:t xml:space="preserve">§13.2.a  </w:t>
      </w:r>
      <w:r>
        <w:rPr>
          <w:rFonts w:ascii="Garamond" w:cs="Garamond" w:eastAsia="Garamond" w:hAnsi="Garamond"/>
          <w:b/>
          <w:bCs/>
          <w:i w:val="false"/>
          <w:iCs w:val="false"/>
          <w:color w:val="1B2A4A"/>
          <w:sz w:val="22"/>
          <w:szCs w:val="22"/>
        </w:rPr>
        <w:t xml:space="preserve">Fiscal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the territory's government finances for basic fiscal sustainability, absence of structural insolvency that would require federal bailout, and basic public financial management standards. The audit checks whether the territory can function as a financially independent State — not whether its fiscal policy is optimal.</w:t>
      </w:r>
    </w:p>
    <w:p>
      <w:pPr>
        <w:spacing w:after="60" w:before="200"/>
        <w:ind w:left="431"/>
        <w:jc w:val="left"/>
      </w:pPr>
      <w:r>
        <w:rPr>
          <w:rFonts w:ascii="Courier New" w:cs="Courier New" w:eastAsia="Courier New" w:hAnsi="Courier New"/>
          <w:b/>
          <w:bCs/>
          <w:color w:val="1B2A4A"/>
          <w:sz w:val="18"/>
          <w:szCs w:val="18"/>
        </w:rPr>
        <w:t xml:space="preserve">§13.2.b  </w:t>
      </w:r>
      <w:r>
        <w:rPr>
          <w:rFonts w:ascii="Garamond" w:cs="Garamond" w:eastAsia="Garamond" w:hAnsi="Garamond"/>
          <w:b/>
          <w:bCs/>
          <w:i w:val="false"/>
          <w:iCs w:val="false"/>
          <w:color w:val="1B2A4A"/>
          <w:sz w:val="22"/>
          <w:szCs w:val="22"/>
        </w:rPr>
        <w:t xml:space="preserve">Legal Sync</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the territory's legal system for compliance with every Article I right. Statehood is not granted to jurisdictions that are constitutionally non-compliant — a territory that applies Article I rights inconsistently cannot become a State while those violations persist.</w:t>
      </w:r>
    </w:p>
    <w:p>
      <w:pPr>
        <w:spacing w:after="60" w:before="200"/>
        <w:ind w:left="431"/>
        <w:jc w:val="left"/>
      </w:pPr>
      <w:r>
        <w:rPr>
          <w:rFonts w:ascii="Courier New" w:cs="Courier New" w:eastAsia="Courier New" w:hAnsi="Courier New"/>
          <w:b/>
          <w:bCs/>
          <w:color w:val="1B2A4A"/>
          <w:sz w:val="18"/>
          <w:szCs w:val="18"/>
        </w:rPr>
        <w:t xml:space="preserve">§13.2.c  </w:t>
      </w:r>
      <w:r>
        <w:rPr>
          <w:rFonts w:ascii="Garamond" w:cs="Garamond" w:eastAsia="Garamond" w:hAnsi="Garamond"/>
          <w:b/>
          <w:bCs/>
          <w:i w:val="false"/>
          <w:iCs w:val="false"/>
          <w:color w:val="1B2A4A"/>
          <w:sz w:val="22"/>
          <w:szCs w:val="22"/>
        </w:rPr>
        <w:t xml:space="preserve">The Provisional Membership Period</w:t>
      </w:r>
    </w:p>
    <w:p>
      <w:pPr>
        <w:spacing w:after="120" w:before="0"/>
        <w:ind w:left="431"/>
        <w:jc w:val="both"/>
      </w:pPr>
      <w:r>
        <w:rPr>
          <w:rFonts w:ascii="Garamond" w:cs="Garamond" w:eastAsia="Garamond" w:hAnsi="Garamond"/>
          <w:b w:val="false"/>
          <w:bCs w:val="false"/>
          <w:i w:val="false"/>
          <w:iCs w:val="false"/>
          <w:color w:val="2a2520"/>
          <w:sz w:val="22"/>
          <w:szCs w:val="22"/>
        </w:rPr>
        <w:t xml:space="preserve">Upon passing the Statehood Audit, the territory enters a Provisional Membership Period of between 365 and 900 days (Legislature defines by statute). Clean completion results in automatic Statehood — no further action required.</w:t>
      </w:r>
    </w:p>
    <w:p>
      <w:pPr>
        <w:spacing w:after="60" w:before="200"/>
        <w:ind w:left="431"/>
        <w:jc w:val="left"/>
      </w:pPr>
      <w:r>
        <w:rPr>
          <w:rFonts w:ascii="Courier New" w:cs="Courier New" w:eastAsia="Courier New" w:hAnsi="Courier New"/>
          <w:b/>
          <w:bCs/>
          <w:color w:val="1B2A4A"/>
          <w:sz w:val="18"/>
          <w:szCs w:val="18"/>
        </w:rPr>
        <w:t xml:space="preserve">§13.2.d  </w:t>
      </w:r>
      <w:r>
        <w:rPr>
          <w:rFonts w:ascii="Garamond" w:cs="Garamond" w:eastAsia="Garamond" w:hAnsi="Garamond"/>
          <w:b/>
          <w:bCs/>
          <w:i w:val="false"/>
          <w:iCs w:val="false"/>
          <w:color w:val="1B2A4A"/>
          <w:sz w:val="22"/>
          <w:szCs w:val="22"/>
        </w:rPr>
        <w:t xml:space="preserve">Partial Territory Statehood</w:t>
      </w:r>
    </w:p>
    <w:p>
      <w:pPr>
        <w:spacing w:after="120" w:before="0"/>
        <w:ind w:left="431"/>
        <w:jc w:val="both"/>
      </w:pPr>
      <w:r>
        <w:rPr>
          <w:rFonts w:ascii="Garamond" w:cs="Garamond" w:eastAsia="Garamond" w:hAnsi="Garamond"/>
          <w:b w:val="false"/>
          <w:bCs w:val="false"/>
          <w:i w:val="false"/>
          <w:iCs w:val="false"/>
          <w:color w:val="2a2520"/>
          <w:sz w:val="22"/>
          <w:szCs w:val="22"/>
        </w:rPr>
        <w:t xml:space="preserve">A defined geographic subdivision of a Territory may petition for Statehood independently of the remainder. The petitioning subdivision must meet the same Statehood criteria as a whole Territory. Used where a Territory contains a region with clearly different institutional development.</w:t>
      </w:r>
    </w:p>
    <w:p>
      <w:pPr>
        <w:spacing w:after="60" w:before="200"/>
        <w:ind w:left="431"/>
        <w:jc w:val="left"/>
      </w:pPr>
      <w:r>
        <w:rPr>
          <w:rFonts w:ascii="Courier New" w:cs="Courier New" w:eastAsia="Courier New" w:hAnsi="Courier New"/>
          <w:b/>
          <w:bCs/>
          <w:color w:val="1B2A4A"/>
          <w:sz w:val="18"/>
          <w:szCs w:val="18"/>
        </w:rPr>
        <w:t xml:space="preserve">§13.2.e  </w:t>
      </w:r>
      <w:r>
        <w:rPr>
          <w:rFonts w:ascii="Garamond" w:cs="Garamond" w:eastAsia="Garamond" w:hAnsi="Garamond"/>
          <w:b/>
          <w:bCs/>
          <w:i w:val="false"/>
          <w:iCs w:val="false"/>
          <w:color w:val="1B2A4A"/>
          <w:sz w:val="22"/>
          <w:szCs w:val="22"/>
        </w:rPr>
        <w:t xml:space="preserve">Minimum Democratic Legitimacy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State must maintain three ongoing conditions: functioning electoral processes under Article XVI, basic rule of law and judicial function, and Article I rights compliance. Annual Statehood Audit verifies continued compliance. A State that fails receives Early Warning under §13.3.b — it enters a remediation process, not automatic devolution. The annual Statehood Audit for existing States includes assessment of all three conditions in this provision in addition to the criteria in §13.2.a and §13.2.b.</w:t>
      </w:r>
    </w:p>
    <w:p>
      <w:pPr>
        <w:spacing w:after="60" w:before="200"/>
        <w:ind w:left="431"/>
        <w:jc w:val="left"/>
      </w:pPr>
      <w:r>
        <w:rPr>
          <w:rFonts w:ascii="Courier New" w:cs="Courier New" w:eastAsia="Courier New" w:hAnsi="Courier New"/>
          <w:b/>
          <w:bCs/>
          <w:color w:val="1B2A4A"/>
          <w:sz w:val="18"/>
          <w:szCs w:val="18"/>
        </w:rPr>
        <w:t xml:space="preserve">§13.2.f  </w:t>
      </w:r>
      <w:r>
        <w:rPr>
          <w:rFonts w:ascii="Garamond" w:cs="Garamond" w:eastAsia="Garamond" w:hAnsi="Garamond"/>
          <w:b/>
          <w:bCs/>
          <w:i w:val="false"/>
          <w:iCs w:val="false"/>
          <w:color w:val="1B2A4A"/>
          <w:sz w:val="22"/>
          <w:szCs w:val="22"/>
        </w:rPr>
        <w:t xml:space="preserve">Territorial Minimum Institutional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Territory must maintain basic governance infrastructure: a governance council with defined membership and published authority, basic public financial reporting, and access to federal court jurisdiction for Article I claims. Territories that cannot maintain this floor may be placed in federal receivership pending institutional restoration.</w:t>
      </w:r>
    </w:p>
    <w:p>
      <w:pPr>
        <w:spacing w:after="60" w:before="200"/>
        <w:ind w:left="431"/>
        <w:jc w:val="left"/>
      </w:pPr>
      <w:r>
        <w:rPr>
          <w:rFonts w:ascii="Courier New" w:cs="Courier New" w:eastAsia="Courier New" w:hAnsi="Courier New"/>
          <w:b/>
          <w:bCs/>
          <w:color w:val="1B2A4A"/>
          <w:sz w:val="18"/>
          <w:szCs w:val="18"/>
        </w:rPr>
        <w:t xml:space="preserve">§13.2.g  </w:t>
      </w:r>
      <w:r>
        <w:rPr>
          <w:rFonts w:ascii="Garamond" w:cs="Garamond" w:eastAsia="Garamond" w:hAnsi="Garamond"/>
          <w:b/>
          <w:bCs/>
          <w:i w:val="false"/>
          <w:iCs w:val="false"/>
          <w:color w:val="1B2A4A"/>
          <w:sz w:val="22"/>
          <w:szCs w:val="22"/>
        </w:rPr>
        <w:t xml:space="preserve">Conflict-Affected State Provisional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active conflict prevents completion of the annual Statehood Audit in a significant portion (&gt;25% population) of a State's territory, the LI may grant provisional status for that audit cycle. Preserves State constitutional standing and BNF protections. Cannot be used where the conflict is attributable to the State government's own governance failures (§13.2.g.i).</w:t>
      </w:r>
    </w:p>
    <w:p>
      <w:pPr>
        <w:spacing w:after="60" w:before="200"/>
        <w:ind w:left="431"/>
        <w:jc w:val="left"/>
      </w:pPr>
      <w:r>
        <w:rPr>
          <w:rFonts w:ascii="Courier New" w:cs="Courier New" w:eastAsia="Courier New" w:hAnsi="Courier New"/>
          <w:b/>
          <w:bCs/>
          <w:color w:val="1B2A4A"/>
          <w:sz w:val="18"/>
          <w:szCs w:val="18"/>
        </w:rPr>
        <w:t xml:space="preserve">§13.2.g.i  </w:t>
      </w:r>
      <w:r>
        <w:rPr>
          <w:rFonts w:ascii="Garamond" w:cs="Garamond" w:eastAsia="Garamond" w:hAnsi="Garamond"/>
          <w:b/>
          <w:bCs/>
          <w:i w:val="false"/>
          <w:iCs w:val="false"/>
          <w:color w:val="1B2A4A"/>
          <w:sz w:val="22"/>
          <w:szCs w:val="22"/>
        </w:rPr>
        <w:t xml:space="preserve">Governance Contribution Standard</w:t>
      </w:r>
    </w:p>
    <w:p>
      <w:pPr>
        <w:spacing w:after="120" w:before="0"/>
        <w:ind w:left="431"/>
        <w:jc w:val="both"/>
      </w:pPr>
      <w:r>
        <w:rPr>
          <w:rFonts w:ascii="Garamond" w:cs="Garamond" w:eastAsia="Garamond" w:hAnsi="Garamond"/>
          <w:b w:val="false"/>
          <w:bCs w:val="false"/>
          <w:i w:val="false"/>
          <w:iCs w:val="false"/>
          <w:color w:val="2a2520"/>
          <w:sz w:val="22"/>
          <w:szCs w:val="22"/>
        </w:rPr>
        <w:t xml:space="preserve">Provisional status is unavailable where the joint assessment of all three Inspectorates finds that the State government materially contributed to the conditions producing conflict, or failed to take reasonable steps to prevent them when it knew or should have known of those conditions — even where direct State contribution cannot be established. Where this standard is met, the Statehood Audit proceeds on available evidence from accessible areas. Provisional status certification under §13.2.g requires the joint assessment of all three Inspectorates; no single Inspectorate's finding is sufficient to grant or deny provisional status.</w:t>
      </w:r>
    </w:p>
    <w:p>
      <w:pPr>
        <w:spacing w:after="60" w:before="200"/>
        <w:ind w:left="431"/>
        <w:jc w:val="left"/>
      </w:pPr>
      <w:r>
        <w:rPr>
          <w:rFonts w:ascii="Courier New" w:cs="Courier New" w:eastAsia="Courier New" w:hAnsi="Courier New"/>
          <w:b/>
          <w:bCs/>
          <w:color w:val="1B2A4A"/>
          <w:sz w:val="18"/>
          <w:szCs w:val="18"/>
        </w:rPr>
        <w:t xml:space="preserve">§13.2.g.ii  </w:t>
      </w:r>
      <w:r>
        <w:rPr>
          <w:rFonts w:ascii="Garamond" w:cs="Garamond" w:eastAsia="Garamond" w:hAnsi="Garamond"/>
          <w:b/>
          <w:bCs/>
          <w:i w:val="false"/>
          <w:iCs w:val="false"/>
          <w:color w:val="1B2A4A"/>
          <w:sz w:val="22"/>
          <w:szCs w:val="22"/>
        </w:rPr>
        <w:t xml:space="preserve">Provisional Status Monitoring</w:t>
      </w:r>
    </w:p>
    <w:p>
      <w:pPr>
        <w:spacing w:after="120" w:before="0"/>
        <w:ind w:left="431"/>
        <w:jc w:val="both"/>
      </w:pPr>
      <w:r>
        <w:rPr>
          <w:rFonts w:ascii="Garamond" w:cs="Garamond" w:eastAsia="Garamond" w:hAnsi="Garamond"/>
          <w:b w:val="false"/>
          <w:bCs w:val="false"/>
          <w:i w:val="false"/>
          <w:iCs w:val="false"/>
          <w:color w:val="2a2520"/>
          <w:sz w:val="22"/>
          <w:szCs w:val="22"/>
        </w:rPr>
        <w:t xml:space="preserve">During any provisional status period, the LI conducts a modified annual Statehood Audit assessing only the criteria that can be meaningfully evaluated given the conflict's geographic scope. The three Inspectorates jointly publish a quarterly status report to the NRS documenting: the percentage of territory where normal audit conditions have been restored, the governance functions operating normally, and the estimated timeline to full audit resumption. The State government retains all constitutional functions in territory not affected by the conflict.</w:t>
      </w:r>
    </w:p>
    <w:p>
      <w:pPr>
        <w:spacing w:after="60" w:before="200"/>
        <w:ind w:left="431"/>
        <w:jc w:val="left"/>
      </w:pPr>
      <w:r>
        <w:rPr>
          <w:rFonts w:ascii="Courier New" w:cs="Courier New" w:eastAsia="Courier New" w:hAnsi="Courier New"/>
          <w:b/>
          <w:bCs/>
          <w:color w:val="1B2A4A"/>
          <w:sz w:val="18"/>
          <w:szCs w:val="18"/>
        </w:rPr>
        <w:t xml:space="preserve">§13.2.g.iii  </w:t>
      </w:r>
      <w:r>
        <w:rPr>
          <w:rFonts w:ascii="Garamond" w:cs="Garamond" w:eastAsia="Garamond" w:hAnsi="Garamond"/>
          <w:b/>
          <w:bCs/>
          <w:i w:val="false"/>
          <w:iCs w:val="false"/>
          <w:color w:val="1B2A4A"/>
          <w:sz w:val="22"/>
          <w:szCs w:val="22"/>
        </w:rPr>
        <w:t xml:space="preserve">Prior Provisional Status — Renewal Conditions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State has previously held provisional status under §13.2.g, a new petition requires the joint Inspectorate assessment to certify both that the new conflict is genuinely distinct from the prior episode and that the State has completed at least one full Statehood Audit cycle since the prior provisional status ended.</w:t>
      </w:r>
    </w:p>
    <w:p>
      <w:pPr>
        <w:spacing w:after="60" w:before="200"/>
        <w:ind w:left="431"/>
        <w:jc w:val="left"/>
      </w:pPr>
      <w:r>
        <w:rPr>
          <w:rFonts w:ascii="Courier New" w:cs="Courier New" w:eastAsia="Courier New" w:hAnsi="Courier New"/>
          <w:b/>
          <w:bCs/>
          <w:color w:val="1B2A4A"/>
          <w:sz w:val="18"/>
          <w:szCs w:val="18"/>
        </w:rPr>
        <w:t xml:space="preserve">§13.2.g.iv  </w:t>
      </w:r>
      <w:r>
        <w:rPr>
          <w:rFonts w:ascii="Garamond" w:cs="Garamond" w:eastAsia="Garamond" w:hAnsi="Garamond"/>
          <w:b/>
          <w:bCs/>
          <w:i w:val="false"/>
          <w:iCs w:val="false"/>
          <w:color w:val="1B2A4A"/>
          <w:sz w:val="22"/>
          <w:szCs w:val="22"/>
        </w:rPr>
        <w:t xml:space="preserve">Maximum Provisional Period and Default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Provisional status may not continue indefinitely. The Legislature must by statute define the maximum provisional period, not to exceed five years. Where the Legislature has not enacted an alternative resolution statute within the maximum provisional period, a default mechanism activates automatically: the State is placed under joint federal-State administration within the PM's domestic domain, with full State constitutional rights preserved and State executive functions supervised by a joint commission until security conditions allow audit completion or the Legislature enacts a specific alternative mechanism. Joint administration is not devolution — it preserves the State's constitutional status while ensuring its functions are performed.</w:t>
      </w:r>
    </w:p>
    <w:p>
      <w:pPr>
        <w:spacing w:after="60" w:before="200"/>
        <w:ind w:left="431"/>
        <w:jc w:val="left"/>
      </w:pPr>
      <w:r>
        <w:rPr>
          <w:rFonts w:ascii="Courier New" w:cs="Courier New" w:eastAsia="Courier New" w:hAnsi="Courier New"/>
          <w:b/>
          <w:bCs/>
          <w:color w:val="1B2A4A"/>
          <w:sz w:val="18"/>
          <w:szCs w:val="18"/>
        </w:rPr>
        <w:t xml:space="preserve">§13.3  </w:t>
      </w:r>
      <w:r>
        <w:rPr>
          <w:rFonts w:ascii="Garamond" w:cs="Garamond" w:eastAsia="Garamond" w:hAnsi="Garamond"/>
          <w:b/>
          <w:bCs/>
          <w:i w:val="false"/>
          <w:iCs w:val="false"/>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remedial process for States that have failed to meet minimum governance standards over a sustained period. Devolution restructures the State's relationship with the federal government while preserving its constitutional status.</w:t>
      </w:r>
    </w:p>
    <w:p>
      <w:pPr>
        <w:spacing w:after="60" w:before="200"/>
        <w:ind w:left="431"/>
        <w:jc w:val="left"/>
      </w:pPr>
      <w:r>
        <w:rPr>
          <w:rFonts w:ascii="Courier New" w:cs="Courier New" w:eastAsia="Courier New" w:hAnsi="Courier New"/>
          <w:b/>
          <w:bCs/>
          <w:color w:val="1B2A4A"/>
          <w:sz w:val="18"/>
          <w:szCs w:val="18"/>
        </w:rPr>
        <w:t xml:space="preserve">§13.3.a  </w:t>
      </w:r>
      <w:r>
        <w:rPr>
          <w:rFonts w:ascii="Garamond" w:cs="Garamond" w:eastAsia="Garamond" w:hAnsi="Garamond"/>
          <w:b/>
          <w:bCs/>
          <w:i w:val="false"/>
          <w:iCs w:val="false"/>
          <w:color w:val="1B2A4A"/>
          <w:sz w:val="22"/>
          <w:szCs w:val="22"/>
        </w:rPr>
        <w:t xml:space="preserve">Devolution Triggers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enters Mandatory Devolution if it fails three consecutive annual Statehood Audits after passing through the Early Warning (Year 1-2) and Devolution Vote (Year 3) stages without correction. The LI certifies the trigger; the EI and JI jointly confirm; the SC reviews the factual basis.</w:t>
      </w:r>
    </w:p>
    <w:p>
      <w:pPr>
        <w:spacing w:after="60" w:before="200"/>
        <w:ind w:left="431"/>
        <w:jc w:val="left"/>
      </w:pPr>
      <w:r>
        <w:rPr>
          <w:rFonts w:ascii="Courier New" w:cs="Courier New" w:eastAsia="Courier New" w:hAnsi="Courier New"/>
          <w:b/>
          <w:bCs/>
          <w:color w:val="1B2A4A"/>
          <w:sz w:val="18"/>
          <w:szCs w:val="18"/>
        </w:rPr>
        <w:t xml:space="preserve">§13.3.b  </w:t>
      </w:r>
      <w:r>
        <w:rPr>
          <w:rFonts w:ascii="Garamond" w:cs="Garamond" w:eastAsia="Garamond" w:hAnsi="Garamond"/>
          <w:b/>
          <w:bCs/>
          <w:i w:val="false"/>
          <w:iCs w:val="false"/>
          <w:color w:val="1B2A4A"/>
          <w:sz w:val="22"/>
          <w:szCs w:val="22"/>
        </w:rPr>
        <w:t xml:space="preserve">Early Warning — Years 1 and 2</w:t>
      </w:r>
    </w:p>
    <w:p>
      <w:pPr>
        <w:spacing w:after="120" w:before="0"/>
        <w:ind w:left="431"/>
        <w:jc w:val="both"/>
      </w:pPr>
      <w:r>
        <w:rPr>
          <w:rFonts w:ascii="Garamond" w:cs="Garamond" w:eastAsia="Garamond" w:hAnsi="Garamond"/>
          <w:b w:val="false"/>
          <w:bCs w:val="false"/>
          <w:i w:val="false"/>
          <w:iCs w:val="false"/>
          <w:color w:val="2a2520"/>
          <w:sz w:val="22"/>
          <w:szCs w:val="22"/>
        </w:rPr>
        <w:t xml:space="preserve">Year 1 and 2 audit failures trigger Early Warning: the LI publishes specific compliance requirements, the State submits a Remediation Plan within 60 days, and the LI monitors implementation quarterly. A cooperative remediation process — the federal government assists the State in correcting identified failures rather than immediately proceeding to devolution.</w:t>
      </w:r>
    </w:p>
    <w:p>
      <w:pPr>
        <w:spacing w:after="60" w:before="200"/>
        <w:ind w:left="431"/>
        <w:jc w:val="left"/>
      </w:pPr>
      <w:r>
        <w:rPr>
          <w:rFonts w:ascii="Courier New" w:cs="Courier New" w:eastAsia="Courier New" w:hAnsi="Courier New"/>
          <w:b/>
          <w:bCs/>
          <w:color w:val="1B2A4A"/>
          <w:sz w:val="18"/>
          <w:szCs w:val="18"/>
        </w:rPr>
        <w:t xml:space="preserve">§13.3.c  </w:t>
      </w:r>
      <w:r>
        <w:rPr>
          <w:rFonts w:ascii="Garamond" w:cs="Garamond" w:eastAsia="Garamond" w:hAnsi="Garamond"/>
          <w:b/>
          <w:bCs/>
          <w:i w:val="false"/>
          <w:iCs w:val="false"/>
          <w:color w:val="1B2A4A"/>
          <w:sz w:val="22"/>
          <w:szCs w:val="22"/>
        </w:rPr>
        <w:t xml:space="preserve">Devolution Vote — Year 3</w:t>
      </w:r>
    </w:p>
    <w:p>
      <w:pPr>
        <w:spacing w:after="120" w:before="0"/>
        <w:ind w:left="431"/>
        <w:jc w:val="both"/>
      </w:pPr>
      <w:r>
        <w:rPr>
          <w:rFonts w:ascii="Garamond" w:cs="Garamond" w:eastAsia="Garamond" w:hAnsi="Garamond"/>
          <w:b w:val="false"/>
          <w:bCs w:val="false"/>
          <w:i w:val="false"/>
          <w:iCs w:val="false"/>
          <w:color w:val="2a2520"/>
          <w:sz w:val="22"/>
          <w:szCs w:val="22"/>
        </w:rPr>
        <w:t xml:space="preserve">Year 3 failure triggers a State-level referendum: citizens vote on whether to proceed to devolution or accept a federal remediation commission. If the State chooses the remediation commission, devolution is suspended for 2 years. If devolution is chosen or the commission fails, §13.3.d applies.</w:t>
      </w:r>
    </w:p>
    <w:p>
      <w:pPr>
        <w:spacing w:after="60" w:before="200"/>
        <w:ind w:left="431"/>
        <w:jc w:val="left"/>
      </w:pPr>
      <w:r>
        <w:rPr>
          <w:rFonts w:ascii="Courier New" w:cs="Courier New" w:eastAsia="Courier New" w:hAnsi="Courier New"/>
          <w:b/>
          <w:bCs/>
          <w:color w:val="1B2A4A"/>
          <w:sz w:val="18"/>
          <w:szCs w:val="18"/>
        </w:rPr>
        <w:t xml:space="preserve">§13.3.d  </w:t>
      </w:r>
      <w:r>
        <w:rPr>
          <w:rFonts w:ascii="Garamond" w:cs="Garamond" w:eastAsia="Garamond" w:hAnsi="Garamond"/>
          <w:b/>
          <w:bCs/>
          <w:i w:val="false"/>
          <w:iCs w:val="false"/>
          <w:color w:val="1B2A4A"/>
          <w:sz w:val="22"/>
          <w:szCs w:val="22"/>
        </w:rPr>
        <w:t xml:space="preserve">Effect of 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devolved State loses its Senate seats on the date the Senate Motion of Devolution takes effect and returns to administrative oversight of the Domestic Affairs Council. The following consequences apply immediately and remain in effect throughout the Territory period: (1) Legislative representation — the two Senate seats are vacated with no special election; existing House members continue their terms to completion; (2) House reapportionment — House seats are recalculated based on population under §3.1.b at the next census cycle; the Territory retains current House representation until then; (3) Taxation — the Territory is exempt from federal income tax throughout the mandatory Territory period, effective at the start of the next fiscal year; this exemption is remedial and expires automatically when the Territory passes the Statehood Audit and enters the Provisional Membership Period, at which point federal income tax obligations resume at the standard rate; (4) Basic Needs Floor — BNF distributions to Territory residents continue without interruption; (5) Article I rights — all protections remain fully in force and are enforced by federal courts with no reduction in scope; (6) State-level governance — elected officials continue their terms and govern under State law; the Domestic Affairs Council exercises oversight without replacing State government; Article I-compliant State laws remain operative; (7) Statehood Audit — the LI assesses the Territory annually; criteria are measured from the current baseline, not the failed-State baseline; the Territory may pass the audit at any annual assessment; (8) Path to restoration — full Statehood is restored automatically upon passing the Statehood Audit and completing the Provisional Membership Period under §13.2; no additional parliamentary vote is required. No additional consequences beyond those listed above may be imposed on the Territory by statute or executive action.</w:t>
      </w:r>
    </w:p>
    <w:p>
      <w:pPr>
        <w:spacing w:after="60" w:before="200"/>
        <w:ind w:left="431"/>
        <w:jc w:val="left"/>
      </w:pPr>
      <w:r>
        <w:rPr>
          <w:rFonts w:ascii="Courier New" w:cs="Courier New" w:eastAsia="Courier New" w:hAnsi="Courier New"/>
          <w:b/>
          <w:bCs/>
          <w:color w:val="1B2A4A"/>
          <w:sz w:val="18"/>
          <w:szCs w:val="18"/>
        </w:rPr>
        <w:t xml:space="preserve">§13.3.e  </w:t>
      </w:r>
      <w:r>
        <w:rPr>
          <w:rFonts w:ascii="Garamond" w:cs="Garamond" w:eastAsia="Garamond" w:hAnsi="Garamond"/>
          <w:b/>
          <w:bCs/>
          <w:i w:val="false"/>
          <w:iCs w:val="false"/>
          <w:color w:val="1B2A4A"/>
          <w:sz w:val="22"/>
          <w:szCs w:val="22"/>
        </w:rPr>
        <w:t xml:space="preserve">Constitutional Challenge to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30 days of a Senate Devolution vote, the affected State may petition the Supreme Court for expedited review on a single, narrow ground: whether the Legislative Inspectorate's published audit findings, as a factual matter, meet the constitutional trigger standards of §13.3.a. The Court reviews the factual basis of the audit findings — not the Senate's political judgment, not the policy merits of Devolution, and not the State's economic circumstances. The Court may overturn a Devolution vote only if it finds, by clear and convincing evidence, that the LI's findings are factually insufficient to establish one or more of the three triggers. A finding that the triggers were correctly established but that the State disagrees with the outcome is not grounds for reversal. The petition does not stay the Senate vote or delay Devolution unless the Court orders a temporary stay pending its ruling. The Court must rule within 14 days of the petition being filed.</w:t>
      </w:r>
    </w:p>
    <w:p>
      <w:pPr>
        <w:spacing w:after="60" w:before="200"/>
        <w:ind w:left="431"/>
        <w:jc w:val="left"/>
      </w:pPr>
      <w:r>
        <w:rPr>
          <w:rFonts w:ascii="Courier New" w:cs="Courier New" w:eastAsia="Courier New" w:hAnsi="Courier New"/>
          <w:b/>
          <w:bCs/>
          <w:color w:val="1B2A4A"/>
          <w:sz w:val="18"/>
          <w:szCs w:val="18"/>
        </w:rPr>
        <w:t xml:space="preserve">§13.4  </w:t>
      </w:r>
      <w:r>
        <w:rPr>
          <w:rFonts w:ascii="Garamond" w:cs="Garamond" w:eastAsia="Garamond" w:hAnsi="Garamond"/>
          <w:b/>
          <w:bCs/>
          <w:i w:val="false"/>
          <w:iCs w:val="false"/>
          <w:color w:val="1B2A4A"/>
          <w:sz w:val="22"/>
          <w:szCs w:val="22"/>
        </w:rPr>
        <w:t xml:space="preserve">Voluntary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voluntarily seek to restructure its relationship with the Republic. Requires a State referendum (60% of voters), a negotiated restructuring agreement approved by the Senate, and a Transition Plan published to the NRS. The voluntary path preserves far more State agency than mandatory devolution.</w:t>
      </w:r>
    </w:p>
    <w:p>
      <w:pPr>
        <w:spacing w:after="60" w:before="200"/>
        <w:ind w:left="431"/>
        <w:jc w:val="left"/>
      </w:pPr>
      <w:r>
        <w:rPr>
          <w:rFonts w:ascii="Courier New" w:cs="Courier New" w:eastAsia="Courier New" w:hAnsi="Courier New"/>
          <w:b/>
          <w:bCs/>
          <w:color w:val="1B2A4A"/>
          <w:sz w:val="18"/>
          <w:szCs w:val="18"/>
        </w:rPr>
        <w:t xml:space="preserve">§13.4.a  </w:t>
      </w:r>
      <w:r>
        <w:rPr>
          <w:rFonts w:ascii="Garamond" w:cs="Garamond" w:eastAsia="Garamond" w:hAnsi="Garamond"/>
          <w:b/>
          <w:bCs/>
          <w:i w:val="false"/>
          <w:iCs w:val="false"/>
          <w:color w:val="1B2A4A"/>
          <w:sz w:val="22"/>
          <w:szCs w:val="22"/>
        </w:rPr>
        <w:t xml:space="preserve">Voluntary Devolution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60% of State voters must approve the voluntary devolution petition. The referendum must specify the proposed restructuring: subdivision, merger, conversion to Territory status, or other arrangement. Citizens vote on the specific proposal, not on abstract devolution.</w:t>
      </w:r>
    </w:p>
    <w:p>
      <w:pPr>
        <w:spacing w:after="60" w:before="200"/>
        <w:ind w:left="431"/>
        <w:jc w:val="left"/>
      </w:pPr>
      <w:r>
        <w:rPr>
          <w:rFonts w:ascii="Courier New" w:cs="Courier New" w:eastAsia="Courier New" w:hAnsi="Courier New"/>
          <w:b/>
          <w:bCs/>
          <w:color w:val="1B2A4A"/>
          <w:sz w:val="18"/>
          <w:szCs w:val="18"/>
        </w:rPr>
        <w:t xml:space="preserve">§13.4.b  </w:t>
      </w:r>
      <w:r>
        <w:rPr>
          <w:rFonts w:ascii="Garamond" w:cs="Garamond" w:eastAsia="Garamond" w:hAnsi="Garamond"/>
          <w:b/>
          <w:bCs/>
          <w:i w:val="false"/>
          <w:iCs w:val="false"/>
          <w:color w:val="1B2A4A"/>
          <w:sz w:val="22"/>
          <w:szCs w:val="22"/>
        </w:rPr>
        <w:t xml:space="preserve">Negotiated Restructuring Agreement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Following a successful referendum, the State and the federal government negotiate restructuring terms: asset and liability allocation, transition timeline, continuing federal obligations, and constitutional status of successor jurisdictions. Senate approval by 2/3 majority required. The agreement is published to the NRS and is legally binding on both parties.</w:t>
      </w:r>
    </w:p>
    <w:p>
      <w:pPr>
        <w:spacing w:after="60" w:before="200"/>
        <w:ind w:left="431"/>
        <w:jc w:val="left"/>
      </w:pPr>
      <w:r>
        <w:rPr>
          <w:rFonts w:ascii="Courier New" w:cs="Courier New" w:eastAsia="Courier New" w:hAnsi="Courier New"/>
          <w:b/>
          <w:bCs/>
          <w:color w:val="1B2A4A"/>
          <w:sz w:val="18"/>
          <w:szCs w:val="18"/>
        </w:rPr>
        <w:t xml:space="preserve">§13.4.c  </w:t>
      </w:r>
      <w:r>
        <w:rPr>
          <w:rFonts w:ascii="Garamond" w:cs="Garamond" w:eastAsia="Garamond" w:hAnsi="Garamond"/>
          <w:b/>
          <w:bCs/>
          <w:i w:val="false"/>
          <w:iCs w:val="false"/>
          <w:color w:val="1B2A4A"/>
          <w:sz w:val="22"/>
          <w:szCs w:val="22"/>
        </w:rPr>
        <w:t xml:space="preserve">Transition Plan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Transition Plan specifies which functions transfer and when, how citizen rights are maintained during transition, and what remedies apply if transition encounters implementation problems. The LI monitors Transition Plan implementation and publishes quarterly compliance reports to the NRS.</w:t>
      </w:r>
    </w:p>
    <w:p>
      <w:pPr>
        <w:spacing w:after="60" w:before="200"/>
        <w:ind w:left="431"/>
        <w:jc w:val="left"/>
      </w:pPr>
      <w:r>
        <w:rPr>
          <w:rFonts w:ascii="Courier New" w:cs="Courier New" w:eastAsia="Courier New" w:hAnsi="Courier New"/>
          <w:b/>
          <w:bCs/>
          <w:color w:val="1B2A4A"/>
          <w:sz w:val="18"/>
          <w:szCs w:val="18"/>
        </w:rPr>
        <w:t xml:space="preserve">§13.4.d  </w:t>
      </w:r>
      <w:r>
        <w:rPr>
          <w:rFonts w:ascii="Garamond" w:cs="Garamond" w:eastAsia="Garamond" w:hAnsi="Garamond"/>
          <w:b/>
          <w:bCs/>
          <w:i w:val="false"/>
          <w:iCs w:val="false"/>
          <w:color w:val="1B2A4A"/>
          <w:sz w:val="22"/>
          <w:szCs w:val="22"/>
        </w:rPr>
        <w:t xml:space="preserve">Effect of Voluntary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Following voluntary devolution, successor jurisdiction(s) begin their constitutional status from the starting point specified in the restructuring agreement. A subdivision that becomes a Territory enters the Statehood pathway immediately.</w:t>
      </w:r>
    </w:p>
    <w:p>
      <w:pPr>
        <w:spacing w:after="60" w:before="200"/>
        <w:ind w:left="431"/>
        <w:jc w:val="left"/>
      </w:pPr>
      <w:r>
        <w:rPr>
          <w:rFonts w:ascii="Courier New" w:cs="Courier New" w:eastAsia="Courier New" w:hAnsi="Courier New"/>
          <w:b/>
          <w:bCs/>
          <w:color w:val="1B2A4A"/>
          <w:sz w:val="18"/>
          <w:szCs w:val="18"/>
        </w:rPr>
        <w:t xml:space="preserve">§13.4.e  </w:t>
      </w:r>
      <w:r>
        <w:rPr>
          <w:rFonts w:ascii="Garamond" w:cs="Garamond" w:eastAsia="Garamond" w:hAnsi="Garamond"/>
          <w:b/>
          <w:bCs/>
          <w:i w:val="false"/>
          <w:iCs w:val="false"/>
          <w:color w:val="1B2A4A"/>
          <w:sz w:val="22"/>
          <w:szCs w:val="22"/>
        </w:rPr>
        <w:t xml:space="preserve">Negotiated Devolution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contemplating voluntary devolution may request a formal negotiated devolution agreement with the Republic before the vote. The agreement defines: any statutory commitments the Republic makes regarding Provisional Membership Period duration; the PM's technical assistance obligations during the Territory period; infrastructure and shared-service continuity arrangements; and any transition period for federal program unwinding. The negotiated agreement is published to the NRS and voted upon simultaneously with the devolution vote — residents approve or reject both the devolution and its negotiated terms together. A negotiated agreement may not reduce the two-thirds vote threshold or waive the Fiscal Incidence Study requirement of §13.4.b.</w:t>
      </w:r>
    </w:p>
    <w:p>
      <w:pPr>
        <w:spacing w:after="60" w:before="200"/>
        <w:ind w:left="431"/>
        <w:jc w:val="left"/>
      </w:pPr>
      <w:r>
        <w:rPr>
          <w:rFonts w:ascii="Courier New" w:cs="Courier New" w:eastAsia="Courier New" w:hAnsi="Courier New"/>
          <w:b/>
          <w:bCs/>
          <w:color w:val="1B2A4A"/>
          <w:sz w:val="18"/>
          <w:szCs w:val="18"/>
        </w:rPr>
        <w:t xml:space="preserve">§13.4.f  </w:t>
      </w:r>
      <w:r>
        <w:rPr>
          <w:rFonts w:ascii="Garamond" w:cs="Garamond" w:eastAsia="Garamond" w:hAnsi="Garamond"/>
          <w:b/>
          <w:bCs/>
          <w:i w:val="false"/>
          <w:iCs w:val="false"/>
          <w:color w:val="1B2A4A"/>
          <w:sz w:val="22"/>
          <w:szCs w:val="22"/>
        </w:rPr>
        <w:t xml:space="preserve">Independence Transition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Despite §10.1 applying to Republic Inhabitants, the Republic's obligations to the departing territory during the transition period must be specified in the framework agreement. Independence does not end Republic obligations to former Territory residents immediately. The transition period is a period of defined ongoing obligation.</w:t>
      </w:r>
    </w:p>
    <w:p>
      <w:pPr>
        <w:spacing w:after="60" w:before="200"/>
        <w:ind w:left="431"/>
        <w:jc w:val="left"/>
      </w:pPr>
      <w:r>
        <w:rPr>
          <w:rFonts w:ascii="Courier New" w:cs="Courier New" w:eastAsia="Courier New" w:hAnsi="Courier New"/>
          <w:b/>
          <w:bCs/>
          <w:color w:val="1B2A4A"/>
          <w:sz w:val="18"/>
          <w:szCs w:val="18"/>
        </w:rPr>
        <w:t xml:space="preserve">§13.5  </w:t>
      </w:r>
      <w:r>
        <w:rPr>
          <w:rFonts w:ascii="Garamond" w:cs="Garamond" w:eastAsia="Garamond" w:hAnsi="Garamond"/>
          <w:b/>
          <w:bCs/>
          <w:i w:val="false"/>
          <w:iCs w:val="false"/>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resulting from mandatory or voluntary devolution enters the Statehood re-qualification pathway under §13.2 immediately upon the effective date of devolution. No additional political vote is required to begin the pathway. The Territory's re-qualification proceeds under the same Statehood Audit criteria that apply to any other Territory seeking Statehood.</w:t>
      </w:r>
    </w:p>
    <w:p>
      <w:pPr>
        <w:spacing w:after="60" w:before="200"/>
        <w:ind w:left="431"/>
        <w:jc w:val="left"/>
      </w:pPr>
      <w:r>
        <w:rPr>
          <w:rFonts w:ascii="Courier New" w:cs="Courier New" w:eastAsia="Courier New" w:hAnsi="Courier New"/>
          <w:b/>
          <w:bCs/>
          <w:color w:val="1B2A4A"/>
          <w:sz w:val="18"/>
          <w:szCs w:val="18"/>
        </w:rPr>
        <w:t xml:space="preserve">§13.6  </w:t>
      </w:r>
      <w:r>
        <w:rPr>
          <w:rFonts w:ascii="Garamond" w:cs="Garamond" w:eastAsia="Garamond" w:hAnsi="Garamond"/>
          <w:b/>
          <w:bCs/>
          <w:i w:val="false"/>
          <w:iCs w:val="false"/>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sovereign entity may petition to join the Republic's constitutional framework as a Territory. The process requires: a petition resolution adopted by the petitioning entity's own legislature or assembly by a 2/3 majority, confirmed by a citizen referendum achieving simple majority approval on a minimum 50% participation threshold — both are required; the Judicial Inspectorate's assessment of whether the entity systematically violates any unamendable Article I provision, published to the NRS within 90 days of petition receipt; and acceptance by the Legislature by a 2/3 majority of both chambers. If the Legislature declines it must publish its reasons to the NRS within 30 days. An accepted petition produces an incorporation agreement specifying a transition period not exceeding 48 months, the institutional adjustments required to meet §13.2.f, and the federal support framework. The incorporated entity immediately holds all Territory protections under §13.1. The Republic may not compel, incentivise, or pressure any sovereign entity to initiate this process. An indigenous nation recognised under Article XIV that wishes to pursue territorial incorporation must first make a status election through §14.6 before this provision applies.</w:t>
      </w:r>
    </w:p>
    <w:p>
      <w:pPr>
        <w:spacing w:after="60" w:before="200"/>
        <w:ind w:left="431"/>
        <w:jc w:val="left"/>
      </w:pPr>
      <w:r>
        <w:rPr>
          <w:rFonts w:ascii="Courier New" w:cs="Courier New" w:eastAsia="Courier New" w:hAnsi="Courier New"/>
          <w:b/>
          <w:bCs/>
          <w:color w:val="1B2A4A"/>
          <w:sz w:val="18"/>
          <w:szCs w:val="18"/>
        </w:rPr>
        <w:t xml:space="preserve">§13.7  </w:t>
      </w:r>
      <w:r>
        <w:rPr>
          <w:rFonts w:ascii="Garamond" w:cs="Garamond" w:eastAsia="Garamond" w:hAnsi="Garamond"/>
          <w:b/>
          <w:bCs/>
          <w:i w:val="false"/>
          <w:iCs w:val="false"/>
          <w:color w:val="1B2A4A"/>
          <w:sz w:val="22"/>
          <w:szCs w:val="22"/>
        </w:rPr>
        <w:t xml:space="preserve">Territorial Merger with Existing State</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or a defined geographic portion of a Territory, may merge with an adjacent, geographically contiguous existing State rather than pursuing standalone Statehood. Merger requires approval from both the Territory population and the existing State, a joint Statehood Audit of the combined entity, and Senate ratification. The merged territory becomes fully part of the existing State — it does not create a new State or alter the existing State's constitutional standing.</w:t>
      </w:r>
    </w:p>
    <w:p>
      <w:pPr>
        <w:spacing w:after="60" w:before="200"/>
        <w:ind w:left="431"/>
        <w:jc w:val="left"/>
      </w:pPr>
      <w:r>
        <w:rPr>
          <w:rFonts w:ascii="Courier New" w:cs="Courier New" w:eastAsia="Courier New" w:hAnsi="Courier New"/>
          <w:b/>
          <w:bCs/>
          <w:color w:val="1B2A4A"/>
          <w:sz w:val="18"/>
          <w:szCs w:val="18"/>
        </w:rPr>
        <w:t xml:space="preserve">§13.7.a  </w:t>
      </w:r>
      <w:r>
        <w:rPr>
          <w:rFonts w:ascii="Garamond" w:cs="Garamond" w:eastAsia="Garamond" w:hAnsi="Garamond"/>
          <w:b/>
          <w:bCs/>
          <w:i w:val="false"/>
          <w:iCs w:val="false"/>
          <w:color w:val="1B2A4A"/>
          <w:sz w:val="22"/>
          <w:szCs w:val="22"/>
        </w:rPr>
        <w:t xml:space="preserve">Petition and Eligibility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or defined geographic subdivision may petition the Senate to merge with a specific existing State. Eligibility requires: (1) geographic contiguity — the merging territory must share a land or navigable water border with the existing State; (2) a petition resolution adopted by the Territory's governance council or equivalent body; and (3) certification by the LI that the proposed merger boundaries are clearly defined and published to the NRS. A non-contiguous territory may not merge with a distant State regardless of other qualifications.</w:t>
      </w:r>
    </w:p>
    <w:p>
      <w:pPr>
        <w:spacing w:after="60" w:before="200"/>
        <w:ind w:left="431"/>
        <w:jc w:val="left"/>
      </w:pPr>
      <w:r>
        <w:rPr>
          <w:rFonts w:ascii="Courier New" w:cs="Courier New" w:eastAsia="Courier New" w:hAnsi="Courier New"/>
          <w:b/>
          <w:bCs/>
          <w:color w:val="1B2A4A"/>
          <w:sz w:val="18"/>
          <w:szCs w:val="18"/>
        </w:rPr>
        <w:t xml:space="preserve">§13.7.b  </w:t>
      </w:r>
      <w:r>
        <w:rPr>
          <w:rFonts w:ascii="Garamond" w:cs="Garamond" w:eastAsia="Garamond" w:hAnsi="Garamond"/>
          <w:b/>
          <w:bCs/>
          <w:i w:val="false"/>
          <w:iCs w:val="false"/>
          <w:color w:val="1B2A4A"/>
          <w:sz w:val="22"/>
          <w:szCs w:val="22"/>
        </w:rPr>
        <w:t xml:space="preserve">Dual Approval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Merger requires affirmative approval from both parties: (1) Territory approval — a referendum of eligible voters in the merging territory achieving 60% affirmative support with at least 50% participation. Where a partial territory merges, only the population of the merging portion votes; the remainder of the Territory does not participate in this referendum. (2) State approval — the existing State approves through its own constitutional or statutory process as the State defines; the approval method and result must be published to the NRS. Both approvals must be achieved within 18 months of each other. If either approval fails or expires without the other being obtained, the petition lapses and may be resubmitted after 5 years or after a material change in circumstances.</w:t>
      </w:r>
    </w:p>
    <w:p>
      <w:pPr>
        <w:spacing w:after="60" w:before="200"/>
        <w:ind w:left="431"/>
        <w:jc w:val="left"/>
      </w:pPr>
      <w:r>
        <w:rPr>
          <w:rFonts w:ascii="Courier New" w:cs="Courier New" w:eastAsia="Courier New" w:hAnsi="Courier New"/>
          <w:b/>
          <w:bCs/>
          <w:color w:val="1B2A4A"/>
          <w:sz w:val="18"/>
          <w:szCs w:val="18"/>
        </w:rPr>
        <w:t xml:space="preserve">§13.7.c  </w:t>
      </w:r>
      <w:r>
        <w:rPr>
          <w:rFonts w:ascii="Garamond" w:cs="Garamond" w:eastAsia="Garamond" w:hAnsi="Garamond"/>
          <w:b/>
          <w:bCs/>
          <w:i w:val="false"/>
          <w:iCs w:val="false"/>
          <w:color w:val="1B2A4A"/>
          <w:sz w:val="22"/>
          <w:szCs w:val="22"/>
        </w:rPr>
        <w:t xml:space="preserve">Joint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Following both approvals, the LI and JI conduct a joint Statehood Audit of the combined entity under the criteria of §13.2.a and §13.2.b. The audit assesses whether the existing State's fiscal integrity and legal compliance are maintained when the merging territory is included. The existing State retains its constitutional status throughout the audit process — audit failure blocks the merger but does not affect the State's existing Statehood. If the combined entity fails the audit, the merger may not proceed. The petition may be resubmitted once the audit criteria are met without requiring new dual approval under §13.7.b, provided resubmission occurs within 5 years of the original approvals.</w:t>
      </w:r>
    </w:p>
    <w:p>
      <w:pPr>
        <w:spacing w:after="60" w:before="200"/>
        <w:ind w:left="431"/>
        <w:jc w:val="left"/>
      </w:pPr>
      <w:r>
        <w:rPr>
          <w:rFonts w:ascii="Courier New" w:cs="Courier New" w:eastAsia="Courier New" w:hAnsi="Courier New"/>
          <w:b/>
          <w:bCs/>
          <w:color w:val="1B2A4A"/>
          <w:sz w:val="18"/>
          <w:szCs w:val="18"/>
        </w:rPr>
        <w:t xml:space="preserve">§13.7.d  </w:t>
      </w:r>
      <w:r>
        <w:rPr>
          <w:rFonts w:ascii="Garamond" w:cs="Garamond" w:eastAsia="Garamond" w:hAnsi="Garamond"/>
          <w:b/>
          <w:bCs/>
          <w:i w:val="false"/>
          <w:iCs w:val="false"/>
          <w:color w:val="1B2A4A"/>
          <w:sz w:val="22"/>
          <w:szCs w:val="22"/>
        </w:rPr>
        <w:t xml:space="preserve">Remaining Territory Viability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partial Territory merges with an existing State, the LI assesses the remaining Territory's viability for eventual standalone Statehood and publishes its assessment to the NRS within 90 days of the merger petition. Viability does not require the remaining Territory to currently meet Statehood Audit criteria — only that a credible path to meeting them exists given its population, fiscal capacity, and geographic coherence. If the LI finds the remaining Territory is not viable for standalone Statehood, the partial merger may not proceed unless the Republic commits by statute to a specific development and support program for the remaining Territory, published to the NRS before the Senate ratification vote. A Territory that is reduced to non-viability by a partial merger that proceeded in error is entitled to full BNF protection and federal support as a constitutional matter.</w:t>
      </w:r>
    </w:p>
    <w:p>
      <w:pPr>
        <w:spacing w:after="60" w:before="200"/>
        <w:ind w:left="431"/>
        <w:jc w:val="left"/>
      </w:pPr>
      <w:r>
        <w:rPr>
          <w:rFonts w:ascii="Courier New" w:cs="Courier New" w:eastAsia="Courier New" w:hAnsi="Courier New"/>
          <w:b/>
          <w:bCs/>
          <w:color w:val="1B2A4A"/>
          <w:sz w:val="18"/>
          <w:szCs w:val="18"/>
        </w:rPr>
        <w:t xml:space="preserve">§13.7.e  </w:t>
      </w:r>
      <w:r>
        <w:rPr>
          <w:rFonts w:ascii="Garamond" w:cs="Garamond" w:eastAsia="Garamond" w:hAnsi="Garamond"/>
          <w:b/>
          <w:bCs/>
          <w:i w:val="false"/>
          <w:iCs w:val="false"/>
          <w:color w:val="1B2A4A"/>
          <w:sz w:val="22"/>
          <w:szCs w:val="22"/>
        </w:rPr>
        <w:t xml:space="preserve">Senate Ratification and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Senate ratification requires a simple majority of full seated membership. Upon ratification: the merging territory is incorporated into the existing State by operation of law from the date of ratification; the existing State's House seat allocation is recalculated at the next census; the existing State's two Senate seats remain unchanged; all residents of the merging territory become citizens and residents of the State for all constitutional purposes; and the LI publishes the updated State boundaries to the NRS within 30 days. Where a partial Territory merges, the remaining Territory continues under §13.1 and begins or continues the §13.2 Statehood Audit process from its current baseline.</w:t>
      </w:r>
    </w:p>
    <w:p>
      <w:pPr>
        <w:spacing w:after="60" w:before="200"/>
        <w:ind w:left="431"/>
        <w:jc w:val="left"/>
      </w:pPr>
      <w:r>
        <w:rPr>
          <w:rFonts w:ascii="Courier New" w:cs="Courier New" w:eastAsia="Courier New" w:hAnsi="Courier New"/>
          <w:b/>
          <w:bCs/>
          <w:color w:val="1B2A4A"/>
          <w:sz w:val="18"/>
          <w:szCs w:val="18"/>
        </w:rPr>
        <w:t xml:space="preserve">§13.8  </w:t>
      </w:r>
      <w:r>
        <w:rPr>
          <w:rFonts w:ascii="Garamond" w:cs="Garamond" w:eastAsia="Garamond" w:hAnsi="Garamond"/>
          <w:b/>
          <w:bCs/>
          <w:i w:val="false"/>
          <w:iCs w:val="false"/>
          <w:color w:val="1B2A4A"/>
          <w:sz w:val="22"/>
          <w:szCs w:val="22"/>
        </w:rPr>
        <w:t xml:space="preserve">State Immutability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State's constitutional boundaries are fixed. No constitutional mechanism permits a State to divide directly into two or more States. Where a State seeks to subdivide, it must first voluntarily devolve to Territory status under §13.4 — each resulting Territory then pursues Statehood independently through §13.2 or §13.2.d. The same requirement applies to any partial subdivision: the separating portion must first become a Territory before it may seek independent Statehood. A State undergoing this process retains its constitutional status until devolution takes effect; the resulting Territories re-qualify from their current baseline without prejudice.</w:t>
      </w:r>
    </w:p>
    <w:p>
      <w:pPr>
        <w:spacing w:after="60" w:before="200"/>
        <w:jc w:val="left"/>
      </w:pPr>
      <w:r>
        <w:rPr>
          <w:rFonts w:ascii="Garamond" w:cs="Garamond" w:eastAsia="Garamond" w:hAnsi="Garamond"/>
          <w:b/>
          <w:bCs/>
          <w:i w:val="false"/>
          <w:iCs w:val="false"/>
          <w:color w:val="1B2A4A"/>
          <w:sz w:val="34"/>
          <w:szCs w:val="34"/>
        </w:rPr>
        <w:t xml:space="preserve">Article XIV — Indigenous Sovereignty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§14.1  </w:t>
      </w:r>
      <w:r>
        <w:rPr>
          <w:rFonts w:ascii="Garamond" w:cs="Garamond" w:eastAsia="Garamond" w:hAnsi="Garamond"/>
          <w:b/>
          <w:bCs/>
          <w:i w:val="false"/>
          <w:iCs w:val="false"/>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foundational provision recognizing that Indigenous Nations within the Republic's territory hold a distinct constitutional relationship based on prior sovereignty. The compact relationship is bilateral: the Republic acknowledges Indigenous prior sovereignty; Indigenous Nations acknowledge the Republic's constitutional framework.</w:t>
      </w:r>
    </w:p>
    <w:p>
      <w:pPr>
        <w:spacing w:after="60" w:before="200"/>
        <w:ind w:left="431"/>
        <w:jc w:val="left"/>
      </w:pPr>
      <w:r>
        <w:rPr>
          <w:rFonts w:ascii="Courier New" w:cs="Courier New" w:eastAsia="Courier New" w:hAnsi="Courier New"/>
          <w:b/>
          <w:bCs/>
          <w:color w:val="1B2A4A"/>
          <w:sz w:val="18"/>
          <w:szCs w:val="18"/>
        </w:rPr>
        <w:t xml:space="preserve">§14.2  </w:t>
      </w:r>
      <w:r>
        <w:rPr>
          <w:rFonts w:ascii="Garamond" w:cs="Garamond" w:eastAsia="Garamond" w:hAnsi="Garamond"/>
          <w:b/>
          <w:bCs/>
          <w:i w:val="false"/>
          <w:iCs w:val="false"/>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PM's domestic affairs office, with JI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1B2A4A"/>
          <w:sz w:val="18"/>
          <w:szCs w:val="18"/>
        </w:rPr>
        <w:t xml:space="preserve">§14.3  </w:t>
      </w:r>
      <w:r>
        <w:rPr>
          <w:rFonts w:ascii="Garamond" w:cs="Garamond" w:eastAsia="Garamond" w:hAnsi="Garamond"/>
          <w:b/>
          <w:bCs/>
          <w:i w:val="false"/>
          <w:iCs w:val="false"/>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all compact territories. Indigenous Nations with compacts hold governance, judicial, and resource sovereignty within their territories, subject to the specific terms of this section.</w:t>
      </w:r>
    </w:p>
    <w:p>
      <w:pPr>
        <w:spacing w:after="60" w:before="200"/>
        <w:ind w:left="431"/>
        <w:jc w:val="left"/>
      </w:pPr>
      <w:r>
        <w:rPr>
          <w:rFonts w:ascii="Courier New" w:cs="Courier New" w:eastAsia="Courier New" w:hAnsi="Courier New"/>
          <w:b/>
          <w:bCs/>
          <w:color w:val="1B2A4A"/>
          <w:sz w:val="18"/>
          <w:szCs w:val="18"/>
        </w:rPr>
        <w:t xml:space="preserve">§14.3.a  </w:t>
      </w:r>
      <w:r>
        <w:rPr>
          <w:rFonts w:ascii="Garamond" w:cs="Garamond" w:eastAsia="Garamond" w:hAnsi="Garamond"/>
          <w:b/>
          <w:bCs/>
          <w:i w:val="false"/>
          <w:iCs w:val="false"/>
          <w:color w:val="1B2A4A"/>
          <w:sz w:val="22"/>
          <w:szCs w:val="22"/>
        </w:rPr>
        <w:t xml:space="preserve">Article I Rights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compact territories. No compact provision may limit or qualify any Article I right. The compact creates a framework for Indigenous governance, not a carve-out from constitutional rights. Where compact governance conflicts with an Article I right, Article I prevails.</w:t>
      </w:r>
    </w:p>
    <w:p>
      <w:pPr>
        <w:spacing w:after="60" w:before="200"/>
        <w:ind w:left="431"/>
        <w:jc w:val="left"/>
      </w:pPr>
      <w:r>
        <w:rPr>
          <w:rFonts w:ascii="Courier New" w:cs="Courier New" w:eastAsia="Courier New" w:hAnsi="Courier New"/>
          <w:b/>
          <w:bCs/>
          <w:color w:val="1B2A4A"/>
          <w:sz w:val="18"/>
          <w:szCs w:val="18"/>
        </w:rPr>
        <w:t xml:space="preserve">§14.3.b  </w:t>
      </w:r>
      <w:r>
        <w:rPr>
          <w:rFonts w:ascii="Garamond" w:cs="Garamond" w:eastAsia="Garamond" w:hAnsi="Garamond"/>
          <w:b/>
          <w:bCs/>
          <w:i w:val="false"/>
          <w:iCs w:val="false"/>
          <w:color w:val="1B2A4A"/>
          <w:sz w:val="22"/>
          <w:szCs w:val="22"/>
        </w:rPr>
        <w:t xml:space="preserve">Compact Judicial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Nations with compacts may establish their own courts with jurisdiction over matters within compact scope. These courts operate in parallel with federal courts. Citizens may bring Article I claims directly to federal courts regardless of whether a matter is within compact scope.</w:t>
      </w:r>
    </w:p>
    <w:p>
      <w:pPr>
        <w:spacing w:after="60" w:before="200"/>
        <w:ind w:left="431"/>
        <w:jc w:val="left"/>
      </w:pPr>
      <w:r>
        <w:rPr>
          <w:rFonts w:ascii="Courier New" w:cs="Courier New" w:eastAsia="Courier New" w:hAnsi="Courier New"/>
          <w:b/>
          <w:bCs/>
          <w:color w:val="1B2A4A"/>
          <w:sz w:val="18"/>
          <w:szCs w:val="18"/>
        </w:rPr>
        <w:t xml:space="preserve">§14.3.c  </w:t>
      </w:r>
      <w:r>
        <w:rPr>
          <w:rFonts w:ascii="Garamond" w:cs="Garamond" w:eastAsia="Garamond" w:hAnsi="Garamond"/>
          <w:b/>
          <w:bCs/>
          <w:i w:val="false"/>
          <w:iCs w:val="false"/>
          <w:color w:val="1B2A4A"/>
          <w:sz w:val="22"/>
          <w:szCs w:val="22"/>
        </w:rPr>
        <w:t xml:space="preserve">Land and Resource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 territories include explicit land and resource sovereignty provisions negotiated between the Nation and the Republic. The Republic may not alter compact land provisions without Nation consent. Resource extraction within compact territories requires both Republic and Nation approval.</w:t>
      </w:r>
    </w:p>
    <w:p>
      <w:pPr>
        <w:spacing w:after="60" w:before="200"/>
        <w:ind w:left="431"/>
        <w:jc w:val="left"/>
      </w:pPr>
      <w:r>
        <w:rPr>
          <w:rFonts w:ascii="Courier New" w:cs="Courier New" w:eastAsia="Courier New" w:hAnsi="Courier New"/>
          <w:b/>
          <w:bCs/>
          <w:color w:val="1B2A4A"/>
          <w:sz w:val="18"/>
          <w:szCs w:val="18"/>
        </w:rPr>
        <w:t xml:space="preserve">§14.3.d  </w:t>
      </w:r>
      <w:r>
        <w:rPr>
          <w:rFonts w:ascii="Garamond" w:cs="Garamond" w:eastAsia="Garamond" w:hAnsi="Garamond"/>
          <w:b/>
          <w:bCs/>
          <w:i w:val="false"/>
          <w:iCs w:val="false"/>
          <w:color w:val="1B2A4A"/>
          <w:sz w:val="22"/>
          <w:szCs w:val="22"/>
        </w:rPr>
        <w:t xml:space="preserve">Compact Governance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recognizes the Indigenous Nation's governance structures as legitimate political institutions within compact scope. Federal agencies must coordinate with compact governance bodies. The Republic may not impose federal administrative structures on compact governance without Nation consent.</w:t>
      </w:r>
    </w:p>
    <w:p>
      <w:pPr>
        <w:spacing w:after="60" w:before="200"/>
        <w:ind w:left="431"/>
        <w:jc w:val="left"/>
      </w:pPr>
      <w:r>
        <w:rPr>
          <w:rFonts w:ascii="Courier New" w:cs="Courier New" w:eastAsia="Courier New" w:hAnsi="Courier New"/>
          <w:b/>
          <w:bCs/>
          <w:color w:val="1B2A4A"/>
          <w:sz w:val="18"/>
          <w:szCs w:val="18"/>
        </w:rPr>
        <w:t xml:space="preserve">§14.3.e  </w:t>
      </w:r>
      <w:r>
        <w:rPr>
          <w:rFonts w:ascii="Garamond" w:cs="Garamond" w:eastAsia="Garamond" w:hAnsi="Garamond"/>
          <w:b/>
          <w:bCs/>
          <w:i w:val="false"/>
          <w:iCs w:val="false"/>
          <w:color w:val="1B2A4A"/>
          <w:sz w:val="22"/>
          <w:szCs w:val="22"/>
        </w:rPr>
        <w:t xml:space="preserve">Compact Education and Language</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must include provisions for preservation and transmission of Indigenous languages and cultural practices. The Republic provides federal education funding that supports Indigenous-language instruction within compact territories.</w:t>
      </w:r>
    </w:p>
    <w:p>
      <w:pPr>
        <w:spacing w:after="60" w:before="200"/>
        <w:ind w:left="431"/>
        <w:jc w:val="left"/>
      </w:pPr>
      <w:r>
        <w:rPr>
          <w:rFonts w:ascii="Courier New" w:cs="Courier New" w:eastAsia="Courier New" w:hAnsi="Courier New"/>
          <w:b/>
          <w:bCs/>
          <w:color w:val="1B2A4A"/>
          <w:sz w:val="18"/>
          <w:szCs w:val="18"/>
        </w:rPr>
        <w:t xml:space="preserve">§14.4  </w:t>
      </w:r>
      <w:r>
        <w:rPr>
          <w:rFonts w:ascii="Garamond" w:cs="Garamond" w:eastAsia="Garamond" w:hAnsi="Garamond"/>
          <w:b/>
          <w:bCs/>
          <w:i w:val="false"/>
          <w:iCs w:val="false"/>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living agreements administered through joint mechanisms. This section governs dispute resolution, review cycles, and the conditions under which a compact may be modified or terminated.</w:t>
      </w:r>
    </w:p>
    <w:p>
      <w:pPr>
        <w:spacing w:after="60" w:before="200"/>
        <w:ind w:left="431"/>
        <w:jc w:val="left"/>
      </w:pPr>
      <w:r>
        <w:rPr>
          <w:rFonts w:ascii="Courier New" w:cs="Courier New" w:eastAsia="Courier New" w:hAnsi="Courier New"/>
          <w:b/>
          <w:bCs/>
          <w:color w:val="1B2A4A"/>
          <w:sz w:val="18"/>
          <w:szCs w:val="18"/>
        </w:rPr>
        <w:t xml:space="preserve">§14.4.a  </w:t>
      </w:r>
      <w:r>
        <w:rPr>
          <w:rFonts w:ascii="Garamond" w:cs="Garamond" w:eastAsia="Garamond" w:hAnsi="Garamond"/>
          <w:b/>
          <w:bCs/>
          <w:i w:val="false"/>
          <w:iCs w:val="false"/>
          <w:color w:val="1B2A4A"/>
          <w:sz w:val="22"/>
          <w:szCs w:val="22"/>
        </w:rPr>
        <w:t xml:space="preserve">Compact Dispute Resolution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Disputes about compact terms are resolved through a Joint Compact Review Council (equal representation of the Nation and the Republic) with appeal to the SC on constitutional questions. The Council's decisions are binding on both parties within the scope of the compact. Neither party may unilaterally declare a compact dispute resolved.</w:t>
      </w:r>
    </w:p>
    <w:p>
      <w:pPr>
        <w:spacing w:after="60" w:before="200"/>
        <w:ind w:left="431"/>
        <w:jc w:val="left"/>
      </w:pPr>
      <w:r>
        <w:rPr>
          <w:rFonts w:ascii="Courier New" w:cs="Courier New" w:eastAsia="Courier New" w:hAnsi="Courier New"/>
          <w:b/>
          <w:bCs/>
          <w:color w:val="1B2A4A"/>
          <w:sz w:val="18"/>
          <w:szCs w:val="18"/>
        </w:rPr>
        <w:t xml:space="preserve">§14.4.b  </w:t>
      </w:r>
      <w:r>
        <w:rPr>
          <w:rFonts w:ascii="Garamond" w:cs="Garamond" w:eastAsia="Garamond" w:hAnsi="Garamond"/>
          <w:b/>
          <w:bCs/>
          <w:i w:val="false"/>
          <w:iCs w:val="false"/>
          <w:color w:val="1B2A4A"/>
          <w:sz w:val="22"/>
          <w:szCs w:val="22"/>
        </w:rPr>
        <w:t xml:space="preserve">Compact Review Cycle</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reviewed on a schedule defined in the compact terms, minimum every 20 years. Either party may request a review outside the scheduled cycle. Reviews are conducted by the Joint Compact Review Council. The review may result in compact amendment by mutual agreement — neither party can impose amendments.</w:t>
      </w:r>
    </w:p>
    <w:p>
      <w:pPr>
        <w:spacing w:after="60" w:before="200"/>
        <w:ind w:left="431"/>
        <w:jc w:val="left"/>
      </w:pPr>
      <w:r>
        <w:rPr>
          <w:rFonts w:ascii="Courier New" w:cs="Courier New" w:eastAsia="Courier New" w:hAnsi="Courier New"/>
          <w:b/>
          <w:bCs/>
          <w:color w:val="1B2A4A"/>
          <w:sz w:val="18"/>
          <w:szCs w:val="18"/>
        </w:rPr>
        <w:t xml:space="preserve">§14.4.c  </w:t>
      </w:r>
      <w:r>
        <w:rPr>
          <w:rFonts w:ascii="Garamond" w:cs="Garamond" w:eastAsia="Garamond" w:hAnsi="Garamond"/>
          <w:b/>
          <w:bCs/>
          <w:i w:val="false"/>
          <w:iCs w:val="false"/>
          <w:color w:val="1B2A4A"/>
          <w:sz w:val="22"/>
          <w:szCs w:val="22"/>
        </w:rPr>
        <w:t xml:space="preserve">Compact Termination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may be terminated by mutual agreement only. Neither party may unilaterally terminate a compact. If the Nation seeks termination, the Republic must negotiate exit terms within 2 years. If no agreement is reached, the compact continues and the dispute is referred to the SC. The Republic holds no right to initiate compact termination. Only the Nation may initiate; the Republic's role is to negotiate exit terms if the Nation so elects.</w:t>
      </w:r>
    </w:p>
    <w:p>
      <w:pPr>
        <w:spacing w:after="60" w:before="200"/>
        <w:ind w:left="431"/>
        <w:jc w:val="left"/>
      </w:pPr>
      <w:r>
        <w:rPr>
          <w:rFonts w:ascii="Courier New" w:cs="Courier New" w:eastAsia="Courier New" w:hAnsi="Courier New"/>
          <w:b/>
          <w:bCs/>
          <w:color w:val="1B2A4A"/>
          <w:sz w:val="18"/>
          <w:szCs w:val="18"/>
        </w:rPr>
        <w:t xml:space="preserve">§14.5  </w:t>
      </w:r>
      <w:r>
        <w:rPr>
          <w:rFonts w:ascii="Garamond" w:cs="Garamond" w:eastAsia="Garamond" w:hAnsi="Garamond"/>
          <w:b/>
          <w:bCs/>
          <w:i w:val="false"/>
          <w:iCs w:val="false"/>
          <w:color w:val="1B2A4A"/>
          <w:sz w:val="22"/>
          <w:szCs w:val="22"/>
        </w:rPr>
        <w:t xml:space="preserve">Federal Obligations and New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affirmative obligations to compact territories. Indigenous communities that do not currently hold a compact retain the right to petition for compact recognition under this section.</w:t>
      </w:r>
    </w:p>
    <w:p>
      <w:pPr>
        <w:spacing w:after="60" w:before="200"/>
        <w:ind w:left="431"/>
        <w:jc w:val="left"/>
      </w:pPr>
      <w:r>
        <w:rPr>
          <w:rFonts w:ascii="Courier New" w:cs="Courier New" w:eastAsia="Courier New" w:hAnsi="Courier New"/>
          <w:b/>
          <w:bCs/>
          <w:color w:val="1B2A4A"/>
          <w:sz w:val="18"/>
          <w:szCs w:val="18"/>
        </w:rPr>
        <w:t xml:space="preserve">§14.5.a  </w:t>
      </w:r>
      <w:r>
        <w:rPr>
          <w:rFonts w:ascii="Garamond" w:cs="Garamond" w:eastAsia="Garamond" w:hAnsi="Garamond"/>
          <w:b/>
          <w:bCs/>
          <w:i w:val="false"/>
          <w:iCs w:val="false"/>
          <w:color w:val="1B2A4A"/>
          <w:sz w:val="22"/>
          <w:szCs w:val="22"/>
        </w:rPr>
        <w:t xml:space="preserve">Emergency Rights Writ</w:t>
      </w:r>
    </w:p>
    <w:p>
      <w:pPr>
        <w:spacing w:after="120" w:before="0"/>
        <w:ind w:left="431"/>
        <w:jc w:val="both"/>
      </w:pPr>
      <w:r>
        <w:rPr>
          <w:rFonts w:ascii="Garamond" w:cs="Garamond" w:eastAsia="Garamond" w:hAnsi="Garamond"/>
          <w:b w:val="false"/>
          <w:bCs w:val="false"/>
          <w:i w:val="false"/>
          <w:iCs w:val="false"/>
          <w:color w:val="2a2520"/>
          <w:sz w:val="22"/>
          <w:szCs w:val="22"/>
        </w:rPr>
        <w:t xml:space="preserve">Any resident of compact territory who believes an Article I right has been violated may bring an Emergency Rights Writ directly to the SC, bypassing all lower courts and the compact dispute resolution process. The SC must respond within 7 days. Cannot be displaced by compact terms — a direct constitutional remedy that exists independently of compact jurisdiction.</w:t>
      </w:r>
    </w:p>
    <w:p>
      <w:pPr>
        <w:spacing w:after="60" w:before="200"/>
        <w:ind w:left="431"/>
        <w:jc w:val="left"/>
      </w:pPr>
      <w:r>
        <w:rPr>
          <w:rFonts w:ascii="Courier New" w:cs="Courier New" w:eastAsia="Courier New" w:hAnsi="Courier New"/>
          <w:b/>
          <w:bCs/>
          <w:color w:val="1B2A4A"/>
          <w:sz w:val="18"/>
          <w:szCs w:val="18"/>
        </w:rPr>
        <w:t xml:space="preserve">§14.5.b  </w:t>
      </w:r>
      <w:r>
        <w:rPr>
          <w:rFonts w:ascii="Garamond" w:cs="Garamond" w:eastAsia="Garamond" w:hAnsi="Garamond"/>
          <w:b/>
          <w:bCs/>
          <w:i w:val="false"/>
          <w:iCs w:val="false"/>
          <w:color w:val="1B2A4A"/>
          <w:sz w:val="22"/>
          <w:szCs w:val="22"/>
        </w:rPr>
        <w:t xml:space="preserve">Federal Assistance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specific assistance obligations to compact nations: federal education funding, healthcare access, infrastructure investment, and emergency response. These obligations are enforceable against the Republic by the Nation through the compact dispute resolution process.</w:t>
      </w:r>
    </w:p>
    <w:p>
      <w:pPr>
        <w:spacing w:after="60" w:before="200"/>
        <w:ind w:left="431"/>
        <w:jc w:val="left"/>
      </w:pPr>
      <w:r>
        <w:rPr>
          <w:rFonts w:ascii="Courier New" w:cs="Courier New" w:eastAsia="Courier New" w:hAnsi="Courier New"/>
          <w:b/>
          <w:bCs/>
          <w:color w:val="1B2A4A"/>
          <w:sz w:val="18"/>
          <w:szCs w:val="18"/>
        </w:rPr>
        <w:t xml:space="preserve">§14.5.c  </w:t>
      </w:r>
      <w:r>
        <w:rPr>
          <w:rFonts w:ascii="Garamond" w:cs="Garamond" w:eastAsia="Garamond" w:hAnsi="Garamond"/>
          <w:b/>
          <w:bCs/>
          <w:i w:val="false"/>
          <w:iCs w:val="false"/>
          <w:color w:val="1B2A4A"/>
          <w:sz w:val="22"/>
          <w:szCs w:val="22"/>
        </w:rPr>
        <w:t xml:space="preserve">New Indigenous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communities that do not currently hold a compact may petition the Senate for compact recognition. The Senate must consider the petition within 90 days and either begin compact negotiations or publish written reasons for declining. A declined petition may be re-submitted after 5 years or after a material change in circumstances.</w:t>
      </w:r>
    </w:p>
    <w:p>
      <w:pPr>
        <w:spacing w:after="60" w:before="200"/>
        <w:ind w:left="431"/>
        <w:jc w:val="left"/>
      </w:pPr>
      <w:r>
        <w:rPr>
          <w:rFonts w:ascii="Courier New" w:cs="Courier New" w:eastAsia="Courier New" w:hAnsi="Courier New"/>
          <w:b/>
          <w:bCs/>
          <w:color w:val="1B2A4A"/>
          <w:sz w:val="18"/>
          <w:szCs w:val="18"/>
        </w:rPr>
        <w:t xml:space="preserve">§14.5.d  </w:t>
      </w:r>
      <w:r>
        <w:rPr>
          <w:rFonts w:ascii="Garamond" w:cs="Garamond" w:eastAsia="Garamond" w:hAnsi="Garamond"/>
          <w:b/>
          <w:bCs/>
          <w:i w:val="false"/>
          <w:iCs w:val="false"/>
          <w:color w:val="1B2A4A"/>
          <w:sz w:val="22"/>
          <w:szCs w:val="22"/>
        </w:rPr>
        <w:t xml:space="preserve">Compact and 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 membership and Republic citizenship are compatible and independent statuses. A citizen of a compact Nation holds full Republic citizenship rights. Republic citizenship does not require renouncing Indigenous Nation membership. Dual status is the constitutional default.</w:t>
      </w:r>
    </w:p>
    <w:p>
      <w:pPr>
        <w:spacing w:after="60" w:before="200"/>
        <w:ind w:left="431"/>
        <w:jc w:val="left"/>
      </w:pPr>
      <w:r>
        <w:rPr>
          <w:rFonts w:ascii="Courier New" w:cs="Courier New" w:eastAsia="Courier New" w:hAnsi="Courier New"/>
          <w:b/>
          <w:bCs/>
          <w:color w:val="1B2A4A"/>
          <w:sz w:val="18"/>
          <w:szCs w:val="18"/>
        </w:rPr>
        <w:t xml:space="preserve">§14.6  </w:t>
      </w:r>
      <w:r>
        <w:rPr>
          <w:rFonts w:ascii="Garamond" w:cs="Garamond" w:eastAsia="Garamond" w:hAnsi="Garamond"/>
          <w:b/>
          <w:bCs/>
          <w:i w:val="false"/>
          <w:iCs w:val="false"/>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§14.2 and §14.4.</w:t>
      </w:r>
    </w:p>
    <w:p>
      <w:pPr>
        <w:spacing w:after="60" w:before="200"/>
        <w:ind w:left="431"/>
        <w:jc w:val="left"/>
      </w:pPr>
      <w:r>
        <w:rPr>
          <w:rFonts w:ascii="Courier New" w:cs="Courier New" w:eastAsia="Courier New" w:hAnsi="Courier New"/>
          <w:b/>
          <w:bCs/>
          <w:color w:val="1B2A4A"/>
          <w:sz w:val="18"/>
          <w:szCs w:val="18"/>
        </w:rPr>
        <w:t xml:space="preserve">§14.7  </w:t>
      </w:r>
      <w:r>
        <w:rPr>
          <w:rFonts w:ascii="Garamond" w:cs="Garamond" w:eastAsia="Garamond" w:hAnsi="Garamond"/>
          <w:b/>
          <w:bCs/>
          <w:i w:val="false"/>
          <w:iCs w:val="false"/>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with an established compact under Article XIV holds the constitutional right to initiate a status transition through its own democratic or traditional governance process. Three status options are available: (a) Compact Status — continued Article XIV compact relationship (default; no election required to remain); (b) Territorial Integration — election to pursue territorial incorporation through §13.6, entering as a Territory with the standard §13.2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1B2A4A"/>
          <w:sz w:val="18"/>
          <w:szCs w:val="18"/>
        </w:rPr>
        <w:t xml:space="preserve">§14.7.a  </w:t>
      </w:r>
      <w:r>
        <w:rPr>
          <w:rFonts w:ascii="Garamond" w:cs="Garamond" w:eastAsia="Garamond" w:hAnsi="Garamond"/>
          <w:b/>
          <w:bCs/>
          <w:i w:val="false"/>
          <w:iCs w:val="false"/>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status election under §14.7 requires: (1) a decision by the nation's own governance process, meeting the standards the nation itself defines for major governance decisions; and (2) publication of the election to the NRS within 30 days of the governance decision. A status election under §14.7 is irrevocable — a Nation that elects Territorial Integration or Full Sovereign Independence may not subsequently return to Article XIV compact status. Once a Nation has transitioned to Territory or State status, any further changes to their relationship with the Republic follow the standard constitutional processes applicable to that status under Articles XIII and XIX. Once a Nation has elected Full Sovereign Independence, any subsequent relationship with the Republic — including Associated Community status under Article XX — is pursued as an independent sovereign under the applicable provisions of that Article; Associated Community status requires full independence first and cannot be elected directly from compact status. At ratification, the Republic must formally notify all recognized indigenous compact nations of their rights under §14.7.</w:t>
      </w:r>
    </w:p>
    <w:p>
      <w:pPr>
        <w:spacing w:after="60" w:before="200"/>
        <w:jc w:val="left"/>
      </w:pPr>
      <w:r>
        <w:rPr>
          <w:rFonts w:ascii="Garamond" w:cs="Garamond" w:eastAsia="Garamond" w:hAnsi="Garamond"/>
          <w:b/>
          <w:bCs/>
          <w:i w:val="false"/>
          <w:iCs w:val="false"/>
          <w:color w:val="1B2A4A"/>
          <w:sz w:val="34"/>
          <w:szCs w:val="34"/>
        </w:rPr>
        <w:t xml:space="preserve">Article XV — Constitutional Amendments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§15.1  </w:t>
      </w:r>
      <w:r>
        <w:rPr>
          <w:rFonts w:ascii="Garamond" w:cs="Garamond" w:eastAsia="Garamond" w:hAnsi="Garamond"/>
          <w:b/>
          <w:bCs/>
          <w:i w:val="false"/>
          <w:iCs w:val="false"/>
          <w:color w:val="1B2A4A"/>
          <w:sz w:val="22"/>
          <w:szCs w:val="22"/>
        </w:rPr>
        <w:t xml:space="preserve">Three Amendment Paths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can be amended through three routes with varying levels of democratic mandate. Path A (Legislature only): 3/4 of both chambers simultaneously. Path B (Legislature + popular vote): 2/3 of both chambers + 55% affirmative with 55% participation. Path C (citizens alone): 70% affirmative with 65% participation. An amendment passed by any path has identical constitutional force.</w:t>
      </w:r>
    </w:p>
    <w:p>
      <w:pPr>
        <w:spacing w:after="60" w:before="200"/>
        <w:ind w:left="431"/>
        <w:jc w:val="left"/>
      </w:pPr>
      <w:r>
        <w:rPr>
          <w:rFonts w:ascii="Courier New" w:cs="Courier New" w:eastAsia="Courier New" w:hAnsi="Courier New"/>
          <w:b/>
          <w:bCs/>
          <w:color w:val="1B2A4A"/>
          <w:sz w:val="18"/>
          <w:szCs w:val="18"/>
        </w:rPr>
        <w:t xml:space="preserve">§15.1.a  </w:t>
      </w:r>
      <w:r>
        <w:rPr>
          <w:rFonts w:ascii="Garamond" w:cs="Garamond" w:eastAsia="Garamond" w:hAnsi="Garamond"/>
          <w:b/>
          <w:bCs/>
          <w:i w:val="false"/>
          <w:iCs w:val="false"/>
          <w:color w:val="1B2A4A"/>
          <w:sz w:val="22"/>
          <w:szCs w:val="22"/>
        </w:rPr>
        <w:t xml:space="preserve">Parliamentary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Requires 3/4 supermajority of the full seated membership of both chambers in a single concurrent vote. No popular referendum. No executive signature. Every member's vote is published to the NRS within 24 hours. The 3/4 threshold is the highest legislative supermajority in the constitution — near-unanimous legislative agreement required.</w:t>
      </w:r>
    </w:p>
    <w:p>
      <w:pPr>
        <w:spacing w:after="60" w:before="200"/>
        <w:ind w:left="431"/>
        <w:jc w:val="left"/>
      </w:pPr>
      <w:r>
        <w:rPr>
          <w:rFonts w:ascii="Courier New" w:cs="Courier New" w:eastAsia="Courier New" w:hAnsi="Courier New"/>
          <w:b/>
          <w:bCs/>
          <w:color w:val="1B2A4A"/>
          <w:sz w:val="18"/>
          <w:szCs w:val="18"/>
        </w:rPr>
        <w:t xml:space="preserve">§15.1.b  </w:t>
      </w:r>
      <w:r>
        <w:rPr>
          <w:rFonts w:ascii="Garamond" w:cs="Garamond" w:eastAsia="Garamond" w:hAnsi="Garamond"/>
          <w:b/>
          <w:bCs/>
          <w:i w:val="false"/>
          <w:iCs w:val="false"/>
          <w:color w:val="1B2A4A"/>
          <w:sz w:val="22"/>
          <w:szCs w:val="22"/>
        </w:rPr>
        <w:t xml:space="preserve">Parliamentary and Popular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Lower legislative threshold (2/3 both chambers) but requires the People to ratify. National popular vote within 180 days of the parliamentary vote. 55% affirmative support with at least 55% citizen participation required. EC and LI certify jointly. Neither stage alone is sufficient.</w:t>
      </w:r>
    </w:p>
    <w:p>
      <w:pPr>
        <w:spacing w:after="60" w:before="200"/>
        <w:ind w:left="431"/>
        <w:jc w:val="left"/>
      </w:pPr>
      <w:r>
        <w:rPr>
          <w:rFonts w:ascii="Courier New" w:cs="Courier New" w:eastAsia="Courier New" w:hAnsi="Courier New"/>
          <w:b/>
          <w:bCs/>
          <w:color w:val="1B2A4A"/>
          <w:sz w:val="18"/>
          <w:szCs w:val="18"/>
        </w:rPr>
        <w:t xml:space="preserve">§15.1.c  </w:t>
      </w:r>
      <w:r>
        <w:rPr>
          <w:rFonts w:ascii="Garamond" w:cs="Garamond" w:eastAsia="Garamond" w:hAnsi="Garamond"/>
          <w:b/>
          <w:bCs/>
          <w:i w:val="false"/>
          <w:iCs w:val="false"/>
          <w:color w:val="1B2A4A"/>
          <w:sz w:val="22"/>
          <w:szCs w:val="22"/>
        </w:rPr>
        <w:t xml:space="preserve">Citizen-Led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Citizen-Led Amendment. The only path that entirely bypasses the Legislature. 70% affirmative support with 65% citizen participation required. A vote that fails either threshold fails; no second vote is available. A new petition may be filed immediately under the same process, with the failed vote's NRS record available as public evidence of prior support.</w:t>
      </w:r>
    </w:p>
    <w:p>
      <w:pPr>
        <w:spacing w:after="60" w:before="200"/>
        <w:ind w:left="431"/>
        <w:jc w:val="left"/>
      </w:pPr>
      <w:r>
        <w:rPr>
          <w:rFonts w:ascii="Courier New" w:cs="Courier New" w:eastAsia="Courier New" w:hAnsi="Courier New"/>
          <w:b/>
          <w:bCs/>
          <w:color w:val="1B2A4A"/>
          <w:sz w:val="18"/>
          <w:szCs w:val="18"/>
        </w:rPr>
        <w:t xml:space="preserve">§15.2  </w:t>
      </w:r>
      <w:r>
        <w:rPr>
          <w:rFonts w:ascii="Garamond" w:cs="Garamond" w:eastAsia="Garamond" w:hAnsi="Garamond"/>
          <w:b/>
          <w:bCs/>
          <w:i w:val="false"/>
          <w:iCs w:val="false"/>
          <w:color w:val="1B2A4A"/>
          <w:sz w:val="22"/>
          <w:szCs w:val="22"/>
        </w:rPr>
        <w:t xml:space="preserve">No Executive Veto Over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Neither the President nor the PM has any role in the constitutional amendment process. No signature required. No veto available. An amendment takes effect the moment the Inspectorates certify ratification and publish it to the NRS. Constitutional change is entirely outside executive control.</w:t>
      </w:r>
    </w:p>
    <w:p>
      <w:pPr>
        <w:spacing w:after="60" w:before="200"/>
        <w:ind w:left="431"/>
        <w:jc w:val="left"/>
      </w:pPr>
      <w:r>
        <w:rPr>
          <w:rFonts w:ascii="Courier New" w:cs="Courier New" w:eastAsia="Courier New" w:hAnsi="Courier New"/>
          <w:b/>
          <w:bCs/>
          <w:color w:val="1B2A4A"/>
          <w:sz w:val="18"/>
          <w:szCs w:val="18"/>
        </w:rPr>
        <w:t xml:space="preserve">§15.2.a  </w:t>
      </w:r>
      <w:r>
        <w:rPr>
          <w:rFonts w:ascii="Garamond" w:cs="Garamond" w:eastAsia="Garamond" w:hAnsi="Garamond"/>
          <w:b/>
          <w:bCs/>
          <w:i w:val="false"/>
          <w:iCs w:val="false"/>
          <w:color w:val="1B2A4A"/>
          <w:sz w:val="22"/>
          <w:szCs w:val="22"/>
        </w:rPr>
        <w:t xml:space="preserve">Amendment Takes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takes effect immediately upon LI certification (Paths A and B) or EC certification (Path C) and NRS publication. No implementation delay, no commencement date, no executive discretion over timing.</w:t>
      </w:r>
    </w:p>
    <w:p>
      <w:pPr>
        <w:spacing w:after="60" w:before="200"/>
        <w:ind w:left="431"/>
        <w:jc w:val="left"/>
      </w:pPr>
      <w:r>
        <w:rPr>
          <w:rFonts w:ascii="Courier New" w:cs="Courier New" w:eastAsia="Courier New" w:hAnsi="Courier New"/>
          <w:b/>
          <w:bCs/>
          <w:color w:val="1B2A4A"/>
          <w:sz w:val="18"/>
          <w:szCs w:val="18"/>
        </w:rPr>
        <w:t xml:space="preserve">§15.3  </w:t>
      </w:r>
      <w:r>
        <w:rPr>
          <w:rFonts w:ascii="Garamond" w:cs="Garamond" w:eastAsia="Garamond" w:hAnsi="Garamond"/>
          <w:b/>
          <w:bCs/>
          <w:i w:val="false"/>
          <w:iCs w:val="false"/>
          <w:color w:val="1B2A4A"/>
          <w:sz w:val="22"/>
          <w:szCs w:val="22"/>
        </w:rPr>
        <w:t xml:space="preserve">Unamendable Provisions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Six provisions of this constitution may not be amended by any pathway — not by legislative supermajority, popular ratification, or any combination of both. These provisions define the minimum conditions for constitutional legitimacy itself.</w:t>
      </w:r>
    </w:p>
    <w:p>
      <w:pPr>
        <w:spacing w:after="60" w:before="200"/>
        <w:ind w:left="431"/>
        <w:jc w:val="left"/>
      </w:pPr>
      <w:r>
        <w:rPr>
          <w:rFonts w:ascii="Courier New" w:cs="Courier New" w:eastAsia="Courier New" w:hAnsi="Courier New"/>
          <w:b/>
          <w:bCs/>
          <w:color w:val="1B2A4A"/>
          <w:sz w:val="18"/>
          <w:szCs w:val="18"/>
        </w:rPr>
        <w:t xml:space="preserve">§15.3.a  </w:t>
      </w:r>
      <w:r>
        <w:rPr>
          <w:rFonts w:ascii="Garamond" w:cs="Garamond" w:eastAsia="Garamond" w:hAnsi="Garamond"/>
          <w:b/>
          <w:bCs/>
          <w:i w:val="false"/>
          <w:iCs w:val="false"/>
          <w:color w:val="1B2A4A"/>
          <w:sz w:val="22"/>
          <w:szCs w:val="22"/>
        </w:rPr>
        <w:t xml:space="preserve">Permanently Unamendable Provisions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Six provisions that cannot be amended by any process: §1.3 (torture prohibition), §1.4 (slavery and forced labor), §1.14 (habeas corpus), §1.18 (public trial), §1.19 (no retroactive criminal laws), §1.28 (non-refoulement). Article I as a whole can only expand — no amendment may reduce any Article I right below its current floor.</w:t>
      </w:r>
    </w:p>
    <w:p>
      <w:pPr>
        <w:spacing w:after="60" w:before="200"/>
        <w:ind w:left="431"/>
        <w:jc w:val="left"/>
      </w:pPr>
      <w:r>
        <w:rPr>
          <w:rFonts w:ascii="Courier New" w:cs="Courier New" w:eastAsia="Courier New" w:hAnsi="Courier New"/>
          <w:b/>
          <w:bCs/>
          <w:color w:val="1B2A4A"/>
          <w:sz w:val="18"/>
          <w:szCs w:val="18"/>
        </w:rPr>
        <w:t xml:space="preserve">§15.4  </w:t>
      </w:r>
      <w:r>
        <w:rPr>
          <w:rFonts w:ascii="Garamond" w:cs="Garamond" w:eastAsia="Garamond" w:hAnsi="Garamond"/>
          <w:b/>
          <w:bCs/>
          <w:i w:val="false"/>
          <w:iCs w:val="false"/>
          <w:color w:val="1B2A4A"/>
          <w:sz w:val="22"/>
          <w:szCs w:val="22"/>
        </w:rPr>
        <w:t xml:space="preserve">Territorial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territorial extent may only be reduced by the consent of the affected population. No State may leave the Republic through ordinary legislation, and no government may cede territory without meeting the threshold established in this section.</w:t>
      </w:r>
    </w:p>
    <w:p>
      <w:pPr>
        <w:spacing w:after="60" w:before="200"/>
        <w:ind w:left="431"/>
        <w:jc w:val="left"/>
      </w:pPr>
      <w:r>
        <w:rPr>
          <w:rFonts w:ascii="Courier New" w:cs="Courier New" w:eastAsia="Courier New" w:hAnsi="Courier New"/>
          <w:b/>
          <w:bCs/>
          <w:color w:val="1B2A4A"/>
          <w:sz w:val="18"/>
          <w:szCs w:val="18"/>
        </w:rPr>
        <w:t xml:space="preserve">§15.4.a  </w:t>
      </w:r>
      <w:r>
        <w:rPr>
          <w:rFonts w:ascii="Garamond" w:cs="Garamond" w:eastAsia="Garamond" w:hAnsi="Garamond"/>
          <w:b/>
          <w:bCs/>
          <w:i w:val="false"/>
          <w:iCs w:val="false"/>
          <w:color w:val="1B2A4A"/>
          <w:sz w:val="22"/>
          <w:szCs w:val="22"/>
        </w:rPr>
        <w:t xml:space="preserve">Amendment Requirement for Territorial Reduction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territorial extent may only be reduced by a Path B or Path C amendment (not Path A). Expansion of territory is governed by §13.1. No executive action may alter the Republic's territorial extent.</w:t>
      </w:r>
    </w:p>
    <w:p>
      <w:pPr>
        <w:spacing w:after="60" w:before="200"/>
        <w:ind w:left="431"/>
        <w:jc w:val="left"/>
      </w:pPr>
      <w:r>
        <w:rPr>
          <w:rFonts w:ascii="Courier New" w:cs="Courier New" w:eastAsia="Courier New" w:hAnsi="Courier New"/>
          <w:b/>
          <w:bCs/>
          <w:color w:val="1B2A4A"/>
          <w:sz w:val="18"/>
          <w:szCs w:val="18"/>
        </w:rPr>
        <w:t xml:space="preserve">§15.4.b  </w:t>
      </w:r>
      <w:r>
        <w:rPr>
          <w:rFonts w:ascii="Garamond" w:cs="Garamond" w:eastAsia="Garamond" w:hAnsi="Garamond"/>
          <w:b/>
          <w:bCs/>
          <w:i w:val="false"/>
          <w:iCs w:val="false"/>
          <w:color w:val="1B2A4A"/>
          <w:sz w:val="22"/>
          <w:szCs w:val="22"/>
        </w:rPr>
        <w:t xml:space="preserve">No Secession by Ordinary Legislation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not secede from the Republic by ordinary statute or by State referendum alone. Secession requires a constitutional amendment — Path B or C — meaning a national democratic majority must consent to the departure of any State.</w:t>
      </w:r>
    </w:p>
    <w:p>
      <w:pPr>
        <w:spacing w:after="60" w:before="200"/>
        <w:ind w:left="431"/>
        <w:jc w:val="left"/>
      </w:pPr>
      <w:r>
        <w:rPr>
          <w:rFonts w:ascii="Courier New" w:cs="Courier New" w:eastAsia="Courier New" w:hAnsi="Courier New"/>
          <w:b/>
          <w:bCs/>
          <w:color w:val="1B2A4A"/>
          <w:sz w:val="18"/>
          <w:szCs w:val="18"/>
        </w:rPr>
        <w:t xml:space="preserve">§15.5  </w:t>
      </w:r>
      <w:r>
        <w:rPr>
          <w:rFonts w:ascii="Garamond" w:cs="Garamond" w:eastAsia="Garamond" w:hAnsi="Garamond"/>
          <w:b/>
          <w:bCs/>
          <w:i w:val="false"/>
          <w:iCs w:val="false"/>
          <w:color w:val="1B2A4A"/>
          <w:sz w:val="22"/>
          <w:szCs w:val="22"/>
        </w:rPr>
        <w:t xml:space="preserve">Amendment Consistency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that is logically inconsistent with an existing provision must either explicitly repeal the inconsistent provision or the inconsistency is treated as void. The LI reviews all proposed amendments for internal consistency before ratification.</w:t>
      </w:r>
    </w:p>
    <w:p>
      <w:pPr>
        <w:spacing w:after="60" w:before="200"/>
        <w:ind w:left="431"/>
        <w:jc w:val="left"/>
      </w:pPr>
      <w:r>
        <w:rPr>
          <w:rFonts w:ascii="Courier New" w:cs="Courier New" w:eastAsia="Courier New" w:hAnsi="Courier New"/>
          <w:b/>
          <w:bCs/>
          <w:color w:val="1B2A4A"/>
          <w:sz w:val="18"/>
          <w:szCs w:val="18"/>
        </w:rPr>
        <w:t xml:space="preserve">§15.5.a  </w:t>
      </w:r>
      <w:r>
        <w:rPr>
          <w:rFonts w:ascii="Garamond" w:cs="Garamond" w:eastAsia="Garamond" w:hAnsi="Garamond"/>
          <w:b/>
          <w:bCs/>
          <w:i w:val="false"/>
          <w:iCs w:val="false"/>
          <w:color w:val="1B2A4A"/>
          <w:sz w:val="22"/>
          <w:szCs w:val="22"/>
        </w:rPr>
        <w:t xml:space="preserve">LI Consistency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publishes a consistency analysis of any proposed amendment within 30 days of its official proposal. Identifies provisions the amendment would supersede, modify, or conflict with. Advisory — it does not block ratification — but creates a permanent public record of what the amendment changes.</w:t>
      </w:r>
    </w:p>
    <w:p>
      <w:pPr>
        <w:spacing w:after="60" w:before="200"/>
        <w:ind w:left="431"/>
        <w:jc w:val="left"/>
      </w:pPr>
      <w:r>
        <w:rPr>
          <w:rFonts w:ascii="Courier New" w:cs="Courier New" w:eastAsia="Courier New" w:hAnsi="Courier New"/>
          <w:b/>
          <w:bCs/>
          <w:color w:val="1B2A4A"/>
          <w:sz w:val="18"/>
          <w:szCs w:val="18"/>
        </w:rPr>
        <w:t xml:space="preserve">§15.5.b  </w:t>
      </w:r>
      <w:r>
        <w:rPr>
          <w:rFonts w:ascii="Garamond" w:cs="Garamond" w:eastAsia="Garamond" w:hAnsi="Garamond"/>
          <w:b/>
          <w:bCs/>
          <w:i w:val="false"/>
          <w:iCs w:val="false"/>
          <w:color w:val="1B2A4A"/>
          <w:sz w:val="22"/>
          <w:szCs w:val="22"/>
        </w:rPr>
        <w:t xml:space="preserve">SC Consistency Adjudication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If a ratified amendment's consistency with existing provisions is disputed, the SC resolves the dispute on expedited review. The SC may not refuse to ratify an amendment that has met its procedural thresholds — it adjudicates the consistency question after ratification, not before.</w:t>
      </w:r>
    </w:p>
    <w:p>
      <w:pPr>
        <w:spacing w:after="60" w:before="200"/>
        <w:ind w:left="431"/>
        <w:jc w:val="left"/>
      </w:pPr>
      <w:r>
        <w:rPr>
          <w:rFonts w:ascii="Courier New" w:cs="Courier New" w:eastAsia="Courier New" w:hAnsi="Courier New"/>
          <w:b/>
          <w:bCs/>
          <w:color w:val="1B2A4A"/>
          <w:sz w:val="18"/>
          <w:szCs w:val="18"/>
        </w:rPr>
        <w:t xml:space="preserve">§15.5.c  </w:t>
      </w:r>
      <w:r>
        <w:rPr>
          <w:rFonts w:ascii="Garamond" w:cs="Garamond" w:eastAsia="Garamond" w:hAnsi="Garamond"/>
          <w:b/>
          <w:bCs/>
          <w:i w:val="false"/>
          <w:iCs w:val="false"/>
          <w:color w:val="1B2A4A"/>
          <w:sz w:val="22"/>
          <w:szCs w:val="22"/>
        </w:rPr>
        <w:t xml:space="preserve">Retroactive Effect of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Amendments take prospective effect from the date of ratification. They do not retroactively alter the constitutionality of acts that were constitutional when performed. Criminal prosecutions and civil proceedings that were constitutionally valid when commenced remain valid under the prior constitutional standard.</w:t>
      </w:r>
    </w:p>
    <w:p>
      <w:pPr>
        <w:spacing w:after="60" w:before="200"/>
        <w:ind w:left="431"/>
        <w:jc w:val="left"/>
      </w:pPr>
      <w:r>
        <w:rPr>
          <w:rFonts w:ascii="Courier New" w:cs="Courier New" w:eastAsia="Courier New" w:hAnsi="Courier New"/>
          <w:b/>
          <w:bCs/>
          <w:color w:val="1B2A4A"/>
          <w:sz w:val="18"/>
          <w:szCs w:val="18"/>
        </w:rPr>
        <w:t xml:space="preserve">§15.5.d  </w:t>
      </w:r>
      <w:r>
        <w:rPr>
          <w:rFonts w:ascii="Garamond" w:cs="Garamond" w:eastAsia="Garamond" w:hAnsi="Garamond"/>
          <w:b/>
          <w:bCs/>
          <w:i w:val="false"/>
          <w:iCs w:val="false"/>
          <w:color w:val="1B2A4A"/>
          <w:sz w:val="22"/>
          <w:szCs w:val="22"/>
        </w:rPr>
        <w:t xml:space="preserve">Simultaneous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Two amendments may be simultaneously in the ratification process. If both pass, both are law. If they conflict with each other, the one ratified later in time prevails. Where two conflicting amendments are certified on the same day, the amendment with the higher ratification margin prevails; where margins are also equal, the amendment whose proposal stage was completed earlier in time prevails as determined by the LI from NRS records. The LI publishes a notice of any pending simultaneous amendments that are potentially inconsistent with each other.</w:t>
      </w:r>
    </w:p>
    <w:p>
      <w:pPr>
        <w:spacing w:after="60" w:before="200"/>
        <w:ind w:left="431"/>
        <w:jc w:val="left"/>
      </w:pPr>
      <w:r>
        <w:rPr>
          <w:rFonts w:ascii="Courier New" w:cs="Courier New" w:eastAsia="Courier New" w:hAnsi="Courier New"/>
          <w:b/>
          <w:bCs/>
          <w:color w:val="1B2A4A"/>
          <w:sz w:val="18"/>
          <w:szCs w:val="18"/>
        </w:rPr>
        <w:t xml:space="preserve">§15.5.e  </w:t>
      </w:r>
      <w:r>
        <w:rPr>
          <w:rFonts w:ascii="Garamond" w:cs="Garamond" w:eastAsia="Garamond" w:hAnsi="Garamond"/>
          <w:b/>
          <w:bCs/>
          <w:i w:val="false"/>
          <w:iCs w:val="false"/>
          <w:color w:val="1B2A4A"/>
          <w:sz w:val="22"/>
          <w:szCs w:val="22"/>
        </w:rPr>
        <w:t xml:space="preserve">Withdrawn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A proposed amendment may be withdrawn by the proposing body at any point before ratification is certified. Once ratification is certified, an amendment may only be reversed by a subsequent amendment through one of the three paths.</w:t>
      </w:r>
    </w:p>
    <w:p>
      <w:pPr>
        <w:spacing w:after="60" w:before="200"/>
        <w:ind w:left="431"/>
        <w:jc w:val="left"/>
      </w:pPr>
      <w:r>
        <w:rPr>
          <w:rFonts w:ascii="Courier New" w:cs="Courier New" w:eastAsia="Courier New" w:hAnsi="Courier New"/>
          <w:b/>
          <w:bCs/>
          <w:color w:val="1B2A4A"/>
          <w:sz w:val="18"/>
          <w:szCs w:val="18"/>
        </w:rPr>
        <w:t xml:space="preserve">§15.6  </w:t>
      </w:r>
      <w:r>
        <w:rPr>
          <w:rFonts w:ascii="Garamond" w:cs="Garamond" w:eastAsia="Garamond" w:hAnsi="Garamond"/>
          <w:b/>
          <w:bCs/>
          <w:i w:val="false"/>
          <w:iCs w:val="false"/>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spacing w:after="60" w:before="200"/>
        <w:jc w:val="left"/>
      </w:pPr>
      <w:r>
        <w:rPr>
          <w:rFonts w:ascii="Garamond" w:cs="Garamond" w:eastAsia="Garamond" w:hAnsi="Garamond"/>
          <w:b/>
          <w:bCs/>
          <w:i w:val="false"/>
          <w:iCs w:val="false"/>
          <w:color w:val="1B2A4A"/>
          <w:sz w:val="34"/>
          <w:szCs w:val="34"/>
        </w:rPr>
        <w:t xml:space="preserve">Article XVI — The Electoral Commission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§16.1  </w:t>
      </w:r>
      <w:r>
        <w:rPr>
          <w:rFonts w:ascii="Garamond" w:cs="Garamond" w:eastAsia="Garamond" w:hAnsi="Garamond"/>
          <w:b/>
          <w:bCs/>
          <w:i w:val="false"/>
          <w:iCs w:val="false"/>
          <w:color w:val="1B2A4A"/>
          <w:sz w:val="22"/>
          <w:szCs w:val="22"/>
        </w:rPr>
        <w:t xml:space="preserve">Electoral Commission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Electoral Commission is a constitutionally independent body of five members elected by national ranked-choice vote on National Election Day to non-renewable six-year staggered terms. No political body nominates EC members. The EC administers all federal elections and referenda, maintains the National Voting System, enforces Article XVIII campaign finance requirements, and certifies all election results to the NRS. The EC is independent of both executives and the Legislature in the exercise of its administrative and certification functions. No member of the EC may have held elected office or party membership within ten years of their election.</w:t>
      </w:r>
    </w:p>
    <w:p>
      <w:pPr>
        <w:spacing w:after="60" w:before="200"/>
        <w:ind w:left="431"/>
        <w:jc w:val="left"/>
      </w:pPr>
      <w:r>
        <w:rPr>
          <w:rFonts w:ascii="Courier New" w:cs="Courier New" w:eastAsia="Courier New" w:hAnsi="Courier New"/>
          <w:b/>
          <w:bCs/>
          <w:color w:val="1B2A4A"/>
          <w:sz w:val="18"/>
          <w:szCs w:val="18"/>
        </w:rPr>
        <w:t xml:space="preserve">§16.2  </w:t>
      </w:r>
      <w:r>
        <w:rPr>
          <w:rFonts w:ascii="Garamond" w:cs="Garamond" w:eastAsia="Garamond" w:hAnsi="Garamond"/>
          <w:b/>
          <w:bCs/>
          <w:i w:val="false"/>
          <w:iCs w:val="false"/>
          <w:color w:val="1B2A4A"/>
          <w:sz w:val="22"/>
          <w:szCs w:val="22"/>
        </w:rPr>
        <w:t xml:space="preserve">Electoral Commission Qualifications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Commission members must meet three independently verified requirements: at least 15 years of professional expertise in elections, technology, or public administration; no current or recent partisan affiliation; and passage of the Constitutional Logic Test. The qualifications are substantive — the EC requires genuine expertise.</w:t>
      </w:r>
    </w:p>
    <w:p>
      <w:pPr>
        <w:spacing w:after="60" w:before="200"/>
        <w:ind w:left="431"/>
        <w:jc w:val="left"/>
      </w:pPr>
      <w:r>
        <w:rPr>
          <w:rFonts w:ascii="Courier New" w:cs="Courier New" w:eastAsia="Courier New" w:hAnsi="Courier New"/>
          <w:b/>
          <w:bCs/>
          <w:color w:val="1B2A4A"/>
          <w:sz w:val="18"/>
          <w:szCs w:val="18"/>
        </w:rPr>
        <w:t xml:space="preserve">§16.2.a  </w:t>
      </w:r>
      <w:r>
        <w:rPr>
          <w:rFonts w:ascii="Garamond" w:cs="Garamond" w:eastAsia="Garamond" w:hAnsi="Garamond"/>
          <w:b/>
          <w:bCs/>
          <w:i w:val="false"/>
          <w:iCs w:val="false"/>
          <w:color w:val="1B2A4A"/>
          <w:sz w:val="22"/>
          <w:szCs w:val="22"/>
        </w:rPr>
        <w:t xml:space="preserve">Electoral Commission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Commission members may be removed for cause only. No no-cause removal is available for EC members. For-cause removal requires: a JI-documented finding transmitted to a State Designee Panel under §8.9.f; a Panel determination that stated grounds are substantiated; a 14-day SC appeal window from publication of the Panel finding; and a 2/3 vote of both chambers simultaneously. Where the Panel finding is substantiated, the EC member is suspended from all duties pending the legislative vote and any SC review. On legislative acquittal following a substantiated Panel finding, the member returns to full duties immediately. Any removal vote scheduled within 180 days of a major national election is automatically suspended pending SC review within 48 hours; the proximity restriction applies to the removal vote, not to Panel-triggered suspension of duties.</w:t>
      </w:r>
    </w:p>
    <w:p>
      <w:pPr>
        <w:spacing w:after="60" w:before="200"/>
        <w:ind w:left="431"/>
        <w:jc w:val="left"/>
      </w:pPr>
      <w:r>
        <w:rPr>
          <w:rFonts w:ascii="Courier New" w:cs="Courier New" w:eastAsia="Courier New" w:hAnsi="Courier New"/>
          <w:b/>
          <w:bCs/>
          <w:color w:val="1B2A4A"/>
          <w:sz w:val="18"/>
          <w:szCs w:val="18"/>
        </w:rPr>
        <w:t xml:space="preserve">§16.3  </w:t>
      </w:r>
      <w:r>
        <w:rPr>
          <w:rFonts w:ascii="Garamond" w:cs="Garamond" w:eastAsia="Garamond" w:hAnsi="Garamond"/>
          <w:b/>
          <w:bCs/>
          <w:i w:val="false"/>
          <w:iCs w:val="false"/>
          <w:color w:val="1B2A4A"/>
          <w:sz w:val="22"/>
          <w:szCs w:val="22"/>
        </w:rPr>
        <w:t xml:space="preserve">NVS Properties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Three constitutionally required properties of the National Voting System: ballot secrecy (technically impossible to link any vote to any voter), public auditability (aggregate results mathematically verifiable by anyone with NRS access), and resilience (capable of operating in degraded conditions without compromising either secrecy or auditability). These properties are independently required — neither can be sacrificed for the other.</w:t>
      </w:r>
    </w:p>
    <w:p>
      <w:pPr>
        <w:spacing w:after="60" w:before="200"/>
        <w:ind w:left="431"/>
        <w:jc w:val="left"/>
      </w:pPr>
      <w:r>
        <w:rPr>
          <w:rFonts w:ascii="Courier New" w:cs="Courier New" w:eastAsia="Courier New" w:hAnsi="Courier New"/>
          <w:b/>
          <w:bCs/>
          <w:color w:val="1B2A4A"/>
          <w:sz w:val="18"/>
          <w:szCs w:val="18"/>
        </w:rPr>
        <w:t xml:space="preserve">§16.3.a  </w:t>
      </w:r>
      <w:r>
        <w:rPr>
          <w:rFonts w:ascii="Garamond" w:cs="Garamond" w:eastAsia="Garamond" w:hAnsi="Garamond"/>
          <w:b/>
          <w:bCs/>
          <w:i w:val="false"/>
          <w:iCs w:val="false"/>
          <w:color w:val="1B2A4A"/>
          <w:sz w:val="22"/>
          <w:szCs w:val="22"/>
        </w:rPr>
        <w:t xml:space="preserve">Ballot Secrecy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or institution — including Electoral Commission members — may identify how any individual citizen voted. Ballot secrecy is constitutionally absolute. The NVS must make it technically impossible to link any vote to any voter, even in post-election audits.</w:t>
      </w:r>
    </w:p>
    <w:p>
      <w:pPr>
        <w:spacing w:after="60" w:before="200"/>
        <w:ind w:left="431"/>
        <w:jc w:val="left"/>
      </w:pPr>
      <w:r>
        <w:rPr>
          <w:rFonts w:ascii="Courier New" w:cs="Courier New" w:eastAsia="Courier New" w:hAnsi="Courier New"/>
          <w:b/>
          <w:bCs/>
          <w:color w:val="1B2A4A"/>
          <w:sz w:val="18"/>
          <w:szCs w:val="18"/>
        </w:rPr>
        <w:t xml:space="preserve">§16.3.b  </w:t>
      </w:r>
      <w:r>
        <w:rPr>
          <w:rFonts w:ascii="Garamond" w:cs="Garamond" w:eastAsia="Garamond" w:hAnsi="Garamond"/>
          <w:b/>
          <w:bCs/>
          <w:i w:val="false"/>
          <w:iCs w:val="false"/>
          <w:color w:val="1B2A4A"/>
          <w:sz w:val="22"/>
          <w:szCs w:val="22"/>
        </w:rPr>
        <w:t xml:space="preserve">Public Auditability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vote cast through the NVS must be individually verifiable by the voter who cast it, without revealing that voter's identity to any other party. The NVS must produce an audit trail that allows independent verification of aggregate results without individual identification. Both requirements must be simultaneously satisfied.</w:t>
      </w:r>
    </w:p>
    <w:p>
      <w:pPr>
        <w:spacing w:after="60" w:before="200"/>
        <w:ind w:left="431"/>
        <w:jc w:val="left"/>
      </w:pPr>
      <w:r>
        <w:rPr>
          <w:rFonts w:ascii="Courier New" w:cs="Courier New" w:eastAsia="Courier New" w:hAnsi="Courier New"/>
          <w:b/>
          <w:bCs/>
          <w:color w:val="1B2A4A"/>
          <w:sz w:val="18"/>
          <w:szCs w:val="18"/>
        </w:rPr>
        <w:t xml:space="preserve">§16.3.c  </w:t>
      </w:r>
      <w:r>
        <w:rPr>
          <w:rFonts w:ascii="Garamond" w:cs="Garamond" w:eastAsia="Garamond" w:hAnsi="Garamond"/>
          <w:b/>
          <w:bCs/>
          <w:i w:val="false"/>
          <w:iCs w:val="false"/>
          <w:color w:val="1B2A4A"/>
          <w:sz w:val="22"/>
          <w:szCs w:val="22"/>
        </w:rPr>
        <w:t xml:space="preserve">Resilience and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NVS must operate in degraded conditions without compromising ballot secrecy or auditability. No information generated by the NVS — including voter participation records — may be shared with any government body, law enforcement, or foreign entity for any purpose other than administering the relevant election or referendum. Voter participation data is constitutionally protected even from the government.</w:t>
      </w:r>
    </w:p>
    <w:p>
      <w:pPr>
        <w:spacing w:after="60" w:before="200"/>
        <w:ind w:left="431"/>
        <w:jc w:val="left"/>
      </w:pPr>
      <w:r>
        <w:rPr>
          <w:rFonts w:ascii="Courier New" w:cs="Courier New" w:eastAsia="Courier New" w:hAnsi="Courier New"/>
          <w:b/>
          <w:bCs/>
          <w:color w:val="1B2A4A"/>
          <w:sz w:val="18"/>
          <w:szCs w:val="18"/>
        </w:rPr>
        <w:t xml:space="preserve">§16.4  </w:t>
      </w:r>
      <w:r>
        <w:rPr>
          <w:rFonts w:ascii="Garamond" w:cs="Garamond" w:eastAsia="Garamond" w:hAnsi="Garamond"/>
          <w:b/>
          <w:bCs/>
          <w:i w:val="false"/>
          <w:iCs w:val="false"/>
          <w:color w:val="1B2A4A"/>
          <w:sz w:val="22"/>
          <w:szCs w:val="22"/>
        </w:rPr>
        <w:t xml:space="preserve">Voting Rights and Access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citizen holds the right to vote in federal elections. The Electoral Commission administers the Citizen Voting Credential and is constitutionally obligated to maintain access to the National Voting System for every eligible citizen.</w:t>
      </w:r>
    </w:p>
    <w:p>
      <w:pPr>
        <w:spacing w:after="60" w:before="200"/>
        <w:ind w:left="431"/>
        <w:jc w:val="left"/>
      </w:pPr>
      <w:r>
        <w:rPr>
          <w:rFonts w:ascii="Courier New" w:cs="Courier New" w:eastAsia="Courier New" w:hAnsi="Courier New"/>
          <w:b/>
          <w:bCs/>
          <w:color w:val="1B2A4A"/>
          <w:sz w:val="18"/>
          <w:szCs w:val="18"/>
        </w:rPr>
        <w:t xml:space="preserve">§16.4.a  </w:t>
      </w:r>
      <w:r>
        <w:rPr>
          <w:rFonts w:ascii="Garamond" w:cs="Garamond" w:eastAsia="Garamond" w:hAnsi="Garamond"/>
          <w:b/>
          <w:bCs/>
          <w:i w:val="false"/>
          <w:iCs w:val="false"/>
          <w:color w:val="1B2A4A"/>
          <w:sz w:val="22"/>
          <w:szCs w:val="22"/>
        </w:rPr>
        <w:t xml:space="preserve">The Citizen Voting Credential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Citizen Voting Credential is issued and managed by the Electoral Commission. The system stores only cryptographic identifiers — not names, biometric data, or personal information — ensuring the link between a citizen and their credential cannot be used to identify how they voted. Voluntary biometric authentication may be used as a method of accessing the credential; no biometric data is transmitted to or held by the National Voting System or the Electoral Commission. Citizens whose Credentials are lost or compromised have the right to timely reissuance under a process the Legislature defines by statute.</w:t>
      </w:r>
    </w:p>
    <w:p>
      <w:pPr>
        <w:spacing w:after="60" w:before="200"/>
        <w:ind w:left="431"/>
        <w:jc w:val="left"/>
      </w:pPr>
      <w:r>
        <w:rPr>
          <w:rFonts w:ascii="Courier New" w:cs="Courier New" w:eastAsia="Courier New" w:hAnsi="Courier New"/>
          <w:b/>
          <w:bCs/>
          <w:color w:val="1B2A4A"/>
          <w:sz w:val="18"/>
          <w:szCs w:val="18"/>
        </w:rPr>
        <w:t xml:space="preserve">§16.4.b  </w:t>
      </w:r>
      <w:r>
        <w:rPr>
          <w:rFonts w:ascii="Garamond" w:cs="Garamond" w:eastAsia="Garamond" w:hAnsi="Garamond"/>
          <w:b/>
          <w:bCs/>
          <w:i w:val="false"/>
          <w:iCs w:val="false"/>
          <w:color w:val="1B2A4A"/>
          <w:sz w:val="22"/>
          <w:szCs w:val="22"/>
        </w:rPr>
        <w:t xml:space="preserve">Remote Voting</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may by statute authorize authenticated remote voting through the NVS. Remote voting must meet the same cryptographic and auditability standards as in-person NVS voting. No remote voting system may reduce ballot secrecy or auditability below the in-person standard.</w:t>
      </w:r>
    </w:p>
    <w:p>
      <w:pPr>
        <w:spacing w:after="60" w:before="200"/>
        <w:ind w:left="431"/>
        <w:jc w:val="left"/>
      </w:pPr>
      <w:r>
        <w:rPr>
          <w:rFonts w:ascii="Courier New" w:cs="Courier New" w:eastAsia="Courier New" w:hAnsi="Courier New"/>
          <w:b/>
          <w:bCs/>
          <w:color w:val="1B2A4A"/>
          <w:sz w:val="18"/>
          <w:szCs w:val="18"/>
        </w:rPr>
        <w:t xml:space="preserve">§16.4.c  </w:t>
      </w:r>
      <w:r>
        <w:rPr>
          <w:rFonts w:ascii="Garamond" w:cs="Garamond" w:eastAsia="Garamond" w:hAnsi="Garamond"/>
          <w:b/>
          <w:bCs/>
          <w:i w:val="false"/>
          <w:iCs w:val="false"/>
          <w:color w:val="1B2A4A"/>
          <w:sz w:val="22"/>
          <w:szCs w:val="22"/>
        </w:rPr>
        <w:t xml:space="preserve">State Voting Method Flexibility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may implement early voting periods, mail-in ballot options, and alternative participation methods, provided all methods connect to the NVS and meet its cryptographic and auditability standards. States may not reduce NVS access or capacity as a condition of offering alternative methods.</w:t>
      </w:r>
    </w:p>
    <w:p>
      <w:pPr>
        <w:spacing w:after="60" w:before="200"/>
        <w:ind w:left="431"/>
        <w:jc w:val="left"/>
      </w:pPr>
      <w:r>
        <w:rPr>
          <w:rFonts w:ascii="Courier New" w:cs="Courier New" w:eastAsia="Courier New" w:hAnsi="Courier New"/>
          <w:b/>
          <w:bCs/>
          <w:color w:val="1B2A4A"/>
          <w:sz w:val="18"/>
          <w:szCs w:val="18"/>
        </w:rPr>
        <w:t xml:space="preserve">§16.4.d  </w:t>
      </w:r>
      <w:r>
        <w:rPr>
          <w:rFonts w:ascii="Garamond" w:cs="Garamond" w:eastAsia="Garamond" w:hAnsi="Garamond"/>
          <w:b/>
          <w:bCs/>
          <w:i w:val="false"/>
          <w:iCs w:val="false"/>
          <w:color w:val="1B2A4A"/>
          <w:sz w:val="22"/>
          <w:szCs w:val="22"/>
        </w:rPr>
        <w:t xml:space="preserve">Federal Ballot Information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Before each federal election window opens, the Electoral Commission delivers to every eligible citizen: the list of federal races on their ballot, the NVS access procedures, and the certification timeline. Delivery must reach every eligible citizen through at least two distinct channels.</w:t>
      </w:r>
    </w:p>
    <w:p>
      <w:pPr>
        <w:spacing w:after="60" w:before="200"/>
        <w:ind w:left="431"/>
        <w:jc w:val="left"/>
      </w:pPr>
      <w:r>
        <w:rPr>
          <w:rFonts w:ascii="Courier New" w:cs="Courier New" w:eastAsia="Courier New" w:hAnsi="Courier New"/>
          <w:b/>
          <w:bCs/>
          <w:color w:val="1B2A4A"/>
          <w:sz w:val="18"/>
          <w:szCs w:val="18"/>
        </w:rPr>
        <w:t xml:space="preserve">§16.4.e  </w:t>
      </w:r>
      <w:r>
        <w:rPr>
          <w:rFonts w:ascii="Garamond" w:cs="Garamond" w:eastAsia="Garamond" w:hAnsi="Garamond"/>
          <w:b/>
          <w:bCs/>
          <w:i w:val="false"/>
          <w:iCs w:val="false"/>
          <w:color w:val="1B2A4A"/>
          <w:sz w:val="22"/>
          <w:szCs w:val="22"/>
        </w:rPr>
        <w:t xml:space="preserve">State Ballot Information on Request</w:t>
      </w:r>
    </w:p>
    <w:p>
      <w:pPr>
        <w:spacing w:after="120" w:before="0"/>
        <w:ind w:left="431"/>
        <w:jc w:val="both"/>
      </w:pPr>
      <w:r>
        <w:rPr>
          <w:rFonts w:ascii="Garamond" w:cs="Garamond" w:eastAsia="Garamond" w:hAnsi="Garamond"/>
          <w:b w:val="false"/>
          <w:bCs w:val="false"/>
          <w:i w:val="false"/>
          <w:iCs w:val="false"/>
          <w:color w:val="2a2520"/>
          <w:sz w:val="22"/>
          <w:szCs w:val="22"/>
        </w:rPr>
        <w:t xml:space="preserve">At a State's request, the Electoral Commission may extend ballot information delivery to cover State and local races. The State bears the cost. The Commission may not refuse except on operational capacity grounds.</w:t>
      </w:r>
    </w:p>
    <w:p>
      <w:pPr>
        <w:spacing w:after="60" w:before="200"/>
        <w:ind w:left="431"/>
        <w:jc w:val="left"/>
      </w:pPr>
      <w:r>
        <w:rPr>
          <w:rFonts w:ascii="Courier New" w:cs="Courier New" w:eastAsia="Courier New" w:hAnsi="Courier New"/>
          <w:b/>
          <w:bCs/>
          <w:color w:val="1B2A4A"/>
          <w:sz w:val="18"/>
          <w:szCs w:val="18"/>
        </w:rPr>
        <w:t xml:space="preserve">§16.5  </w:t>
      </w:r>
      <w:r>
        <w:rPr>
          <w:rFonts w:ascii="Garamond" w:cs="Garamond" w:eastAsia="Garamond" w:hAnsi="Garamond"/>
          <w:b/>
          <w:bCs/>
          <w:i w:val="false"/>
          <w:iCs w:val="false"/>
          <w:color w:val="1B2A4A"/>
          <w:sz w:val="22"/>
          <w:szCs w:val="22"/>
        </w:rPr>
        <w:t xml:space="preserve">Electoral Commission —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Electoral Commission's independence does not place it above accountability.</w:t>
      </w:r>
    </w:p>
    <w:p>
      <w:pPr>
        <w:spacing w:after="60" w:before="200"/>
        <w:ind w:left="431"/>
        <w:jc w:val="left"/>
      </w:pPr>
      <w:r>
        <w:rPr>
          <w:rFonts w:ascii="Courier New" w:cs="Courier New" w:eastAsia="Courier New" w:hAnsi="Courier New"/>
          <w:b/>
          <w:bCs/>
          <w:color w:val="1B2A4A"/>
          <w:sz w:val="18"/>
          <w:szCs w:val="18"/>
        </w:rPr>
        <w:t xml:space="preserve">§16.5.a  </w:t>
      </w:r>
      <w:r>
        <w:rPr>
          <w:rFonts w:ascii="Garamond" w:cs="Garamond" w:eastAsia="Garamond" w:hAnsi="Garamond"/>
          <w:b/>
          <w:bCs/>
          <w:i w:val="false"/>
          <w:iCs w:val="false"/>
          <w:color w:val="1B2A4A"/>
          <w:sz w:val="22"/>
          <w:szCs w:val="22"/>
        </w:rPr>
        <w:t xml:space="preserve">Campaign Funding</w:t>
      </w:r>
    </w:p>
    <w:p>
      <w:pPr>
        <w:spacing w:after="120" w:before="0"/>
        <w:ind w:left="431"/>
        <w:jc w:val="both"/>
      </w:pPr>
      <w:r>
        <w:rPr>
          <w:rFonts w:ascii="Garamond" w:cs="Garamond" w:eastAsia="Garamond" w:hAnsi="Garamond"/>
          <w:b w:val="false"/>
          <w:bCs w:val="false"/>
          <w:i w:val="false"/>
          <w:iCs w:val="false"/>
          <w:color w:val="2a2520"/>
          <w:sz w:val="22"/>
          <w:szCs w:val="22"/>
        </w:rPr>
        <w:t xml:space="preserve">Campaigns for Electoral Commission seats are publicly funded in full. No private money may be spent on EC campaigns.</w:t>
      </w:r>
    </w:p>
    <w:p>
      <w:pPr>
        <w:spacing w:after="60" w:before="200"/>
        <w:ind w:left="431"/>
        <w:jc w:val="left"/>
      </w:pPr>
      <w:r>
        <w:rPr>
          <w:rFonts w:ascii="Courier New" w:cs="Courier New" w:eastAsia="Courier New" w:hAnsi="Courier New"/>
          <w:b/>
          <w:bCs/>
          <w:color w:val="1B2A4A"/>
          <w:sz w:val="18"/>
          <w:szCs w:val="18"/>
        </w:rPr>
        <w:t xml:space="preserve">§16.5.b  </w:t>
      </w:r>
      <w:r>
        <w:rPr>
          <w:rFonts w:ascii="Garamond" w:cs="Garamond" w:eastAsia="Garamond" w:hAnsi="Garamond"/>
          <w:b/>
          <w:bCs/>
          <w:i w:val="false"/>
          <w:iCs w:val="false"/>
          <w:color w:val="1B2A4A"/>
          <w:sz w:val="22"/>
          <w:szCs w:val="22"/>
        </w:rPr>
        <w:t xml:space="preserve">JI Oversight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Judicial Inspectorate audits the Electoral Commission annually. The JI is the appropriate Inspectorate for EC oversight — it audits judicial independence, and electoral integrity has similar structural properties. JI audit findings on the EC are published to the NRS and presented to both chambers.</w:t>
      </w:r>
    </w:p>
    <w:p>
      <w:pPr>
        <w:spacing w:after="60" w:before="200"/>
        <w:ind w:left="431"/>
        <w:jc w:val="left"/>
      </w:pPr>
      <w:r>
        <w:rPr>
          <w:rFonts w:ascii="Courier New" w:cs="Courier New" w:eastAsia="Courier New" w:hAnsi="Courier New"/>
          <w:b/>
          <w:bCs/>
          <w:color w:val="1B2A4A"/>
          <w:sz w:val="18"/>
          <w:szCs w:val="18"/>
        </w:rPr>
        <w:t xml:space="preserve">§16.5.c  </w:t>
      </w:r>
      <w:r>
        <w:rPr>
          <w:rFonts w:ascii="Garamond" w:cs="Garamond" w:eastAsia="Garamond" w:hAnsi="Garamond"/>
          <w:b/>
          <w:bCs/>
          <w:i w:val="false"/>
          <w:iCs w:val="false"/>
          <w:color w:val="1B2A4A"/>
          <w:sz w:val="22"/>
          <w:szCs w:val="22"/>
        </w:rPr>
        <w:t xml:space="preserve">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only, 2/3 both chambers simultaneously, preceded by State Designee Panel verification. 180-day election proximity rule: any removal vote within 180 days of a major national election is automatically suspended pending SC review within 48 hours. The proximity restriction applies to the removal vote only — Panel-triggered suspension of duties under §16.2.a is not subject to the proximity window.</w:t>
      </w:r>
    </w:p>
    <w:p>
      <w:pPr>
        <w:spacing w:after="60" w:before="200"/>
        <w:ind w:left="431"/>
        <w:jc w:val="left"/>
      </w:pPr>
      <w:r>
        <w:rPr>
          <w:rFonts w:ascii="Courier New" w:cs="Courier New" w:eastAsia="Courier New" w:hAnsi="Courier New"/>
          <w:b/>
          <w:bCs/>
          <w:color w:val="1B2A4A"/>
          <w:sz w:val="18"/>
          <w:szCs w:val="18"/>
        </w:rPr>
        <w:t xml:space="preserve">§16.5.d  </w:t>
      </w:r>
      <w:r>
        <w:rPr>
          <w:rFonts w:ascii="Garamond" w:cs="Garamond" w:eastAsia="Garamond" w:hAnsi="Garamond"/>
          <w:b/>
          <w:bCs/>
          <w:i w:val="false"/>
          <w:iCs w:val="false"/>
          <w:color w:val="1B2A4A"/>
          <w:sz w:val="22"/>
          <w:szCs w:val="22"/>
        </w:rPr>
        <w:t xml:space="preserve">Mid-Term Vacancy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any Electoral Commission seat becomes vacant mid-term, a special election is held within 90 days through the NVS. The replacement serves the remainder of the vacated seat's term, then may stand as a candidate at the next regular EC election for a full new non-renewable term. Where fewer than 18 months remain in the vacated seat's term, the replacement may stand for a full term at the next regular EC election without serving the remainder. The Commission operates under its active-membership threshold during the vacancy period.</w:t>
      </w:r>
    </w:p>
    <w:p>
      <w:pPr>
        <w:spacing w:after="60" w:before="200"/>
        <w:ind w:left="431"/>
        <w:jc w:val="left"/>
      </w:pPr>
      <w:r>
        <w:rPr>
          <w:rFonts w:ascii="Courier New" w:cs="Courier New" w:eastAsia="Courier New" w:hAnsi="Courier New"/>
          <w:b/>
          <w:bCs/>
          <w:color w:val="1B2A4A"/>
          <w:sz w:val="18"/>
          <w:szCs w:val="18"/>
        </w:rPr>
        <w:t xml:space="preserve">§16.6  </w:t>
      </w:r>
      <w:r>
        <w:rPr>
          <w:rFonts w:ascii="Garamond" w:cs="Garamond" w:eastAsia="Garamond" w:hAnsi="Garamond"/>
          <w:b/>
          <w:bCs/>
          <w:i w:val="false"/>
          <w:iCs w:val="false"/>
          <w:color w:val="1B2A4A"/>
          <w:sz w:val="22"/>
          <w:szCs w:val="22"/>
        </w:rPr>
        <w:t xml:space="preserve">Electoral Commission Technical Deadlock</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establish by statute a procedure for the EC to adopt temporary technical measures in imminent security threats or system failures, bypassing the normal 3/5 decision threshold. The emergency power is narrowly constrained — it cannot change electoral rules, timelines, or candidate eligibility. A system-integrity tool only.</w:t>
      </w:r>
    </w:p>
    <w:p>
      <w:pPr>
        <w:spacing w:after="60" w:before="200"/>
        <w:ind w:left="431"/>
        <w:jc w:val="left"/>
      </w:pPr>
      <w:r>
        <w:rPr>
          <w:rFonts w:ascii="Courier New" w:cs="Courier New" w:eastAsia="Courier New" w:hAnsi="Courier New"/>
          <w:b/>
          <w:bCs/>
          <w:color w:val="1B2A4A"/>
          <w:sz w:val="18"/>
          <w:szCs w:val="18"/>
        </w:rPr>
        <w:t xml:space="preserve">§16.7  </w:t>
      </w:r>
      <w:r>
        <w:rPr>
          <w:rFonts w:ascii="Garamond" w:cs="Garamond" w:eastAsia="Garamond" w:hAnsi="Garamond"/>
          <w:b/>
          <w:bCs/>
          <w:i w:val="false"/>
          <w:iCs w:val="false"/>
          <w:color w:val="1B2A4A"/>
          <w:sz w:val="22"/>
          <w:szCs w:val="22"/>
        </w:rPr>
        <w:t xml:space="preserve">Day Zero Voting System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establish by statute the transition from any predecessor voting infrastructure to the constitutionally required NVS. The statute must ensure continuity of democratic participation — no gap between the predecessor system going offline and the NVS coming online.</w:t>
      </w:r>
    </w:p>
    <w:p>
      <w:pPr>
        <w:spacing w:after="60" w:before="200"/>
        <w:jc w:val="left"/>
      </w:pPr>
      <w:r>
        <w:rPr>
          <w:rFonts w:ascii="Garamond" w:cs="Garamond" w:eastAsia="Garamond" w:hAnsi="Garamond"/>
          <w:b/>
          <w:bCs/>
          <w:i w:val="false"/>
          <w:iCs w:val="false"/>
          <w:color w:val="1B2A4A"/>
          <w:sz w:val="34"/>
          <w:szCs w:val="34"/>
        </w:rPr>
        <w:t xml:space="preserve">Article XVII — Federal Property and National Trust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§17.1  </w:t>
      </w:r>
      <w:r>
        <w:rPr>
          <w:rFonts w:ascii="Garamond" w:cs="Garamond" w:eastAsia="Garamond" w:hAnsi="Garamond"/>
          <w:b/>
          <w:bCs/>
          <w:i w:val="false"/>
          <w:iCs w:val="false"/>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on the NRS.</w:t>
      </w:r>
    </w:p>
    <w:p>
      <w:pPr>
        <w:spacing w:after="60" w:before="200"/>
        <w:ind w:left="431"/>
        <w:jc w:val="left"/>
      </w:pPr>
      <w:r>
        <w:rPr>
          <w:rFonts w:ascii="Courier New" w:cs="Courier New" w:eastAsia="Courier New" w:hAnsi="Courier New"/>
          <w:b/>
          <w:bCs/>
          <w:color w:val="1B2A4A"/>
          <w:sz w:val="18"/>
          <w:szCs w:val="18"/>
        </w:rPr>
        <w:t xml:space="preserve">§17.2  </w:t>
      </w:r>
      <w:r>
        <w:rPr>
          <w:rFonts w:ascii="Garamond" w:cs="Garamond" w:eastAsia="Garamond" w:hAnsi="Garamond"/>
          <w:b/>
          <w:bCs/>
          <w:i w:val="false"/>
          <w:iCs w:val="false"/>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no territorial sovereignty at its Seat of Government. The Seat is hosted by a State or Territory selected through the competitive bid process under this Article. The federal government holds only Operational Use Rights (§17.3) over the designated footprint. The host State or Territory retains full sovereignty outside that footprint.</w:t>
      </w:r>
    </w:p>
    <w:p>
      <w:pPr>
        <w:spacing w:after="60" w:before="200"/>
        <w:ind w:left="431"/>
        <w:jc w:val="left"/>
      </w:pPr>
      <w:r>
        <w:rPr>
          <w:rFonts w:ascii="Courier New" w:cs="Courier New" w:eastAsia="Courier New" w:hAnsi="Courier New"/>
          <w:b/>
          <w:bCs/>
          <w:color w:val="1B2A4A"/>
          <w:sz w:val="18"/>
          <w:szCs w:val="18"/>
        </w:rPr>
        <w:t xml:space="preserve">§17.2.a  </w:t>
      </w:r>
      <w:r>
        <w:rPr>
          <w:rFonts w:ascii="Garamond" w:cs="Garamond" w:eastAsia="Garamond" w:hAnsi="Garamond"/>
          <w:b/>
          <w:bCs/>
          <w:i w:val="false"/>
          <w:iCs w:val="false"/>
          <w:color w:val="1B2A4A"/>
          <w:sz w:val="22"/>
          <w:szCs w:val="22"/>
        </w:rPr>
        <w:t xml:space="preserve">Bid Process and Requirements Specification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Before issuing a call for bids, the PM publishes a Seat of Government Requirements Specification to the NRS defining the minimum functional, security, physical, and operational requirements any hosting bid must meet; the Legislature establishes by statute the specific standards within those categories. Any State or Territory may submit a bid specifying the proposed property, terms, and conditions of hosting. The House reviews all submitted bids and selects one by ordinary statute, subject to review by both executives under §2.4. The hosting agreement grants the federal government Operational Use Rights under §17.3. Bids that do not meet the published Requirements Specification are ineligible for selection. The PM determines and publishes to the NRS, within 14 days of the bid period closing, the eligibility status of each bid with stated grounds. A State or Territory whose bid is found ineligible may petition the Supreme Court within 30 days of that publication on the sole ground that the bid met the published Requirements Specification; the Court reviews only whether the specification was correctly applied. The hosting statute must specify the disposition of federal improvements made to the designated footprint in the event the Seat of Government relocates.</w:t>
      </w:r>
    </w:p>
    <w:p>
      <w:pPr>
        <w:spacing w:after="60" w:before="200"/>
        <w:ind w:left="431"/>
        <w:jc w:val="left"/>
      </w:pPr>
      <w:r>
        <w:rPr>
          <w:rFonts w:ascii="Courier New" w:cs="Courier New" w:eastAsia="Courier New" w:hAnsi="Courier New"/>
          <w:b/>
          <w:bCs/>
          <w:color w:val="1B2A4A"/>
          <w:sz w:val="18"/>
          <w:szCs w:val="18"/>
        </w:rPr>
        <w:t xml:space="preserve">§17.2.b  </w:t>
      </w:r>
      <w:r>
        <w:rPr>
          <w:rFonts w:ascii="Garamond" w:cs="Garamond" w:eastAsia="Garamond" w:hAnsi="Garamond"/>
          <w:b/>
          <w:bCs/>
          <w:i w:val="false"/>
          <w:iCs w:val="false"/>
          <w:color w:val="1B2A4A"/>
          <w:sz w:val="22"/>
          <w:szCs w:val="22"/>
        </w:rPr>
        <w:t xml:space="preserve">Twenty-Year Review Cycle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twenty years from the date the current hosting statute takes effect, the federal government must issue a new call for bids under the §17.2.a process. All States and Territories, including the current host, may submit bids. If no new bids are submitted, the current arrangement continues under the existing agreement until the next review cycle. If bids are submitted, the House reviews all bids and selects one by ordinary statute.</w:t>
      </w:r>
    </w:p>
    <w:p>
      <w:pPr>
        <w:spacing w:after="60" w:before="200"/>
        <w:ind w:left="431"/>
        <w:jc w:val="left"/>
      </w:pPr>
      <w:r>
        <w:rPr>
          <w:rFonts w:ascii="Courier New" w:cs="Courier New" w:eastAsia="Courier New" w:hAnsi="Courier New"/>
          <w:b/>
          <w:bCs/>
          <w:color w:val="1B2A4A"/>
          <w:sz w:val="18"/>
          <w:szCs w:val="18"/>
        </w:rPr>
        <w:t xml:space="preserve">§17.2.c  </w:t>
      </w:r>
      <w:r>
        <w:rPr>
          <w:rFonts w:ascii="Garamond" w:cs="Garamond" w:eastAsia="Garamond" w:hAnsi="Garamond"/>
          <w:b/>
          <w:bCs/>
          <w:i w:val="false"/>
          <w:iCs w:val="false"/>
          <w:color w:val="1B2A4A"/>
          <w:sz w:val="22"/>
          <w:szCs w:val="22"/>
        </w:rPr>
        <w:t xml:space="preserve">Transition Window</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Seat of Government moves to a new host following a bid review, a two-year transition window begins from the date the new hosting statute takes effect. During the transition window, the current host continues as the default temporary Seat. The transition statute must specify the handover timeline and conditions. The Legislature may by statute extend the transition window where both the incoming and outgoing host agree that additional time is required. If no agreement on the disposition of federal improvements is reached before the transition window closes, §17.3.b automatic reversion applies without further action — improvements revert to the departing host with the land. Upon completion of the transition window, the prior host recovers full sovereignty over all previously designated federal footprint under §17.3.b.</w:t>
      </w:r>
    </w:p>
    <w:p>
      <w:pPr>
        <w:spacing w:after="60" w:before="200"/>
        <w:ind w:left="431"/>
        <w:jc w:val="left"/>
      </w:pPr>
      <w:r>
        <w:rPr>
          <w:rFonts w:ascii="Courier New" w:cs="Courier New" w:eastAsia="Courier New" w:hAnsi="Courier New"/>
          <w:b/>
          <w:bCs/>
          <w:color w:val="1B2A4A"/>
          <w:sz w:val="18"/>
          <w:szCs w:val="18"/>
        </w:rPr>
        <w:t xml:space="preserve">§17.2.d  </w:t>
      </w:r>
      <w:r>
        <w:rPr>
          <w:rFonts w:ascii="Garamond" w:cs="Garamond" w:eastAsia="Garamond" w:hAnsi="Garamond"/>
          <w:b/>
          <w:bCs/>
          <w:i w:val="false"/>
          <w:iCs w:val="false"/>
          <w:color w:val="1B2A4A"/>
          <w:sz w:val="22"/>
          <w:szCs w:val="22"/>
        </w:rPr>
        <w:t xml:space="preserve">No-Bid Scenario</w:t>
      </w:r>
    </w:p>
    <w:p>
      <w:pPr>
        <w:spacing w:after="120" w:before="0"/>
        <w:ind w:left="431"/>
        <w:jc w:val="both"/>
      </w:pPr>
      <w:r>
        <w:rPr>
          <w:rFonts w:ascii="Garamond" w:cs="Garamond" w:eastAsia="Garamond" w:hAnsi="Garamond"/>
          <w:b w:val="false"/>
          <w:bCs w:val="false"/>
          <w:i w:val="false"/>
          <w:iCs w:val="false"/>
          <w:color w:val="2a2520"/>
          <w:sz w:val="22"/>
          <w:szCs w:val="22"/>
        </w:rPr>
        <w:t xml:space="preserve">If no State or Territory submits a bid within the call period, the Senate identifies candidate States and Territories that meet the Requirements Specification published under §17.2.a and presents options to the House within 90 days of the close of the bid period. If the Senate fails to present candidates within 90 days, either executive may petition the Supreme Court, which shall on such petition identify candidates within 30 days applying the same constitutional criteria. The House selects a temporary host by ordinary statute, subject to review by both executives. The temporary host receives fair market value rental compensation assessed by the Monetary Authority under a methodology established by statute; this is not an eminent domain taking and is compensated at fair market value, not the §1.11.b rate. The Republic must issue a new call for voluntary bids at each twenty-year review cycle until a voluntary host is confirmed through the §17.2.a process, at which point the temporary arrangement terminates under the §17.2.c transition window.</w:t>
      </w:r>
    </w:p>
    <w:p>
      <w:pPr>
        <w:spacing w:after="60" w:before="200"/>
        <w:ind w:left="431"/>
        <w:jc w:val="left"/>
      </w:pPr>
      <w:r>
        <w:rPr>
          <w:rFonts w:ascii="Courier New" w:cs="Courier New" w:eastAsia="Courier New" w:hAnsi="Courier New"/>
          <w:b/>
          <w:bCs/>
          <w:color w:val="1B2A4A"/>
          <w:sz w:val="18"/>
          <w:szCs w:val="18"/>
        </w:rPr>
        <w:t xml:space="preserve">§17.2.e  </w:t>
      </w:r>
      <w:r>
        <w:rPr>
          <w:rFonts w:ascii="Garamond" w:cs="Garamond" w:eastAsia="Garamond" w:hAnsi="Garamond"/>
          <w:b/>
          <w:bCs/>
          <w:i w:val="false"/>
          <w:iCs w:val="false"/>
          <w:color w:val="1B2A4A"/>
          <w:sz w:val="22"/>
          <w:szCs w:val="22"/>
        </w:rPr>
        <w:t xml:space="preserve">Federal Control Within Footprint</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specific registered footprint, the federal government has exclusive operational control. The host State or Territory may not tax federal operations, interfere with federal functions, or apply its own law to federal operations within the footprint.</w:t>
      </w:r>
    </w:p>
    <w:p>
      <w:pPr>
        <w:spacing w:after="60" w:before="200"/>
        <w:ind w:left="431"/>
        <w:jc w:val="left"/>
      </w:pPr>
      <w:r>
        <w:rPr>
          <w:rFonts w:ascii="Courier New" w:cs="Courier New" w:eastAsia="Courier New" w:hAnsi="Courier New"/>
          <w:b/>
          <w:bCs/>
          <w:color w:val="1B2A4A"/>
          <w:sz w:val="18"/>
          <w:szCs w:val="18"/>
        </w:rPr>
        <w:t xml:space="preserve">§17.2.f  </w:t>
      </w:r>
      <w:r>
        <w:rPr>
          <w:rFonts w:ascii="Garamond" w:cs="Garamond" w:eastAsia="Garamond" w:hAnsi="Garamond"/>
          <w:b/>
          <w:bCs/>
          <w:i w:val="false"/>
          <w:iCs w:val="false"/>
          <w:color w:val="1B2A4A"/>
          <w:sz w:val="22"/>
          <w:szCs w:val="22"/>
        </w:rPr>
        <w:t xml:space="preserve">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Persons residing within any area designated as the federal footprint under §17.3 retain full Article I rights enforceable in federal courts. The host State or Territory may not apply residency-based restrictions on federal footprint residents that conflict with Article I.</w:t>
      </w:r>
    </w:p>
    <w:p>
      <w:pPr>
        <w:spacing w:after="60" w:before="200"/>
        <w:ind w:left="431"/>
        <w:jc w:val="left"/>
      </w:pPr>
      <w:r>
        <w:rPr>
          <w:rFonts w:ascii="Courier New" w:cs="Courier New" w:eastAsia="Courier New" w:hAnsi="Courier New"/>
          <w:b/>
          <w:bCs/>
          <w:color w:val="1B2A4A"/>
          <w:sz w:val="18"/>
          <w:szCs w:val="18"/>
        </w:rPr>
        <w:t xml:space="preserve">§17.3  </w:t>
      </w:r>
      <w:r>
        <w:rPr>
          <w:rFonts w:ascii="Garamond" w:cs="Garamond" w:eastAsia="Garamond" w:hAnsi="Garamond"/>
          <w:b/>
          <w:bCs/>
          <w:i w:val="false"/>
          <w:iCs w:val="false"/>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holds property interests within States through Operational Use Rights rather than fee ownership.</w:t>
      </w:r>
    </w:p>
    <w:p>
      <w:pPr>
        <w:spacing w:after="60" w:before="200"/>
        <w:ind w:left="431"/>
        <w:jc w:val="left"/>
      </w:pPr>
      <w:r>
        <w:rPr>
          <w:rFonts w:ascii="Courier New" w:cs="Courier New" w:eastAsia="Courier New" w:hAnsi="Courier New"/>
          <w:b/>
          <w:bCs/>
          <w:color w:val="1B2A4A"/>
          <w:sz w:val="18"/>
          <w:szCs w:val="18"/>
        </w:rPr>
        <w:t xml:space="preserve">§17.3.a  </w:t>
      </w:r>
      <w:r>
        <w:rPr>
          <w:rFonts w:ascii="Garamond" w:cs="Garamond" w:eastAsia="Garamond" w:hAnsi="Garamond"/>
          <w:b/>
          <w:bCs/>
          <w:i w:val="false"/>
          <w:iCs w:val="false"/>
          <w:color w:val="1B2A4A"/>
          <w:sz w:val="22"/>
          <w:szCs w:val="22"/>
        </w:rPr>
        <w:t xml:space="preserve">Registration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federal operational use right must be registered on the NRS with precise geographic boundaries, authorized purpose, and termination conditions. There are no unregistered federal land claims. Federal property rights are explicit, bounded, and auditable.</w:t>
      </w:r>
    </w:p>
    <w:p>
      <w:pPr>
        <w:spacing w:after="60" w:before="200"/>
        <w:ind w:left="431"/>
        <w:jc w:val="left"/>
      </w:pPr>
      <w:r>
        <w:rPr>
          <w:rFonts w:ascii="Courier New" w:cs="Courier New" w:eastAsia="Courier New" w:hAnsi="Courier New"/>
          <w:b/>
          <w:bCs/>
          <w:color w:val="1B2A4A"/>
          <w:sz w:val="18"/>
          <w:szCs w:val="18"/>
        </w:rPr>
        <w:t xml:space="preserve">§17.3.b  </w:t>
      </w:r>
      <w:r>
        <w:rPr>
          <w:rFonts w:ascii="Garamond" w:cs="Garamond" w:eastAsia="Garamond" w:hAnsi="Garamond"/>
          <w:b/>
          <w:bCs/>
          <w:i w:val="false"/>
          <w:iCs w:val="false"/>
          <w:color w:val="1B2A4A"/>
          <w:sz w:val="22"/>
          <w:szCs w:val="22"/>
        </w:rPr>
        <w:t xml:space="preserve">Termination and Reversion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federal function ends, the Operational Use Right terminates automatically. The federal government must publish notice of termination to the NRS within 30 days. The land and all improvements revert to the host State automatically unless the federal government and host State negotiate a retention agreement within the statutory settlement window.</w:t>
      </w:r>
    </w:p>
    <w:p>
      <w:pPr>
        <w:spacing w:after="60" w:before="200"/>
        <w:ind w:left="431"/>
        <w:jc w:val="left"/>
      </w:pPr>
      <w:r>
        <w:rPr>
          <w:rFonts w:ascii="Courier New" w:cs="Courier New" w:eastAsia="Courier New" w:hAnsi="Courier New"/>
          <w:b/>
          <w:bCs/>
          <w:color w:val="1B2A4A"/>
          <w:sz w:val="18"/>
          <w:szCs w:val="18"/>
        </w:rPr>
        <w:t xml:space="preserve">§17.3.c  </w:t>
      </w:r>
      <w:r>
        <w:rPr>
          <w:rFonts w:ascii="Garamond" w:cs="Garamond" w:eastAsia="Garamond" w:hAnsi="Garamond"/>
          <w:b/>
          <w:bCs/>
          <w:i w:val="false"/>
          <w:iCs w:val="false"/>
          <w:color w:val="1B2A4A"/>
          <w:sz w:val="22"/>
          <w:szCs w:val="22"/>
        </w:rPr>
        <w:t xml:space="preserve">Improvements — Negotiated Settlement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improvements on federal Operational Use Rights default to reverting to the host State with the land. The federal government and host State may negotiate a different arrangement within the statutory reversion window. No agreement means automatic reversion at no cost. The burden is on the federal government to negotiate retention — not on the State to purchase back.</w:t>
      </w:r>
    </w:p>
    <w:p>
      <w:pPr>
        <w:spacing w:after="60" w:before="200"/>
        <w:ind w:left="431"/>
        <w:jc w:val="left"/>
      </w:pPr>
      <w:r>
        <w:rPr>
          <w:rFonts w:ascii="Courier New" w:cs="Courier New" w:eastAsia="Courier New" w:hAnsi="Courier New"/>
          <w:b/>
          <w:bCs/>
          <w:color w:val="1B2A4A"/>
          <w:sz w:val="18"/>
          <w:szCs w:val="18"/>
        </w:rPr>
        <w:t xml:space="preserve">§17.3.d  </w:t>
      </w:r>
      <w:r>
        <w:rPr>
          <w:rFonts w:ascii="Garamond" w:cs="Garamond" w:eastAsia="Garamond" w:hAnsi="Garamond"/>
          <w:b/>
          <w:bCs/>
          <w:i w:val="false"/>
          <w:iCs w:val="false"/>
          <w:color w:val="1B2A4A"/>
          <w:sz w:val="22"/>
          <w:szCs w:val="22"/>
        </w:rPr>
        <w:t xml:space="preserve">Disputes</w:t>
      </w:r>
    </w:p>
    <w:p>
      <w:pPr>
        <w:spacing w:after="120" w:before="0"/>
        <w:ind w:left="431"/>
        <w:jc w:val="both"/>
      </w:pPr>
      <w:r>
        <w:rPr>
          <w:rFonts w:ascii="Garamond" w:cs="Garamond" w:eastAsia="Garamond" w:hAnsi="Garamond"/>
          <w:b w:val="false"/>
          <w:bCs w:val="false"/>
          <w:i w:val="false"/>
          <w:iCs w:val="false"/>
          <w:color w:val="2a2520"/>
          <w:sz w:val="22"/>
          <w:szCs w:val="22"/>
        </w:rPr>
        <w:t xml:space="preserve">Disputes over use right boundaries, termination, or improvement valuation go to the SC on an expedited track. Neither party may occupy or alter disputed land during pending resolution. The expedited track ensures federal operational continuity — resolution must happen fast enough to maintain the relevant federal function.</w:t>
      </w:r>
    </w:p>
    <w:p>
      <w:pPr>
        <w:spacing w:after="60" w:before="200"/>
        <w:ind w:left="431"/>
        <w:jc w:val="left"/>
      </w:pPr>
      <w:r>
        <w:rPr>
          <w:rFonts w:ascii="Courier New" w:cs="Courier New" w:eastAsia="Courier New" w:hAnsi="Courier New"/>
          <w:b/>
          <w:bCs/>
          <w:color w:val="1B2A4A"/>
          <w:sz w:val="18"/>
          <w:szCs w:val="18"/>
        </w:rPr>
        <w:t xml:space="preserve">§17.3.e  </w:t>
      </w:r>
      <w:r>
        <w:rPr>
          <w:rFonts w:ascii="Garamond" w:cs="Garamond" w:eastAsia="Garamond" w:hAnsi="Garamond"/>
          <w:b/>
          <w:bCs/>
          <w:i w:val="false"/>
          <w:iCs w:val="false"/>
          <w:color w:val="1B2A4A"/>
          <w:sz w:val="22"/>
          <w:szCs w:val="22"/>
        </w:rPr>
        <w:t xml:space="preserve">Independence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State achieves independence through a constitutional amendment under §15.4.a and a voluntary devolution agreement under §13.4, automatic reversion under §17.3.b does not immediately apply to Operational Use Rights within the departing territory. Use rights continue under the terms of the framework agreement and independence treaty negotiated under §13.4.b.</w:t>
      </w:r>
    </w:p>
    <w:p>
      <w:pPr>
        <w:spacing w:after="60" w:before="200"/>
        <w:ind w:left="431"/>
        <w:jc w:val="left"/>
      </w:pPr>
      <w:r>
        <w:rPr>
          <w:rFonts w:ascii="Courier New" w:cs="Courier New" w:eastAsia="Courier New" w:hAnsi="Courier New"/>
          <w:b/>
          <w:bCs/>
          <w:color w:val="1B2A4A"/>
          <w:sz w:val="18"/>
          <w:szCs w:val="18"/>
        </w:rPr>
        <w:t xml:space="preserve">§17.4  </w:t>
      </w:r>
      <w:r>
        <w:rPr>
          <w:rFonts w:ascii="Garamond" w:cs="Garamond" w:eastAsia="Garamond" w:hAnsi="Garamond"/>
          <w:b/>
          <w:bCs/>
          <w:i w:val="false"/>
          <w:iCs w:val="false"/>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The National Trust Administrator is independently confirmed under the §2.2.h escalation framework. The Trust is structurally distinct from the Community Land Trust: the NTA manages federal holdings; the CLT Administrator manages affordable residential land held in trust for Inhabitants.</w:t>
      </w:r>
    </w:p>
    <w:p>
      <w:pPr>
        <w:spacing w:after="60" w:before="200"/>
        <w:ind w:left="431"/>
        <w:jc w:val="left"/>
      </w:pPr>
      <w:r>
        <w:rPr>
          <w:rFonts w:ascii="Courier New" w:cs="Courier New" w:eastAsia="Courier New" w:hAnsi="Courier New"/>
          <w:b/>
          <w:bCs/>
          <w:color w:val="1B2A4A"/>
          <w:sz w:val="18"/>
          <w:szCs w:val="18"/>
        </w:rPr>
        <w:t xml:space="preserve">§17.4.a  </w:t>
      </w:r>
      <w:r>
        <w:rPr>
          <w:rFonts w:ascii="Garamond" w:cs="Garamond" w:eastAsia="Garamond" w:hAnsi="Garamond"/>
          <w:b/>
          <w:bCs/>
          <w:i w:val="false"/>
          <w:iCs w:val="false"/>
          <w:color w:val="1B2A4A"/>
          <w:sz w:val="22"/>
          <w:szCs w:val="22"/>
        </w:rPr>
        <w:t xml:space="preserve">Trust Nature</w:t>
      </w:r>
    </w:p>
    <w:p>
      <w:pPr>
        <w:spacing w:after="120" w:before="0"/>
        <w:ind w:left="431"/>
        <w:jc w:val="both"/>
      </w:pPr>
      <w:r>
        <w:rPr>
          <w:rFonts w:ascii="Garamond" w:cs="Garamond" w:eastAsia="Garamond" w:hAnsi="Garamond"/>
          <w:b w:val="false"/>
          <w:bCs w:val="false"/>
          <w:i w:val="false"/>
          <w:iCs w:val="false"/>
          <w:color w:val="2a2520"/>
          <w:sz w:val="22"/>
          <w:szCs w:val="22"/>
        </w:rPr>
        <w:t xml:space="preserve">National Trust lands are designated as permanent heritage, ecological, or public recreation resources. Trust designation requires a 2/3 vote of both chambers with host State consent. Trust lands are not subject to Operational Use Right termination. The stewardship obligation (§17.4.b) applies from the date of designation.</w:t>
      </w:r>
    </w:p>
    <w:p>
      <w:pPr>
        <w:spacing w:after="60" w:before="200"/>
        <w:ind w:left="431"/>
        <w:jc w:val="left"/>
      </w:pPr>
      <w:r>
        <w:rPr>
          <w:rFonts w:ascii="Courier New" w:cs="Courier New" w:eastAsia="Courier New" w:hAnsi="Courier New"/>
          <w:b/>
          <w:bCs/>
          <w:color w:val="1B2A4A"/>
          <w:sz w:val="18"/>
          <w:szCs w:val="18"/>
        </w:rPr>
        <w:t xml:space="preserve">§17.4.b  </w:t>
      </w:r>
      <w:r>
        <w:rPr>
          <w:rFonts w:ascii="Garamond" w:cs="Garamond" w:eastAsia="Garamond" w:hAnsi="Garamond"/>
          <w:b/>
          <w:bCs/>
          <w:i w:val="false"/>
          <w:iCs w:val="false"/>
          <w:color w:val="1B2A4A"/>
          <w:sz w:val="22"/>
          <w:szCs w:val="22"/>
        </w:rPr>
        <w:t xml:space="preserve">Stewardship Obligation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has an active, enforceable obligation to maintain ecological integrity and public accessibility of National Trust lands. EI monitors stewardship compliance annually, cross-referenced with §1.23 (Right to a Healthy Environment). Failure triggers a mandatory remediation plan reported to the NRS. The Trust carries active obligations — not passive title.</w:t>
      </w:r>
    </w:p>
    <w:p>
      <w:pPr>
        <w:spacing w:after="60" w:before="200"/>
        <w:ind w:left="431"/>
        <w:jc w:val="left"/>
      </w:pPr>
      <w:r>
        <w:rPr>
          <w:rFonts w:ascii="Courier New" w:cs="Courier New" w:eastAsia="Courier New" w:hAnsi="Courier New"/>
          <w:b/>
          <w:bCs/>
          <w:color w:val="1B2A4A"/>
          <w:sz w:val="18"/>
          <w:szCs w:val="18"/>
        </w:rPr>
        <w:t xml:space="preserve">§17.4.c  </w:t>
      </w:r>
      <w:r>
        <w:rPr>
          <w:rFonts w:ascii="Garamond" w:cs="Garamond" w:eastAsia="Garamond" w:hAnsi="Garamond"/>
          <w:b/>
          <w:bCs/>
          <w:i w:val="false"/>
          <w:iCs w:val="false"/>
          <w:color w:val="1B2A4A"/>
          <w:sz w:val="22"/>
          <w:szCs w:val="22"/>
        </w:rPr>
        <w:t xml:space="preserve">Co-Management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and indigenous nations may enter co-management agreements with the Domestic Affairs Council for National Trust lands within their borders or ancestral territories. Co-management does not transfer Trust ownership or alter the constitutional Trust status. Indigenous nations' participation reflects the §14.3 government-to-government relationship for lands within their ancestral territories.</w:t>
      </w:r>
    </w:p>
    <w:p>
      <w:pPr>
        <w:spacing w:after="60" w:before="200"/>
        <w:ind w:left="431"/>
        <w:jc w:val="left"/>
      </w:pPr>
      <w:r>
        <w:rPr>
          <w:rFonts w:ascii="Courier New" w:cs="Courier New" w:eastAsia="Courier New" w:hAnsi="Courier New"/>
          <w:b/>
          <w:bCs/>
          <w:color w:val="1B2A4A"/>
          <w:sz w:val="18"/>
          <w:szCs w:val="18"/>
        </w:rPr>
        <w:t xml:space="preserve">§17.4.d  </w:t>
      </w:r>
      <w:r>
        <w:rPr>
          <w:rFonts w:ascii="Garamond" w:cs="Garamond" w:eastAsia="Garamond" w:hAnsi="Garamond"/>
          <w:b/>
          <w:bCs/>
          <w:i w:val="false"/>
          <w:iCs w:val="false"/>
          <w:color w:val="1B2A4A"/>
          <w:sz w:val="22"/>
          <w:szCs w:val="22"/>
        </w:rPr>
        <w:t xml:space="preserve">Reclassification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Land may be removed from National Trust designation only by a 2/3 vote of both chambers with host State consent, followed by SC review within 60 days. The SC reviews whether the removal complies with any applicable international obligations. Removal is permanent — land removed from Trust does not automatically revert to Trust status.</w:t>
      </w:r>
    </w:p>
    <w:p>
      <w:pPr>
        <w:spacing w:after="60" w:before="200"/>
        <w:ind w:left="431"/>
        <w:jc w:val="left"/>
      </w:pPr>
      <w:r>
        <w:rPr>
          <w:rFonts w:ascii="Courier New" w:cs="Courier New" w:eastAsia="Courier New" w:hAnsi="Courier New"/>
          <w:b/>
          <w:bCs/>
          <w:color w:val="1B2A4A"/>
          <w:sz w:val="18"/>
          <w:szCs w:val="18"/>
        </w:rPr>
        <w:t xml:space="preserve">§17.4.e  </w:t>
      </w:r>
      <w:r>
        <w:rPr>
          <w:rFonts w:ascii="Garamond" w:cs="Garamond" w:eastAsia="Garamond" w:hAnsi="Garamond"/>
          <w:b/>
          <w:bCs/>
          <w:i w:val="false"/>
          <w:iCs w:val="false"/>
          <w:color w:val="1B2A4A"/>
          <w:sz w:val="22"/>
          <w:szCs w:val="22"/>
        </w:rPr>
        <w:t xml:space="preserve">International Sites</w:t>
      </w:r>
    </w:p>
    <w:p>
      <w:pPr>
        <w:spacing w:after="120" w:before="0"/>
        <w:ind w:left="431"/>
        <w:jc w:val="both"/>
      </w:pPr>
      <w:r>
        <w:rPr>
          <w:rFonts w:ascii="Garamond" w:cs="Garamond" w:eastAsia="Garamond" w:hAnsi="Garamond"/>
          <w:b w:val="false"/>
          <w:bCs w:val="false"/>
          <w:i w:val="false"/>
          <w:iCs w:val="false"/>
          <w:color w:val="2a2520"/>
          <w:sz w:val="22"/>
          <w:szCs w:val="22"/>
        </w:rPr>
        <w:t xml:space="preserve">National Trust lands recognized under international conservation agreements require a 2/3 Senate vote to withdraw from the relevant international obligation before the national removal process begins. The Republic cannot quietly delist internationally recognized sites without formal democratic action.</w:t>
      </w:r>
    </w:p>
    <w:p>
      <w:pPr>
        <w:spacing w:after="60" w:before="200"/>
        <w:ind w:left="431"/>
        <w:jc w:val="left"/>
      </w:pPr>
      <w:r>
        <w:rPr>
          <w:rFonts w:ascii="Courier New" w:cs="Courier New" w:eastAsia="Courier New" w:hAnsi="Courier New"/>
          <w:b/>
          <w:bCs/>
          <w:color w:val="1B2A4A"/>
          <w:sz w:val="18"/>
          <w:szCs w:val="18"/>
        </w:rPr>
        <w:t xml:space="preserve">§17.4.f  </w:t>
      </w:r>
      <w:r>
        <w:rPr>
          <w:rFonts w:ascii="Garamond" w:cs="Garamond" w:eastAsia="Garamond" w:hAnsi="Garamond"/>
          <w:b/>
          <w:bCs/>
          <w:i w:val="false"/>
          <w:iCs w:val="false"/>
          <w:color w:val="1B2A4A"/>
          <w:sz w:val="22"/>
          <w:szCs w:val="22"/>
        </w:rPr>
        <w:t xml:space="preserve">Admission of New Trust Lands</w:t>
      </w:r>
    </w:p>
    <w:p>
      <w:pPr>
        <w:spacing w:after="120" w:before="0"/>
        <w:ind w:left="431"/>
        <w:jc w:val="both"/>
      </w:pPr>
      <w:r>
        <w:rPr>
          <w:rFonts w:ascii="Garamond" w:cs="Garamond" w:eastAsia="Garamond" w:hAnsi="Garamond"/>
          <w:b w:val="false"/>
          <w:bCs w:val="false"/>
          <w:i w:val="false"/>
          <w:iCs w:val="false"/>
          <w:color w:val="2a2520"/>
          <w:sz w:val="22"/>
          <w:szCs w:val="22"/>
        </w:rPr>
        <w:t xml:space="preserve">Land may be designated National Trust by a 2/3 vote of both chambers with host State consent (land in Territories: 2/3 vote alone). No executive action may designate Trust lands — designation is a legislative act.</w:t>
      </w:r>
    </w:p>
    <w:p>
      <w:pPr>
        <w:spacing w:after="60" w:before="200"/>
        <w:ind w:left="431"/>
        <w:jc w:val="left"/>
      </w:pPr>
      <w:r>
        <w:rPr>
          <w:rFonts w:ascii="Courier New" w:cs="Courier New" w:eastAsia="Courier New" w:hAnsi="Courier New"/>
          <w:b/>
          <w:bCs/>
          <w:color w:val="1B2A4A"/>
          <w:sz w:val="18"/>
          <w:szCs w:val="18"/>
        </w:rPr>
        <w:t xml:space="preserve">§17.4.g  </w:t>
      </w:r>
      <w:r>
        <w:rPr>
          <w:rFonts w:ascii="Garamond" w:cs="Garamond" w:eastAsia="Garamond" w:hAnsi="Garamond"/>
          <w:b/>
          <w:bCs/>
          <w:i w:val="false"/>
          <w:iCs w:val="false"/>
          <w:color w:val="1B2A4A"/>
          <w:sz w:val="22"/>
          <w:szCs w:val="22"/>
        </w:rPr>
        <w:t xml:space="preserve">National Trust Administrator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Administrator is a statutory independent officer whose independence is protected by statute. The Legislature creates the office by statute and establishes the Administrator's independence, term, and removal grounds through the enabling statute. The enabling statute may not reduce the stewardship obligations established in §17.4.a–f or diminish the EI's annual monitoring authority.</w:t>
      </w:r>
    </w:p>
    <w:p>
      <w:pPr>
        <w:spacing w:after="60" w:before="200"/>
        <w:ind w:left="431"/>
        <w:jc w:val="left"/>
      </w:pPr>
      <w:r>
        <w:rPr>
          <w:rFonts w:ascii="Courier New" w:cs="Courier New" w:eastAsia="Courier New" w:hAnsi="Courier New"/>
          <w:b/>
          <w:bCs/>
          <w:color w:val="1B2A4A"/>
          <w:sz w:val="18"/>
          <w:szCs w:val="18"/>
        </w:rPr>
        <w:t xml:space="preserve">§17.5  </w:t>
      </w:r>
      <w:r>
        <w:rPr>
          <w:rFonts w:ascii="Garamond" w:cs="Garamond" w:eastAsia="Garamond" w:hAnsi="Garamond"/>
          <w:b/>
          <w:bCs/>
          <w:i w:val="false"/>
          <w:iCs w:val="false"/>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operational use rights in Territories follow the same framework as in States under §17.3 and §17.4. Host State legislative consent is not required because Territories have no State legislature; the Territory's representative body and the LI are consulted before any use right is registered. The same constitutional principles and obligations apply.</w:t>
      </w:r>
    </w:p>
    <w:p>
      <w:pPr>
        <w:spacing w:after="60" w:before="200"/>
        <w:jc w:val="left"/>
      </w:pPr>
      <w:r>
        <w:rPr>
          <w:rFonts w:ascii="Garamond" w:cs="Garamond" w:eastAsia="Garamond" w:hAnsi="Garamond"/>
          <w:b/>
          <w:bCs/>
          <w:i w:val="false"/>
          <w:iCs w:val="false"/>
          <w:color w:val="1B2A4A"/>
          <w:sz w:val="34"/>
          <w:szCs w:val="34"/>
        </w:rPr>
        <w:t xml:space="preserve">Article XVIII — Electoral Finance and Campaign Conduct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§18.1  </w:t>
      </w:r>
      <w:r>
        <w:rPr>
          <w:rFonts w:ascii="Garamond" w:cs="Garamond" w:eastAsia="Garamond" w:hAnsi="Garamond"/>
          <w:b/>
          <w:bCs/>
          <w:i w:val="false"/>
          <w:iCs w:val="false"/>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finance is regulated to prevent the structural distortion of democratic accountability through concentrated financial influence. The provisions of this section govern contributions, disclosure, and independent expenditures.</w:t>
      </w:r>
    </w:p>
    <w:p>
      <w:pPr>
        <w:spacing w:after="60" w:before="200"/>
        <w:ind w:left="431"/>
        <w:jc w:val="left"/>
      </w:pPr>
      <w:r>
        <w:rPr>
          <w:rFonts w:ascii="Courier New" w:cs="Courier New" w:eastAsia="Courier New" w:hAnsi="Courier New"/>
          <w:b/>
          <w:bCs/>
          <w:color w:val="1B2A4A"/>
          <w:sz w:val="18"/>
          <w:szCs w:val="18"/>
        </w:rPr>
        <w:t xml:space="preserve">§18.1.a  </w:t>
      </w:r>
      <w:r>
        <w:rPr>
          <w:rFonts w:ascii="Garamond" w:cs="Garamond" w:eastAsia="Garamond" w:hAnsi="Garamond"/>
          <w:b/>
          <w:bCs/>
          <w:i w:val="false"/>
          <w:iCs w:val="false"/>
          <w:color w:val="1B2A4A"/>
          <w:sz w:val="22"/>
          <w:szCs w:val="22"/>
        </w:rPr>
        <w:t xml:space="preserve">Financial Contributions as Electoral Acts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contributions above the de minimis threshold must be publicly disclosed to the Electoral Commission and published to the NRS. Anonymity in electoral finance is prohibited. The de minimis threshold may not be set so high that it effectively permits anonymous large-scale contributions.</w:t>
      </w:r>
    </w:p>
    <w:p>
      <w:pPr>
        <w:spacing w:after="60" w:before="200"/>
        <w:ind w:left="431"/>
        <w:jc w:val="left"/>
      </w:pPr>
      <w:r>
        <w:rPr>
          <w:rFonts w:ascii="Courier New" w:cs="Courier New" w:eastAsia="Courier New" w:hAnsi="Courier New"/>
          <w:b/>
          <w:bCs/>
          <w:color w:val="1B2A4A"/>
          <w:sz w:val="18"/>
          <w:szCs w:val="18"/>
        </w:rPr>
        <w:t xml:space="preserve">§18.1.b  </w:t>
      </w:r>
      <w:r>
        <w:rPr>
          <w:rFonts w:ascii="Garamond" w:cs="Garamond" w:eastAsia="Garamond" w:hAnsi="Garamond"/>
          <w:b/>
          <w:bCs/>
          <w:i w:val="false"/>
          <w:iCs w:val="false"/>
          <w:color w:val="1B2A4A"/>
          <w:sz w:val="22"/>
          <w:szCs w:val="22"/>
        </w:rPr>
        <w:t xml:space="preserve">Natural Persons Only</w:t>
      </w:r>
    </w:p>
    <w:p>
      <w:pPr>
        <w:spacing w:after="120" w:before="0"/>
        <w:ind w:left="431"/>
        <w:jc w:val="both"/>
      </w:pPr>
      <w:r>
        <w:rPr>
          <w:rFonts w:ascii="Garamond" w:cs="Garamond" w:eastAsia="Garamond" w:hAnsi="Garamond"/>
          <w:b w:val="false"/>
          <w:bCs w:val="false"/>
          <w:i w:val="false"/>
          <w:iCs w:val="false"/>
          <w:color w:val="2a2520"/>
          <w:sz w:val="22"/>
          <w:szCs w:val="22"/>
        </w:rPr>
        <w:t xml:space="preserve">Individual contributions to electoral campaigns are capped at a level defined by statute. Corporate, organizational, and foreign contributions are prohibited. The prohibition on foreign contributions applies to any person or entity that is not a Republic citizen or resident.</w:t>
      </w:r>
    </w:p>
    <w:p>
      <w:pPr>
        <w:spacing w:after="60" w:before="200"/>
        <w:ind w:left="431"/>
        <w:jc w:val="left"/>
      </w:pPr>
      <w:r>
        <w:rPr>
          <w:rFonts w:ascii="Courier New" w:cs="Courier New" w:eastAsia="Courier New" w:hAnsi="Courier New"/>
          <w:b/>
          <w:bCs/>
          <w:color w:val="1B2A4A"/>
          <w:sz w:val="18"/>
          <w:szCs w:val="18"/>
        </w:rPr>
        <w:t xml:space="preserve">§18.1.c  </w:t>
      </w:r>
      <w:r>
        <w:rPr>
          <w:rFonts w:ascii="Garamond" w:cs="Garamond" w:eastAsia="Garamond" w:hAnsi="Garamond"/>
          <w:b/>
          <w:bCs/>
          <w:i w:val="false"/>
          <w:iCs w:val="false"/>
          <w:color w:val="1B2A4A"/>
          <w:sz w:val="22"/>
          <w:szCs w:val="22"/>
        </w:rPr>
        <w:t xml:space="preserve">Voter-Donor Parity</w:t>
      </w:r>
    </w:p>
    <w:p>
      <w:pPr>
        <w:spacing w:after="120" w:before="0"/>
        <w:ind w:left="431"/>
        <w:jc w:val="both"/>
      </w:pPr>
      <w:r>
        <w:rPr>
          <w:rFonts w:ascii="Garamond" w:cs="Garamond" w:eastAsia="Garamond" w:hAnsi="Garamond"/>
          <w:b w:val="false"/>
          <w:bCs w:val="false"/>
          <w:i w:val="false"/>
          <w:iCs w:val="false"/>
          <w:color w:val="2a2520"/>
          <w:sz w:val="22"/>
          <w:szCs w:val="22"/>
        </w:rPr>
        <w:t xml:space="preserve">Expenditures made independently of but in support of a campaign must also be disclosed. Independent expenditures are not subject to the same contribution limits as direct contributions, but are subject to the same disclosure requirements. Coordinated expenditures are treated as direct contributions.</w:t>
      </w:r>
    </w:p>
    <w:p>
      <w:pPr>
        <w:spacing w:after="60" w:before="200"/>
        <w:ind w:left="431"/>
        <w:jc w:val="left"/>
      </w:pPr>
      <w:r>
        <w:rPr>
          <w:rFonts w:ascii="Courier New" w:cs="Courier New" w:eastAsia="Courier New" w:hAnsi="Courier New"/>
          <w:b/>
          <w:bCs/>
          <w:color w:val="1B2A4A"/>
          <w:sz w:val="18"/>
          <w:szCs w:val="18"/>
        </w:rPr>
        <w:t xml:space="preserve">§18.1.d  </w:t>
      </w:r>
      <w:r>
        <w:rPr>
          <w:rFonts w:ascii="Garamond" w:cs="Garamond" w:eastAsia="Garamond" w:hAnsi="Garamond"/>
          <w:b/>
          <w:bCs/>
          <w:i w:val="false"/>
          <w:iCs w:val="false"/>
          <w:color w:val="1B2A4A"/>
          <w:sz w:val="22"/>
          <w:szCs w:val="22"/>
        </w:rPr>
        <w:t xml:space="preserve">Full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Electoral Commission administers all electoral finance rules, reviews all disclosed contributions, publishes all disclosures to the NRS, and investigates suspected violations. The EI audits EC administration annually. Candidates who receive impermissible contributions must report them within 10 days and either return them or have them treated as undisclosed.</w:t>
      </w:r>
    </w:p>
    <w:p>
      <w:pPr>
        <w:spacing w:after="60" w:before="200"/>
        <w:ind w:left="431"/>
        <w:jc w:val="left"/>
      </w:pPr>
      <w:r>
        <w:rPr>
          <w:rFonts w:ascii="Courier New" w:cs="Courier New" w:eastAsia="Courier New" w:hAnsi="Courier New"/>
          <w:b/>
          <w:bCs/>
          <w:color w:val="1B2A4A"/>
          <w:sz w:val="18"/>
          <w:szCs w:val="18"/>
        </w:rPr>
        <w:t xml:space="preserve">§18.2  </w:t>
      </w:r>
      <w:r>
        <w:rPr>
          <w:rFonts w:ascii="Garamond" w:cs="Garamond" w:eastAsia="Garamond" w:hAnsi="Garamond"/>
          <w:b/>
          <w:bCs/>
          <w:i w:val="false"/>
          <w:iCs w:val="false"/>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are subject to conduct standards administered by the Electoral Commission. These standards govern factual accuracy, media access, and foreign interference — not political content or viewpoint.</w:t>
      </w:r>
    </w:p>
    <w:p>
      <w:pPr>
        <w:spacing w:after="60" w:before="200"/>
        <w:ind w:left="431"/>
        <w:jc w:val="left"/>
      </w:pPr>
      <w:r>
        <w:rPr>
          <w:rFonts w:ascii="Courier New" w:cs="Courier New" w:eastAsia="Courier New" w:hAnsi="Courier New"/>
          <w:b/>
          <w:bCs/>
          <w:color w:val="1B2A4A"/>
          <w:sz w:val="18"/>
          <w:szCs w:val="18"/>
        </w:rPr>
        <w:t xml:space="preserve">§18.2.a  </w:t>
      </w:r>
      <w:r>
        <w:rPr>
          <w:rFonts w:ascii="Garamond" w:cs="Garamond" w:eastAsia="Garamond" w:hAnsi="Garamond"/>
          <w:b/>
          <w:bCs/>
          <w:i w:val="false"/>
          <w:iCs w:val="false"/>
          <w:color w:val="1B2A4A"/>
          <w:sz w:val="22"/>
          <w:szCs w:val="22"/>
        </w:rPr>
        <w:t xml:space="preserve">Campaign Conduct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must campaign in compliance with published EC conduct standards: prohibition on demonstrably false statements of material fact about a candidate's recorded votes — specifically, claiming a vote was cast when it was not, or was not cast when it was; characterization, emphasis, and contextual framing of voting records are protected expression and are not subject to EC conduct review, prohibition on impersonating other candidates, prohibition on vote suppression activities, and prohibition on interference with the electoral administration process.</w:t>
      </w:r>
    </w:p>
    <w:p>
      <w:pPr>
        <w:spacing w:after="60" w:before="200"/>
        <w:ind w:left="431"/>
        <w:jc w:val="left"/>
      </w:pPr>
      <w:r>
        <w:rPr>
          <w:rFonts w:ascii="Courier New" w:cs="Courier New" w:eastAsia="Courier New" w:hAnsi="Courier New"/>
          <w:b/>
          <w:bCs/>
          <w:color w:val="1B2A4A"/>
          <w:sz w:val="18"/>
          <w:szCs w:val="18"/>
        </w:rPr>
        <w:t xml:space="preserve">§18.2.b  </w:t>
      </w:r>
      <w:r>
        <w:rPr>
          <w:rFonts w:ascii="Garamond" w:cs="Garamond" w:eastAsia="Garamond" w:hAnsi="Garamond"/>
          <w:b/>
          <w:bCs/>
          <w:i w:val="false"/>
          <w:iCs w:val="false"/>
          <w:color w:val="1B2A4A"/>
          <w:sz w:val="22"/>
          <w:szCs w:val="22"/>
        </w:rPr>
        <w:t xml:space="preserve">Media and Communication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Campaign communications must clearly identify their sponsor. Fabricated or deceptively edited communications about other candidates are a constitutional violation, not merely a campaign conduct infraction. The EC may require advance disclosure of paid media buys above a threshold defined by statute.</w:t>
      </w:r>
    </w:p>
    <w:p>
      <w:pPr>
        <w:spacing w:after="60" w:before="200"/>
        <w:ind w:left="431"/>
        <w:jc w:val="left"/>
      </w:pPr>
      <w:r>
        <w:rPr>
          <w:rFonts w:ascii="Courier New" w:cs="Courier New" w:eastAsia="Courier New" w:hAnsi="Courier New"/>
          <w:b/>
          <w:bCs/>
          <w:color w:val="1B2A4A"/>
          <w:sz w:val="18"/>
          <w:szCs w:val="18"/>
        </w:rPr>
        <w:t xml:space="preserve">§18.2.c  </w:t>
      </w:r>
      <w:r>
        <w:rPr>
          <w:rFonts w:ascii="Garamond" w:cs="Garamond" w:eastAsia="Garamond" w:hAnsi="Garamond"/>
          <w:b/>
          <w:bCs/>
          <w:i w:val="false"/>
          <w:iCs w:val="false"/>
          <w:color w:val="1B2A4A"/>
          <w:sz w:val="22"/>
          <w:szCs w:val="22"/>
        </w:rPr>
        <w:t xml:space="preserve">Foreign Interference Prohibition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Any attempt by a foreign government, foreign national, or foreign-controlled entity to influence a Republic election is a constitutional violation. The EI investigates and publishes findings. Candidates who knowingly accept foreign assistance — financial or operational — are disqualified from the election cycle in which the violation occurred.</w:t>
      </w:r>
    </w:p>
    <w:p>
      <w:pPr>
        <w:spacing w:after="60" w:before="200"/>
        <w:ind w:left="431"/>
        <w:jc w:val="left"/>
      </w:pPr>
      <w:r>
        <w:rPr>
          <w:rFonts w:ascii="Courier New" w:cs="Courier New" w:eastAsia="Courier New" w:hAnsi="Courier New"/>
          <w:b/>
          <w:bCs/>
          <w:color w:val="1B2A4A"/>
          <w:sz w:val="18"/>
          <w:szCs w:val="18"/>
        </w:rPr>
        <w:t xml:space="preserve">§18.2.d  </w:t>
      </w:r>
      <w:r>
        <w:rPr>
          <w:rFonts w:ascii="Garamond" w:cs="Garamond" w:eastAsia="Garamond" w:hAnsi="Garamond"/>
          <w:b/>
          <w:bCs/>
          <w:i w:val="false"/>
          <w:iCs w:val="false"/>
          <w:color w:val="1B2A4A"/>
          <w:sz w:val="22"/>
          <w:szCs w:val="22"/>
        </w:rPr>
        <w:t xml:space="preserve">Incumbent Advantage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officeholders standing for election in a different race must observe strict separation between their official functions and their campaign. Official resources — staff, communications infrastructure, government platforms — may not be used for campaign purposes. The EI monitors compliance and publishes findings.</w:t>
      </w:r>
    </w:p>
    <w:p>
      <w:pPr>
        <w:spacing w:after="60" w:before="200"/>
        <w:ind w:left="431"/>
        <w:jc w:val="left"/>
      </w:pPr>
      <w:r>
        <w:rPr>
          <w:rFonts w:ascii="Courier New" w:cs="Courier New" w:eastAsia="Courier New" w:hAnsi="Courier New"/>
          <w:b/>
          <w:bCs/>
          <w:color w:val="1B2A4A"/>
          <w:sz w:val="18"/>
          <w:szCs w:val="18"/>
        </w:rPr>
        <w:t xml:space="preserve">§18.3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a publicly funded campaign financing system as an alternative to private fundraising. Participation is voluntary; the system is structured to ensure candidates who participate can mount effective campaigns.</w:t>
      </w:r>
    </w:p>
    <w:p>
      <w:pPr>
        <w:spacing w:after="60" w:before="200"/>
        <w:ind w:left="431"/>
        <w:jc w:val="left"/>
      </w:pPr>
      <w:r>
        <w:rPr>
          <w:rFonts w:ascii="Courier New" w:cs="Courier New" w:eastAsia="Courier New" w:hAnsi="Courier New"/>
          <w:b/>
          <w:bCs/>
          <w:color w:val="1B2A4A"/>
          <w:sz w:val="18"/>
          <w:szCs w:val="18"/>
        </w:rPr>
        <w:t xml:space="preserve">§18.3.a  </w:t>
      </w:r>
      <w:r>
        <w:rPr>
          <w:rFonts w:ascii="Garamond" w:cs="Garamond" w:eastAsia="Garamond" w:hAnsi="Garamond"/>
          <w:b/>
          <w:bCs/>
          <w:i w:val="false"/>
          <w:iCs w:val="false"/>
          <w:color w:val="1B2A4A"/>
          <w:sz w:val="22"/>
          <w:szCs w:val="22"/>
        </w:rPr>
        <w:t xml:space="preserve">Public Financing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Consistent with §10.3.a, the public financing system provides all registered candidates with equal baseline funding. Candidates who accept public financing are subject to spending limits defined by statute. The EC administers disbursement; no allocation may advantage incumbents or established parties.</w:t>
      </w:r>
    </w:p>
    <w:p>
      <w:pPr>
        <w:spacing w:after="60" w:before="200"/>
        <w:ind w:left="431"/>
        <w:jc w:val="left"/>
      </w:pPr>
      <w:r>
        <w:rPr>
          <w:rFonts w:ascii="Courier New" w:cs="Courier New" w:eastAsia="Courier New" w:hAnsi="Courier New"/>
          <w:b/>
          <w:bCs/>
          <w:color w:val="1B2A4A"/>
          <w:sz w:val="18"/>
          <w:szCs w:val="18"/>
        </w:rPr>
        <w:t xml:space="preserve">§18.3.b  </w:t>
      </w:r>
      <w:r>
        <w:rPr>
          <w:rFonts w:ascii="Garamond" w:cs="Garamond" w:eastAsia="Garamond" w:hAnsi="Garamond"/>
          <w:b/>
          <w:bCs/>
          <w:i w:val="false"/>
          <w:iCs w:val="false"/>
          <w:color w:val="1B2A4A"/>
          <w:sz w:val="22"/>
          <w:szCs w:val="22"/>
        </w:rPr>
        <w:t xml:space="preserve">Matching Funds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by statute create a matching funds component providing additional public funds that match small contributions from citizens — amplifying the influence of small donors relative to large ones. Matching thresholds, caps, and ratios are defined by statute and must apply equally to all participating candidates.</w:t>
      </w:r>
    </w:p>
    <w:p>
      <w:pPr>
        <w:spacing w:after="60" w:before="200"/>
        <w:ind w:left="431"/>
        <w:jc w:val="left"/>
      </w:pPr>
      <w:r>
        <w:rPr>
          <w:rFonts w:ascii="Courier New" w:cs="Courier New" w:eastAsia="Courier New" w:hAnsi="Courier New"/>
          <w:b/>
          <w:bCs/>
          <w:color w:val="1B2A4A"/>
          <w:sz w:val="18"/>
          <w:szCs w:val="18"/>
        </w:rPr>
        <w:t xml:space="preserve">§18.3.c  </w:t>
      </w:r>
      <w:r>
        <w:rPr>
          <w:rFonts w:ascii="Garamond" w:cs="Garamond" w:eastAsia="Garamond" w:hAnsi="Garamond"/>
          <w:b/>
          <w:bCs/>
          <w:i w:val="false"/>
          <w:iCs w:val="false"/>
          <w:color w:val="1B2A4A"/>
          <w:sz w:val="22"/>
          <w:szCs w:val="22"/>
        </w:rPr>
        <w:t xml:space="preserve">EC Allocation of Public Funds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EC allocates public campaign funds based on objective criteria published before each election cycle. Allocation criteria may include: number of qualifying signatures, prior election performance, demonstrated candidacy viability. No criterion may favor incumbents or penalize first-time candidates on the basis of their outsider status.</w:t>
      </w:r>
    </w:p>
    <w:p>
      <w:pPr>
        <w:spacing w:after="60" w:before="200"/>
        <w:ind w:left="431"/>
        <w:jc w:val="left"/>
      </w:pPr>
      <w:r>
        <w:rPr>
          <w:rFonts w:ascii="Courier New" w:cs="Courier New" w:eastAsia="Courier New" w:hAnsi="Courier New"/>
          <w:b/>
          <w:bCs/>
          <w:color w:val="1B2A4A"/>
          <w:sz w:val="18"/>
          <w:szCs w:val="18"/>
        </w:rPr>
        <w:t xml:space="preserve">§18.3.d  </w:t>
      </w:r>
      <w:r>
        <w:rPr>
          <w:rFonts w:ascii="Garamond" w:cs="Garamond" w:eastAsia="Garamond" w:hAnsi="Garamond"/>
          <w:b/>
          <w:bCs/>
          <w:i w:val="false"/>
          <w:iCs w:val="false"/>
          <w:color w:val="1B2A4A"/>
          <w:sz w:val="22"/>
          <w:szCs w:val="22"/>
        </w:rPr>
        <w:t xml:space="preserve">Electoral Finance — Not Protected Speech</w:t>
      </w:r>
    </w:p>
    <w:p>
      <w:pPr>
        <w:spacing w:after="120" w:before="0"/>
        <w:ind w:left="431"/>
        <w:jc w:val="both"/>
      </w:pPr>
      <w:r>
        <w:rPr>
          <w:rFonts w:ascii="Garamond" w:cs="Garamond" w:eastAsia="Garamond" w:hAnsi="Garamond"/>
          <w:b w:val="false"/>
          <w:bCs w:val="false"/>
          <w:i w:val="false"/>
          <w:iCs w:val="false"/>
          <w:color w:val="2a2520"/>
          <w:sz w:val="22"/>
          <w:szCs w:val="22"/>
        </w:rPr>
        <w:t xml:space="preserve">Financial contributions to electoral campaigns are not constitutionally protected speech under §1.5, and are not protected as associational activity under §1.8. The regulation of electoral finance is a matter of democratic integrity explicitly reserved from both speech and associational protection.</w:t>
      </w:r>
    </w:p>
    <w:p>
      <w:pPr>
        <w:spacing w:after="60" w:before="200"/>
        <w:jc w:val="left"/>
      </w:pPr>
      <w:r>
        <w:rPr>
          <w:rFonts w:ascii="Garamond" w:cs="Garamond" w:eastAsia="Garamond" w:hAnsi="Garamond"/>
          <w:b/>
          <w:bCs/>
          <w:i w:val="false"/>
          <w:iCs w:val="false"/>
          <w:color w:val="1B2A4A"/>
          <w:sz w:val="34"/>
          <w:szCs w:val="34"/>
        </w:rPr>
        <w:t xml:space="preserve">Article XIX — Transition and Ratification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§19.1  </w:t>
      </w:r>
      <w:r>
        <w:rPr>
          <w:rFonts w:ascii="Garamond" w:cs="Garamond" w:eastAsia="Garamond" w:hAnsi="Garamond"/>
          <w:b/>
          <w:bCs/>
          <w:i w:val="false"/>
          <w:iCs w:val="false"/>
          <w:color w:val="1B2A4A"/>
          <w:sz w:val="22"/>
          <w:szCs w:val="22"/>
        </w:rPr>
        <w:t xml:space="preserve">The Activation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takes effect upon ratification by the required threshold established in §19.1.a. Ratification creates binding constitutional obligations on all governmental actors, existing institutions, and successor entities within the Republic's jurisdiction from Day Zero. The ratification process, institutional accommodation, and multi-founder formation procedures are governed by §19.1.a, §19.1.b, and §19.1.c respectively.</w:t>
      </w:r>
    </w:p>
    <w:p>
      <w:pPr>
        <w:spacing w:after="60" w:before="200"/>
        <w:ind w:left="431"/>
        <w:jc w:val="left"/>
      </w:pPr>
      <w:r>
        <w:rPr>
          <w:rFonts w:ascii="Courier New" w:cs="Courier New" w:eastAsia="Courier New" w:hAnsi="Courier New"/>
          <w:b/>
          <w:bCs/>
          <w:color w:val="1B2A4A"/>
          <w:sz w:val="18"/>
          <w:szCs w:val="18"/>
        </w:rPr>
        <w:t xml:space="preserve">§19.1.a  </w:t>
      </w:r>
      <w:r>
        <w:rPr>
          <w:rFonts w:ascii="Garamond" w:cs="Garamond" w:eastAsia="Garamond" w:hAnsi="Garamond"/>
          <w:b/>
          <w:bCs/>
          <w:i w:val="false"/>
          <w:iCs w:val="false"/>
          <w:color w:val="1B2A4A"/>
          <w:sz w:val="22"/>
          <w:szCs w:val="22"/>
        </w:rPr>
        <w:t xml:space="preserve">Activation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Activated upon: (1) interim EC certification that the NVS is operational and meets §16.3; and (2) a national ratification vote achieving 60% affirmative support with at least 50% participation. The NVS certification requirement ensures the system that conducts the ratification vote meets constitutional standards before the vote itself.</w:t>
      </w:r>
    </w:p>
    <w:p>
      <w:pPr>
        <w:spacing w:after="60" w:before="200"/>
        <w:ind w:left="431"/>
        <w:jc w:val="left"/>
      </w:pPr>
      <w:r>
        <w:rPr>
          <w:rFonts w:ascii="Courier New" w:cs="Courier New" w:eastAsia="Courier New" w:hAnsi="Courier New"/>
          <w:b/>
          <w:bCs/>
          <w:color w:val="1B2A4A"/>
          <w:sz w:val="18"/>
          <w:szCs w:val="18"/>
        </w:rPr>
        <w:t xml:space="preserve">§19.1.b  </w:t>
      </w:r>
      <w:r>
        <w:rPr>
          <w:rFonts w:ascii="Garamond" w:cs="Garamond" w:eastAsia="Garamond" w:hAnsi="Garamond"/>
          <w:b/>
          <w:bCs/>
          <w:i w:val="false"/>
          <w:iCs w:val="false"/>
          <w:color w:val="1B2A4A"/>
          <w:sz w:val="22"/>
          <w:szCs w:val="22"/>
        </w:rPr>
        <w:t xml:space="preserve">Institutional Accommodation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ratifying polity maintains existing institutions overlapping with constitutional mechanisms, the Legislature must by statute within two years of Phase 4 define their relationship with the constitutional framework. Non-diminishment: accommodation statutes may not reduce legal standing of pre-existing governance structures below their pre-Phase 4 status. 2/3 of both chambers required to amend.</w:t>
      </w:r>
    </w:p>
    <w:p>
      <w:pPr>
        <w:spacing w:after="60" w:before="200"/>
        <w:ind w:left="431"/>
        <w:jc w:val="left"/>
      </w:pPr>
      <w:r>
        <w:rPr>
          <w:rFonts w:ascii="Courier New" w:cs="Courier New" w:eastAsia="Courier New" w:hAnsi="Courier New"/>
          <w:b/>
          <w:bCs/>
          <w:color w:val="1B2A4A"/>
          <w:sz w:val="18"/>
          <w:szCs w:val="18"/>
        </w:rPr>
        <w:t xml:space="preserve">§19.1.c  </w:t>
      </w:r>
      <w:r>
        <w:rPr>
          <w:rFonts w:ascii="Garamond" w:cs="Garamond" w:eastAsia="Garamond" w:hAnsi="Garamond"/>
          <w:b/>
          <w:bCs/>
          <w:i w:val="false"/>
          <w:iCs w:val="false"/>
          <w:color w:val="1B2A4A"/>
          <w:sz w:val="22"/>
          <w:szCs w:val="22"/>
        </w:rPr>
        <w:t xml:space="preserve">Multi-Founder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multiple sovereign nations simultaneously pool sovereignty through a treaty of union, transition provisions adapt: joint Phase 0/1 certification, consolidated debt assumption, combined Day Zero NRS publication of all founding sovereigns' records, and proportional obligation assumption per treaty terms.</w:t>
      </w:r>
    </w:p>
    <w:p>
      <w:pPr>
        <w:spacing w:after="60" w:before="200"/>
        <w:ind w:left="431"/>
        <w:jc w:val="left"/>
      </w:pPr>
      <w:r>
        <w:rPr>
          <w:rFonts w:ascii="Courier New" w:cs="Courier New" w:eastAsia="Courier New" w:hAnsi="Courier New"/>
          <w:b/>
          <w:bCs/>
          <w:color w:val="1B2A4A"/>
          <w:sz w:val="18"/>
          <w:szCs w:val="18"/>
        </w:rPr>
        <w:t xml:space="preserve">§19.2  </w:t>
      </w:r>
      <w:r>
        <w:rPr>
          <w:rFonts w:ascii="Garamond" w:cs="Garamond" w:eastAsia="Garamond" w:hAnsi="Garamond"/>
          <w:b/>
          <w:bCs/>
          <w:i w:val="false"/>
          <w:iCs w:val="false"/>
          <w:color w:val="1B2A4A"/>
          <w:sz w:val="22"/>
          <w:szCs w:val="22"/>
        </w:rPr>
        <w:t xml:space="preserve">Day Zero</w:t>
      </w:r>
    </w:p>
    <w:p>
      <w:pPr>
        <w:spacing w:after="120" w:before="0"/>
        <w:ind w:left="431"/>
        <w:jc w:val="both"/>
      </w:pPr>
      <w:r>
        <w:rPr>
          <w:rFonts w:ascii="Garamond" w:cs="Garamond" w:eastAsia="Garamond" w:hAnsi="Garamond"/>
          <w:b w:val="false"/>
          <w:bCs w:val="false"/>
          <w:i w:val="false"/>
          <w:iCs w:val="false"/>
          <w:color w:val="2a2520"/>
          <w:sz w:val="22"/>
          <w:szCs w:val="22"/>
        </w:rPr>
        <w:t xml:space="preserve">Day Zero is the date the ratification threshold is certified as achieved by the interim EC. Upon ratification: all laws conflicting with the Individual Sovereignty Floor are immediately null and void; all public assets transfer to the NRS; the 24-month Transition Window begins. The Republic exists the moment the EC certifies the threshold. The Transition Window is the outer legal boundary for transition-related authorities. Phase 4 activates when the phases are complete, which will ordinarily precede the window's expiry; the remaining window provides a defined period for outstanding transition administration, legal continuity, and institutional stabilization.</w:t>
      </w:r>
    </w:p>
    <w:p>
      <w:pPr>
        <w:spacing w:after="60" w:before="200"/>
        <w:ind w:left="431"/>
        <w:jc w:val="left"/>
      </w:pPr>
      <w:r>
        <w:rPr>
          <w:rFonts w:ascii="Courier New" w:cs="Courier New" w:eastAsia="Courier New" w:hAnsi="Courier New"/>
          <w:b/>
          <w:bCs/>
          <w:color w:val="1B2A4A"/>
          <w:sz w:val="18"/>
          <w:szCs w:val="18"/>
        </w:rPr>
        <w:t xml:space="preserve">§19.3  </w:t>
      </w:r>
      <w:r>
        <w:rPr>
          <w:rFonts w:ascii="Garamond" w:cs="Garamond" w:eastAsia="Garamond" w:hAnsi="Garamond"/>
          <w:b/>
          <w:bCs/>
          <w:i w:val="false"/>
          <w:iCs w:val="false"/>
          <w:color w:val="1B2A4A"/>
          <w:sz w:val="22"/>
          <w:szCs w:val="22"/>
        </w:rPr>
        <w:t xml:space="preserve">The Four-Phase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is implemented through a 24-month, four-phase transition process established in §19.3.a through §19.3.e.</w:t>
      </w:r>
    </w:p>
    <w:p>
      <w:pPr>
        <w:spacing w:after="60" w:before="200"/>
        <w:ind w:left="431"/>
        <w:jc w:val="left"/>
      </w:pPr>
      <w:r>
        <w:rPr>
          <w:rFonts w:ascii="Courier New" w:cs="Courier New" w:eastAsia="Courier New" w:hAnsi="Courier New"/>
          <w:b/>
          <w:bCs/>
          <w:color w:val="1B2A4A"/>
          <w:sz w:val="18"/>
          <w:szCs w:val="18"/>
        </w:rPr>
        <w:t xml:space="preserve">§19.3.a  </w:t>
      </w:r>
      <w:r>
        <w:rPr>
          <w:rFonts w:ascii="Garamond" w:cs="Garamond" w:eastAsia="Garamond" w:hAnsi="Garamond"/>
          <w:b/>
          <w:bCs/>
          <w:i w:val="false"/>
          <w:iCs w:val="false"/>
          <w:color w:val="1B2A4A"/>
          <w:sz w:val="22"/>
          <w:szCs w:val="22"/>
        </w:rPr>
        <w:t xml:space="preserve">Phase 0 — Pre-Ratification Preparation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Phase 0 is the pre-ratification preparation period. The interim Electoral Commission is constituted, the National Voting System is certified operational, and the joint Inspectorate panel is formed — all before any ratification vote occurs.</w:t>
      </w:r>
    </w:p>
    <w:p>
      <w:pPr>
        <w:spacing w:after="60" w:before="200"/>
        <w:ind w:left="431"/>
        <w:jc w:val="left"/>
      </w:pPr>
      <w:r>
        <w:rPr>
          <w:rFonts w:ascii="Courier New" w:cs="Courier New" w:eastAsia="Courier New" w:hAnsi="Courier New"/>
          <w:b/>
          <w:bCs/>
          <w:color w:val="1B2A4A"/>
          <w:sz w:val="18"/>
          <w:szCs w:val="18"/>
        </w:rPr>
        <w:t xml:space="preserve">§19.3.b  </w:t>
      </w:r>
      <w:r>
        <w:rPr>
          <w:rFonts w:ascii="Garamond" w:cs="Garamond" w:eastAsia="Garamond" w:hAnsi="Garamond"/>
          <w:b/>
          <w:bCs/>
          <w:i w:val="false"/>
          <w:iCs w:val="false"/>
          <w:color w:val="1B2A4A"/>
          <w:sz w:val="22"/>
          <w:szCs w:val="22"/>
        </w:rPr>
        <w:t xml:space="preserve">Phase 1 — Emergency Stabilization (Days 1–90)</w:t>
      </w:r>
    </w:p>
    <w:p>
      <w:pPr>
        <w:spacing w:after="120" w:before="0"/>
        <w:ind w:left="431"/>
        <w:jc w:val="both"/>
      </w:pPr>
      <w:r>
        <w:rPr>
          <w:rFonts w:ascii="Garamond" w:cs="Garamond" w:eastAsia="Garamond" w:hAnsi="Garamond"/>
          <w:b w:val="false"/>
          <w:bCs w:val="false"/>
          <w:i w:val="false"/>
          <w:iCs w:val="false"/>
          <w:color w:val="2a2520"/>
          <w:sz w:val="22"/>
          <w:szCs w:val="22"/>
        </w:rPr>
        <w:t xml:space="preserve">Existing government officials serve as caretakers under §19.4. The joint Inspectorate panel assumes oversight. The NRS begins recording all government acts. Priority functions: Basic Needs Floor delivery continuity, public safety, and essential services. No new permanent legislation.</w:t>
      </w:r>
    </w:p>
    <w:p>
      <w:pPr>
        <w:spacing w:after="60" w:before="200"/>
        <w:ind w:left="431"/>
        <w:jc w:val="left"/>
      </w:pPr>
      <w:r>
        <w:rPr>
          <w:rFonts w:ascii="Courier New" w:cs="Courier New" w:eastAsia="Courier New" w:hAnsi="Courier New"/>
          <w:b/>
          <w:bCs/>
          <w:color w:val="1B2A4A"/>
          <w:sz w:val="18"/>
          <w:szCs w:val="18"/>
        </w:rPr>
        <w:t xml:space="preserve">§19.3.c  </w:t>
      </w:r>
      <w:r>
        <w:rPr>
          <w:rFonts w:ascii="Garamond" w:cs="Garamond" w:eastAsia="Garamond" w:hAnsi="Garamond"/>
          <w:b/>
          <w:bCs/>
          <w:i w:val="false"/>
          <w:iCs w:val="false"/>
          <w:color w:val="1B2A4A"/>
          <w:sz w:val="22"/>
          <w:szCs w:val="22"/>
        </w:rPr>
        <w:t xml:space="preserve">Phase 2 — Institutional Construction (Days 91–270)</w:t>
      </w:r>
    </w:p>
    <w:p>
      <w:pPr>
        <w:spacing w:after="120" w:before="0"/>
        <w:ind w:left="431"/>
        <w:jc w:val="both"/>
      </w:pPr>
      <w:r>
        <w:rPr>
          <w:rFonts w:ascii="Garamond" w:cs="Garamond" w:eastAsia="Garamond" w:hAnsi="Garamond"/>
          <w:b w:val="false"/>
          <w:bCs w:val="false"/>
          <w:i w:val="false"/>
          <w:iCs w:val="false"/>
          <w:color w:val="2a2520"/>
          <w:sz w:val="22"/>
          <w:szCs w:val="22"/>
        </w:rPr>
        <w:t xml:space="preserve">Phase 2 (Days 91–270) is Institutional Construction. Statehood Audits are conducted for all entering territories. Inspectorates are formally constituted. The Candidate Register for MA board members and the RSA Director is assembled. Electoral Commission is certified as operational. The National Voting System is fully deployed for citizen registration. Phase 2 ends at Day 270.</w:t>
      </w:r>
    </w:p>
    <w:p>
      <w:pPr>
        <w:spacing w:after="60" w:before="200"/>
        <w:ind w:left="431"/>
        <w:jc w:val="left"/>
      </w:pPr>
      <w:r>
        <w:rPr>
          <w:rFonts w:ascii="Courier New" w:cs="Courier New" w:eastAsia="Courier New" w:hAnsi="Courier New"/>
          <w:b/>
          <w:bCs/>
          <w:color w:val="1B2A4A"/>
          <w:sz w:val="18"/>
          <w:szCs w:val="18"/>
        </w:rPr>
        <w:t xml:space="preserve">§19.3.d  </w:t>
      </w:r>
      <w:r>
        <w:rPr>
          <w:rFonts w:ascii="Garamond" w:cs="Garamond" w:eastAsia="Garamond" w:hAnsi="Garamond"/>
          <w:b/>
          <w:bCs/>
          <w:i w:val="false"/>
          <w:iCs w:val="false"/>
          <w:color w:val="1B2A4A"/>
          <w:sz w:val="22"/>
          <w:szCs w:val="22"/>
        </w:rPr>
        <w:t xml:space="preserve">Phase 3 — First Elections (Days 271–450)</w:t>
      </w:r>
    </w:p>
    <w:p>
      <w:pPr>
        <w:spacing w:after="120" w:before="0"/>
        <w:ind w:left="431"/>
        <w:jc w:val="both"/>
      </w:pPr>
      <w:r>
        <w:rPr>
          <w:rFonts w:ascii="Garamond" w:cs="Garamond" w:eastAsia="Garamond" w:hAnsi="Garamond"/>
          <w:b w:val="false"/>
          <w:bCs w:val="false"/>
          <w:i w:val="false"/>
          <w:iCs w:val="false"/>
          <w:color w:val="2a2520"/>
          <w:sz w:val="22"/>
          <w:szCs w:val="22"/>
        </w:rPr>
        <w:t xml:space="preserve">Phase 3 (Days 271-450) is First Elections. The first National Election Day. Supreme Court justices elected through the open-candidacy judicial selection process. Electoral Commission inaugural elections. Phase 3 ends when the first the Legislature is sworn in and the first executives take office — the moment at which the Republic's constitutional design becomes self-sustaining.</w:t>
      </w:r>
    </w:p>
    <w:p>
      <w:pPr>
        <w:spacing w:after="60" w:before="200"/>
        <w:ind w:left="431"/>
        <w:jc w:val="left"/>
      </w:pPr>
      <w:r>
        <w:rPr>
          <w:rFonts w:ascii="Courier New" w:cs="Courier New" w:eastAsia="Courier New" w:hAnsi="Courier New"/>
          <w:b/>
          <w:bCs/>
          <w:color w:val="1B2A4A"/>
          <w:sz w:val="18"/>
          <w:szCs w:val="18"/>
        </w:rPr>
        <w:t xml:space="preserve">§19.3.e  </w:t>
      </w:r>
      <w:r>
        <w:rPr>
          <w:rFonts w:ascii="Garamond" w:cs="Garamond" w:eastAsia="Garamond" w:hAnsi="Garamond"/>
          <w:b/>
          <w:bCs/>
          <w:i w:val="false"/>
          <w:iCs w:val="false"/>
          <w:color w:val="1B2A4A"/>
          <w:sz w:val="22"/>
          <w:szCs w:val="22"/>
        </w:rPr>
        <w:t xml:space="preserve">Phase 4 — Full Constitutional Operation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Beginning the day the first Legislature convenes and the first executives take the constitutional oath. From Phase 4, all constitutional provisions are fully operative. The 24-month Transition Window concludes at the end of Phase 4.</w:t>
      </w:r>
    </w:p>
    <w:p>
      <w:pPr>
        <w:spacing w:after="60" w:before="200"/>
        <w:ind w:left="431"/>
        <w:jc w:val="left"/>
      </w:pPr>
      <w:r>
        <w:rPr>
          <w:rFonts w:ascii="Courier New" w:cs="Courier New" w:eastAsia="Courier New" w:hAnsi="Courier New"/>
          <w:b/>
          <w:bCs/>
          <w:color w:val="1B2A4A"/>
          <w:sz w:val="18"/>
          <w:szCs w:val="18"/>
        </w:rPr>
        <w:t xml:space="preserve">§19.4  </w:t>
      </w:r>
      <w:r>
        <w:rPr>
          <w:rFonts w:ascii="Garamond" w:cs="Garamond" w:eastAsia="Garamond" w:hAnsi="Garamond"/>
          <w:b/>
          <w:bCs/>
          <w:i w:val="false"/>
          <w:iCs w:val="false"/>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existing government officials serve as caretakers during the Transition Window — restricted to maintaining existing services only. No new permanent legislation. Transition supervised by joint Inspectorate panel: one representative per Inspectorate, appointed by their respective IGs. The panel dissolves automatically at the Transition Window's conclusion.</w:t>
      </w:r>
    </w:p>
    <w:p>
      <w:pPr>
        <w:spacing w:after="60" w:before="200"/>
        <w:ind w:left="431"/>
        <w:jc w:val="left"/>
      </w:pPr>
      <w:r>
        <w:rPr>
          <w:rFonts w:ascii="Courier New" w:cs="Courier New" w:eastAsia="Courier New" w:hAnsi="Courier New"/>
          <w:b/>
          <w:bCs/>
          <w:color w:val="1B2A4A"/>
          <w:sz w:val="18"/>
          <w:szCs w:val="18"/>
        </w:rPr>
        <w:t xml:space="preserve">§19.5  </w:t>
      </w:r>
      <w:r>
        <w:rPr>
          <w:rFonts w:ascii="Garamond" w:cs="Garamond" w:eastAsia="Garamond" w:hAnsi="Garamond"/>
          <w:b/>
          <w:bCs/>
          <w:i w:val="false"/>
          <w:iCs w:val="false"/>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establish a Classification Review Commission within 90 days of Phase 4 activation. Commission applies §9.5 criteria to predecessor classified material: legitimately classified material enters the §9.5 duration framework from Day Zero; improperly classified material (concealing violations or policy decisions) is immediately declassified and published to the NRS. Any person may challenge a Commission determination before the SC.</w:t>
      </w:r>
    </w:p>
    <w:p>
      <w:pPr>
        <w:spacing w:after="60" w:before="200"/>
        <w:ind w:left="431"/>
        <w:jc w:val="left"/>
      </w:pPr>
      <w:r>
        <w:rPr>
          <w:rFonts w:ascii="Courier New" w:cs="Courier New" w:eastAsia="Courier New" w:hAnsi="Courier New"/>
          <w:b/>
          <w:bCs/>
          <w:color w:val="1B2A4A"/>
          <w:sz w:val="18"/>
          <w:szCs w:val="18"/>
        </w:rPr>
        <w:t xml:space="preserve">§19.6  </w:t>
      </w:r>
      <w:r>
        <w:rPr>
          <w:rFonts w:ascii="Garamond" w:cs="Garamond" w:eastAsia="Garamond" w:hAnsi="Garamond"/>
          <w:b/>
          <w:bCs/>
          <w:i w:val="false"/>
          <w:iCs w:val="false"/>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the public debt obligations of its predecessor government as a constitutional matter, not a discretionary choice.</w:t>
      </w:r>
    </w:p>
    <w:p>
      <w:pPr>
        <w:spacing w:after="60" w:before="200"/>
        <w:ind w:left="431"/>
        <w:jc w:val="left"/>
      </w:pPr>
      <w:r>
        <w:rPr>
          <w:rFonts w:ascii="Courier New" w:cs="Courier New" w:eastAsia="Courier New" w:hAnsi="Courier New"/>
          <w:b/>
          <w:bCs/>
          <w:color w:val="1B2A4A"/>
          <w:sz w:val="18"/>
          <w:szCs w:val="18"/>
        </w:rPr>
        <w:t xml:space="preserve">§19.6.a  </w:t>
      </w:r>
      <w:r>
        <w:rPr>
          <w:rFonts w:ascii="Garamond" w:cs="Garamond" w:eastAsia="Garamond" w:hAnsi="Garamond"/>
          <w:b/>
          <w:bCs/>
          <w:i w:val="false"/>
          <w:iCs w:val="false"/>
          <w:color w:val="1B2A4A"/>
          <w:sz w:val="22"/>
          <w:szCs w:val="22"/>
        </w:rPr>
        <w:t xml:space="preserve">Debt Assumption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all legally recognized debts of the prior government. The Republic does not inherit a clean slate — it inherits what was borrowed. Selective repudiation of prior obligations is not available as a founding act.</w:t>
      </w:r>
    </w:p>
    <w:p>
      <w:pPr>
        <w:spacing w:after="60" w:before="200"/>
        <w:ind w:left="431"/>
        <w:jc w:val="left"/>
      </w:pPr>
      <w:r>
        <w:rPr>
          <w:rFonts w:ascii="Courier New" w:cs="Courier New" w:eastAsia="Courier New" w:hAnsi="Courier New"/>
          <w:b/>
          <w:bCs/>
          <w:color w:val="1B2A4A"/>
          <w:sz w:val="18"/>
          <w:szCs w:val="18"/>
        </w:rPr>
        <w:t xml:space="preserve">§19.6.b  </w:t>
      </w:r>
      <w:r>
        <w:rPr>
          <w:rFonts w:ascii="Garamond" w:cs="Garamond" w:eastAsia="Garamond" w:hAnsi="Garamond"/>
          <w:b/>
          <w:bCs/>
          <w:i w:val="false"/>
          <w:iCs w:val="false"/>
          <w:color w:val="1B2A4A"/>
          <w:sz w:val="22"/>
          <w:szCs w:val="22"/>
        </w:rPr>
        <w:t xml:space="preserve">Active Military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Active military operations of the prior government continue under existing authorization until the §12.2 Tier framework can apply. The President, once inaugurated, must certify each active operation under the appropriate Tier within 14 days or begin orderly cessation. Operations not certified within 60 days of inauguration cease unless the Legislature grants a one-time extension. No indefinite continuation of predecessor-authorized military action.</w:t>
      </w:r>
    </w:p>
    <w:p>
      <w:pPr>
        <w:spacing w:after="60" w:before="200"/>
        <w:ind w:left="431"/>
        <w:jc w:val="left"/>
      </w:pPr>
      <w:r>
        <w:rPr>
          <w:rFonts w:ascii="Courier New" w:cs="Courier New" w:eastAsia="Courier New" w:hAnsi="Courier New"/>
          <w:b/>
          <w:bCs/>
          <w:color w:val="1B2A4A"/>
          <w:sz w:val="18"/>
          <w:szCs w:val="18"/>
        </w:rPr>
        <w:t xml:space="preserve">§19.6.c  </w:t>
      </w:r>
      <w:r>
        <w:rPr>
          <w:rFonts w:ascii="Garamond" w:cs="Garamond" w:eastAsia="Garamond" w:hAnsi="Garamond"/>
          <w:b/>
          <w:bCs/>
          <w:i w:val="false"/>
          <w:iCs w:val="false"/>
          <w:color w:val="1B2A4A"/>
          <w:sz w:val="22"/>
          <w:szCs w:val="22"/>
        </w:rPr>
        <w:t xml:space="preserve">Social Insurance Programs</w:t>
      </w:r>
    </w:p>
    <w:p>
      <w:pPr>
        <w:spacing w:after="120" w:before="0"/>
        <w:ind w:left="431"/>
        <w:jc w:val="both"/>
      </w:pPr>
      <w:r>
        <w:rPr>
          <w:rFonts w:ascii="Garamond" w:cs="Garamond" w:eastAsia="Garamond" w:hAnsi="Garamond"/>
          <w:b w:val="false"/>
          <w:bCs w:val="false"/>
          <w:i w:val="false"/>
          <w:iCs w:val="false"/>
          <w:color w:val="2a2520"/>
          <w:sz w:val="22"/>
          <w:szCs w:val="22"/>
        </w:rPr>
        <w:t xml:space="preserve">Retirement pensions, disability benefits, health coverage — of the prior government continue uninterrupted during the Transition Window. The Republic does not create a gap in social protection as part of its founding.</w:t>
      </w:r>
    </w:p>
    <w:p>
      <w:pPr>
        <w:spacing w:after="60" w:before="200"/>
        <w:ind w:left="431"/>
        <w:jc w:val="left"/>
      </w:pPr>
      <w:r>
        <w:rPr>
          <w:rFonts w:ascii="Courier New" w:cs="Courier New" w:eastAsia="Courier New" w:hAnsi="Courier New"/>
          <w:b/>
          <w:bCs/>
          <w:color w:val="1B2A4A"/>
          <w:sz w:val="18"/>
          <w:szCs w:val="18"/>
        </w:rPr>
        <w:t xml:space="preserve">§19.6.d  </w:t>
      </w:r>
      <w:r>
        <w:rPr>
          <w:rFonts w:ascii="Garamond" w:cs="Garamond" w:eastAsia="Garamond" w:hAnsi="Garamond"/>
          <w:b/>
          <w:bCs/>
          <w:i w:val="false"/>
          <w:iCs w:val="false"/>
          <w:color w:val="1B2A4A"/>
          <w:sz w:val="22"/>
          <w:szCs w:val="22"/>
        </w:rPr>
        <w:t xml:space="preserve">Veterans and National Service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inherits and honors all benefit obligations to persons who served in military or national service roles under the prior government. These are existing contractual commitments of the sovereign that survive transition as continuity-of-state. Legislature must pass a Veterans and National Service Benefits Act within the first budget cycle following Phase 4 activation.</w:t>
      </w:r>
    </w:p>
    <w:p>
      <w:pPr>
        <w:spacing w:after="60" w:before="200"/>
        <w:ind w:left="431"/>
        <w:jc w:val="left"/>
      </w:pPr>
      <w:r>
        <w:rPr>
          <w:rFonts w:ascii="Courier New" w:cs="Courier New" w:eastAsia="Courier New" w:hAnsi="Courier New"/>
          <w:b/>
          <w:bCs/>
          <w:color w:val="1B2A4A"/>
          <w:sz w:val="18"/>
          <w:szCs w:val="18"/>
        </w:rPr>
        <w:t xml:space="preserve">§19.6.e  </w:t>
      </w:r>
      <w:r>
        <w:rPr>
          <w:rFonts w:ascii="Garamond" w:cs="Garamond" w:eastAsia="Garamond" w:hAnsi="Garamond"/>
          <w:b/>
          <w:bCs/>
          <w:i w:val="false"/>
          <w:iCs w:val="false"/>
          <w:color w:val="1B2A4A"/>
          <w:sz w:val="22"/>
          <w:szCs w:val="22"/>
        </w:rPr>
        <w:t xml:space="preserve">Constitutional Claims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immediate nullification of laws conflicting with the Individual Sovereignty Floor creates constitutional disputes that existing courts may not have capacity to absorb. The Legislature must by statute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1B2A4A"/>
          <w:sz w:val="18"/>
          <w:szCs w:val="18"/>
        </w:rPr>
        <w:t xml:space="preserve">§19.6.f  </w:t>
      </w:r>
      <w:r>
        <w:rPr>
          <w:rFonts w:ascii="Garamond" w:cs="Garamond" w:eastAsia="Garamond" w:hAnsi="Garamond"/>
          <w:b/>
          <w:bCs/>
          <w:i w:val="false"/>
          <w:iCs w:val="false"/>
          <w:color w:val="1B2A4A"/>
          <w:sz w:val="22"/>
          <w:szCs w:val="22"/>
        </w:rPr>
        <w:t xml:space="preserve">Legal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Federated Republic is the legal continuation of the prior government as a matter of international law. All international obligations, financial commitments, treaty relationships, and contractual obligations of the prior government as of Day Zero are assumed by the Republic as its successor sovereign.</w:t>
      </w:r>
    </w:p>
    <w:p>
      <w:pPr>
        <w:spacing w:after="60" w:before="200"/>
        <w:ind w:left="431"/>
        <w:jc w:val="left"/>
      </w:pPr>
      <w:r>
        <w:rPr>
          <w:rFonts w:ascii="Courier New" w:cs="Courier New" w:eastAsia="Courier New" w:hAnsi="Courier New"/>
          <w:b/>
          <w:bCs/>
          <w:color w:val="1B2A4A"/>
          <w:sz w:val="18"/>
          <w:szCs w:val="18"/>
        </w:rPr>
        <w:t xml:space="preserve">§19.7  </w:t>
      </w:r>
      <w:r>
        <w:rPr>
          <w:rFonts w:ascii="Garamond" w:cs="Garamond" w:eastAsia="Garamond" w:hAnsi="Garamond"/>
          <w:b/>
          <w:bCs/>
          <w:i w:val="false"/>
          <w:iCs w:val="false"/>
          <w:color w:val="1B2A4A"/>
          <w:sz w:val="22"/>
          <w:szCs w:val="22"/>
        </w:rPr>
        <w:t xml:space="preserve">Transition-Period Territory and Subdivision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transition period provides specific mechanisms for territories seeking statehood and for prior-government states seeking subdivision. These mechanisms operate alongside the standard Phase structure and do not delay Phase activation.</w:t>
      </w:r>
    </w:p>
    <w:p>
      <w:pPr>
        <w:spacing w:after="60" w:before="200"/>
        <w:ind w:left="431"/>
        <w:jc w:val="left"/>
      </w:pPr>
      <w:r>
        <w:rPr>
          <w:rFonts w:ascii="Courier New" w:cs="Courier New" w:eastAsia="Courier New" w:hAnsi="Courier New"/>
          <w:b/>
          <w:bCs/>
          <w:color w:val="1B2A4A"/>
          <w:sz w:val="18"/>
          <w:szCs w:val="18"/>
        </w:rPr>
        <w:t xml:space="preserve">§19.7.a  </w:t>
      </w:r>
      <w:r>
        <w:rPr>
          <w:rFonts w:ascii="Garamond" w:cs="Garamond" w:eastAsia="Garamond" w:hAnsi="Garamond"/>
          <w:b/>
          <w:bCs/>
          <w:i w:val="false"/>
          <w:iCs w:val="false"/>
          <w:color w:val="1B2A4A"/>
          <w:sz w:val="22"/>
          <w:szCs w:val="22"/>
        </w:rPr>
        <w:t xml:space="preserve">Transition-Period Territorial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Territories or subdivisions meeting the §13.2 Competency Baseline by Phase 2 end may petition to enter as State or Territory. Those failing the Baseline enter as Territory under §13.1 and may begin the Statehood Audit immediately. Any territory may choose Territory status by simple legislative vote regardless of whether it meets the Statehood Baseline.</w:t>
      </w:r>
    </w:p>
    <w:p>
      <w:pPr>
        <w:spacing w:after="60" w:before="200"/>
        <w:ind w:left="431"/>
        <w:jc w:val="left"/>
      </w:pPr>
      <w:r>
        <w:rPr>
          <w:rFonts w:ascii="Courier New" w:cs="Courier New" w:eastAsia="Courier New" w:hAnsi="Courier New"/>
          <w:b/>
          <w:bCs/>
          <w:color w:val="1B2A4A"/>
          <w:sz w:val="18"/>
          <w:szCs w:val="18"/>
        </w:rPr>
        <w:t xml:space="preserve">§19.7.b  </w:t>
      </w:r>
      <w:r>
        <w:rPr>
          <w:rFonts w:ascii="Garamond" w:cs="Garamond" w:eastAsia="Garamond" w:hAnsi="Garamond"/>
          <w:b/>
          <w:bCs/>
          <w:i w:val="false"/>
          <w:iCs w:val="false"/>
          <w:color w:val="1B2A4A"/>
          <w:sz w:val="22"/>
          <w:szCs w:val="22"/>
        </w:rPr>
        <w:t xml:space="preserve">Subdivision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Prior government states or territories may voluntarily subdivide during the Transition Window by vote of their existing legislative body. New subdivisions are treated as separate petitioning entities for §19.7.a purposes. Legislature must establish by statute the subdivision recognition process.</w:t>
      </w:r>
    </w:p>
    <w:p>
      <w:pPr>
        <w:spacing w:after="60" w:before="200"/>
        <w:ind w:left="431"/>
        <w:jc w:val="left"/>
      </w:pPr>
      <w:r>
        <w:rPr>
          <w:rFonts w:ascii="Courier New" w:cs="Courier New" w:eastAsia="Courier New" w:hAnsi="Courier New"/>
          <w:b/>
          <w:bCs/>
          <w:color w:val="1B2A4A"/>
          <w:sz w:val="18"/>
          <w:szCs w:val="18"/>
        </w:rPr>
        <w:t xml:space="preserve">§19.7.c  </w:t>
      </w:r>
      <w:r>
        <w:rPr>
          <w:rFonts w:ascii="Garamond" w:cs="Garamond" w:eastAsia="Garamond" w:hAnsi="Garamond"/>
          <w:b/>
          <w:bCs/>
          <w:i w:val="false"/>
          <w:iCs w:val="false"/>
          <w:color w:val="1B2A4A"/>
          <w:sz w:val="22"/>
          <w:szCs w:val="22"/>
        </w:rPr>
        <w:t xml:space="preserve">Phase 2 Statehood Audit Failures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state fails the Phase 2 Statehood Audit, it enters as a Territory under §13.1 rather than a State. Its population retains all Article I rights. Territory residents from failed-audit states participate in first House elections proportionally. Audit failure does not disenfranchise the population.</w:t>
      </w:r>
    </w:p>
    <w:p>
      <w:pPr>
        <w:spacing w:after="60" w:before="200"/>
        <w:ind w:left="431"/>
        <w:jc w:val="left"/>
      </w:pPr>
      <w:r>
        <w:rPr>
          <w:rFonts w:ascii="Courier New" w:cs="Courier New" w:eastAsia="Courier New" w:hAnsi="Courier New"/>
          <w:b/>
          <w:bCs/>
          <w:color w:val="1B2A4A"/>
          <w:sz w:val="18"/>
          <w:szCs w:val="18"/>
        </w:rPr>
        <w:t xml:space="preserve">§19.7.d  </w:t>
      </w:r>
      <w:r>
        <w:rPr>
          <w:rFonts w:ascii="Garamond" w:cs="Garamond" w:eastAsia="Garamond" w:hAnsi="Garamond"/>
          <w:b/>
          <w:bCs/>
          <w:i w:val="false"/>
          <w:iCs w:val="false"/>
          <w:color w:val="1B2A4A"/>
          <w:sz w:val="22"/>
          <w:szCs w:val="22"/>
        </w:rPr>
        <w:t xml:space="preserve">Pre-Existing Territories and the District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prior government territories that have not achieved statehood by Day Zero enter as Territories from Phase 4 activation — without undergoing Phase 2 Statehood Audits, beginning the standard §13.2 Statehood Audit process after Phase 4. Any capital district or special administrative region that was neither a state nor standard territory is assigned Territory status and follows the §13.2 path.</w:t>
      </w:r>
    </w:p>
    <w:p>
      <w:pPr>
        <w:spacing w:after="60" w:before="200"/>
        <w:ind w:left="431"/>
        <w:jc w:val="left"/>
      </w:pPr>
      <w:r>
        <w:rPr>
          <w:rFonts w:ascii="Courier New" w:cs="Courier New" w:eastAsia="Courier New" w:hAnsi="Courier New"/>
          <w:b/>
          <w:bCs/>
          <w:color w:val="1B2A4A"/>
          <w:sz w:val="18"/>
          <w:szCs w:val="18"/>
        </w:rPr>
        <w:t xml:space="preserve">§19.8  </w:t>
      </w:r>
      <w:r>
        <w:rPr>
          <w:rFonts w:ascii="Garamond" w:cs="Garamond" w:eastAsia="Garamond" w:hAnsi="Garamond"/>
          <w:b/>
          <w:bCs/>
          <w:i w:val="false"/>
          <w:iCs w:val="false"/>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panel assembles the initial Candidate Registers for all constitutionally established positions before Phase 3 elections can occur. Without populated registers, the elections cannot proceed — the Registers are a constitutional prerequisite for the democratic machinery to activate. The panel's role here is transitional: it performs the register-assembly and vetting function that the permanent Inspectorates will assume after Phase 4. Registers assembled by the panel carry full constitutional validity; the Legislature ratifies and continues them through the first budget cycle after Phase 4 activation.</w:t>
      </w:r>
    </w:p>
    <w:p>
      <w:pPr>
        <w:spacing w:after="60" w:before="200"/>
        <w:ind w:left="431"/>
        <w:jc w:val="left"/>
      </w:pPr>
      <w:r>
        <w:rPr>
          <w:rFonts w:ascii="Courier New" w:cs="Courier New" w:eastAsia="Courier New" w:hAnsi="Courier New"/>
          <w:b/>
          <w:bCs/>
          <w:color w:val="1B2A4A"/>
          <w:sz w:val="18"/>
          <w:szCs w:val="18"/>
        </w:rPr>
        <w:t xml:space="preserve">§19.8.a  </w:t>
      </w:r>
      <w:r>
        <w:rPr>
          <w:rFonts w:ascii="Garamond" w:cs="Garamond" w:eastAsia="Garamond" w:hAnsi="Garamond"/>
          <w:b/>
          <w:bCs/>
          <w:i w:val="false"/>
          <w:iCs w:val="false"/>
          <w:color w:val="1B2A4A"/>
          <w:sz w:val="22"/>
          <w:szCs w:val="22"/>
        </w:rPr>
        <w:t xml:space="preserve">Initial Register Assembly</w:t>
      </w:r>
    </w:p>
    <w:p>
      <w:pPr>
        <w:spacing w:after="120" w:before="0"/>
        <w:ind w:left="431"/>
        <w:jc w:val="both"/>
      </w:pPr>
      <w:r>
        <w:rPr>
          <w:rFonts w:ascii="Garamond" w:cs="Garamond" w:eastAsia="Garamond" w:hAnsi="Garamond"/>
          <w:b w:val="false"/>
          <w:bCs w:val="false"/>
          <w:i w:val="false"/>
          <w:iCs w:val="false"/>
          <w:color w:val="2a2520"/>
          <w:sz w:val="22"/>
          <w:szCs w:val="22"/>
        </w:rPr>
        <w:t xml:space="preserve">During Phase 2, the joint Inspectorate panel assembles an initial Candidate Register for the MA board members and RSA Director. Panel receives disclosure records, reviews factual accuracy, applies constitutional eligibility criteria, and publishes with recommendations to NRS. May draw on prior government, international, and diaspora expertise where domestic expertise is unavailable or compromised.</w:t>
      </w:r>
    </w:p>
    <w:p>
      <w:pPr>
        <w:spacing w:after="60" w:before="200"/>
        <w:ind w:left="431"/>
        <w:jc w:val="left"/>
      </w:pPr>
      <w:r>
        <w:rPr>
          <w:rFonts w:ascii="Courier New" w:cs="Courier New" w:eastAsia="Courier New" w:hAnsi="Courier New"/>
          <w:b/>
          <w:bCs/>
          <w:color w:val="1B2A4A"/>
          <w:sz w:val="18"/>
          <w:szCs w:val="18"/>
        </w:rPr>
        <w:t xml:space="preserve">§19.8.b  </w:t>
      </w:r>
      <w:r>
        <w:rPr>
          <w:rFonts w:ascii="Garamond" w:cs="Garamond" w:eastAsia="Garamond" w:hAnsi="Garamond"/>
          <w:b/>
          <w:bCs/>
          <w:i w:val="false"/>
          <w:iCs w:val="false"/>
          <w:color w:val="1B2A4A"/>
          <w:sz w:val="22"/>
          <w:szCs w:val="22"/>
        </w:rPr>
        <w:t xml:space="preserve">Interim Functions and First Nomination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panel performs interim MA fiscal certification functions from Phase 4 activation until the first MA Director takes office following the Phase 3 election. These interim certifications carry full constitutional weight. The first PM must nominate MA board members within 90 days of Phase 4 activation and an RSA Director within 180 days.</w:t>
      </w:r>
    </w:p>
    <w:p>
      <w:pPr>
        <w:spacing w:after="60" w:before="200"/>
        <w:ind w:left="431"/>
        <w:jc w:val="left"/>
      </w:pPr>
      <w:r>
        <w:rPr>
          <w:rFonts w:ascii="Courier New" w:cs="Courier New" w:eastAsia="Courier New" w:hAnsi="Courier New"/>
          <w:b/>
          <w:bCs/>
          <w:color w:val="1B2A4A"/>
          <w:sz w:val="18"/>
          <w:szCs w:val="18"/>
        </w:rPr>
        <w:t xml:space="preserve">§19.9  </w:t>
      </w:r>
      <w:r>
        <w:rPr>
          <w:rFonts w:ascii="Garamond" w:cs="Garamond" w:eastAsia="Garamond" w:hAnsi="Garamond"/>
          <w:b/>
          <w:bCs/>
          <w:i w:val="false"/>
          <w:iCs w:val="false"/>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ratifying polity's predecessor government has documented constitutional violations — systematic rights abuses, documented atrocities — the Republic may establish a Transitional Accountability Mechanism by statute. The TAM is time-limited, non-criminal (it cannot impose criminal sentences), and subject to NRS publication. It is the constitutional answer to how a new Republic deals with the wrongs of what it replaced.</w:t>
      </w:r>
    </w:p>
    <w:p>
      <w:pPr>
        <w:spacing w:after="60" w:before="200"/>
        <w:ind w:left="431"/>
        <w:jc w:val="left"/>
      </w:pPr>
      <w:r>
        <w:rPr>
          <w:rFonts w:ascii="Courier New" w:cs="Courier New" w:eastAsia="Courier New" w:hAnsi="Courier New"/>
          <w:b/>
          <w:bCs/>
          <w:color w:val="1B2A4A"/>
          <w:sz w:val="18"/>
          <w:szCs w:val="18"/>
        </w:rPr>
        <w:t xml:space="preserve">§19.9.a  </w:t>
      </w:r>
      <w:r>
        <w:rPr>
          <w:rFonts w:ascii="Garamond" w:cs="Garamond" w:eastAsia="Garamond" w:hAnsi="Garamond"/>
          <w:b/>
          <w:bCs/>
          <w:i w:val="false"/>
          <w:iCs w:val="false"/>
          <w:color w:val="1B2A4A"/>
          <w:sz w:val="22"/>
          <w:szCs w:val="22"/>
        </w:rPr>
        <w:t xml:space="preserve">TAM Establishment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Transitional Accountability Mechanism investigates, documents, and recommends remedies for serious violations committed by predecessor government entities during the period before ratification. Its jurisdiction is bounded to predecessor-era conduct — it does not adjudicate Republic-era acts, which fall to ordinary courts. Findings are published to the NRS and may recommend criminal referrals, institutional restructuring, or reparative measures, but carry no binding force.</w:t>
      </w:r>
    </w:p>
    <w:p>
      <w:pPr>
        <w:spacing w:after="60" w:before="200"/>
        <w:ind w:left="431"/>
        <w:jc w:val="left"/>
      </w:pPr>
      <w:r>
        <w:rPr>
          <w:rFonts w:ascii="Courier New" w:cs="Courier New" w:eastAsia="Courier New" w:hAnsi="Courier New"/>
          <w:b/>
          <w:bCs/>
          <w:color w:val="1B2A4A"/>
          <w:sz w:val="18"/>
          <w:szCs w:val="18"/>
        </w:rPr>
        <w:t xml:space="preserve">§19.9.b  </w:t>
      </w:r>
      <w:r>
        <w:rPr>
          <w:rFonts w:ascii="Garamond" w:cs="Garamond" w:eastAsia="Garamond" w:hAnsi="Garamond"/>
          <w:b/>
          <w:bCs/>
          <w:i w:val="false"/>
          <w:iCs w:val="false"/>
          <w:color w:val="1B2A4A"/>
          <w:sz w:val="22"/>
          <w:szCs w:val="22"/>
        </w:rPr>
        <w:t xml:space="preserve">TAM Amendment and Successor Bar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establishing statute and any amendments to it require the same 2/3 majority of both chambers as the original statute. No amendment may expand the Mechanism's subject matter scope beyond the scope defined in the establishing statute.</w:t>
      </w:r>
    </w:p>
    <w:p>
      <w:pPr>
        <w:spacing w:after="60" w:before="200"/>
        <w:ind w:left="431"/>
        <w:jc w:val="left"/>
      </w:pPr>
      <w:r>
        <w:rPr>
          <w:rFonts w:ascii="Courier New" w:cs="Courier New" w:eastAsia="Courier New" w:hAnsi="Courier New"/>
          <w:b/>
          <w:bCs/>
          <w:color w:val="1B2A4A"/>
          <w:sz w:val="18"/>
          <w:szCs w:val="18"/>
        </w:rPr>
        <w:t xml:space="preserve">§19.9.c  </w:t>
      </w:r>
      <w:r>
        <w:rPr>
          <w:rFonts w:ascii="Garamond" w:cs="Garamond" w:eastAsia="Garamond" w:hAnsi="Garamond"/>
          <w:b/>
          <w:bCs/>
          <w:i w:val="false"/>
          <w:iCs w:val="false"/>
          <w:color w:val="1B2A4A"/>
          <w:sz w:val="22"/>
          <w:szCs w:val="22"/>
        </w:rPr>
        <w:t xml:space="preserve">TAM Jurisdiction and Publication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Mechanism may not exercise criminal jurisdiction — that remains with the courts. The Mechanism may not issue orders whose practical effect is equivalent to criminal punishment, including mandatory prosecution referrals with binding recommendations, civil penalties exceeding the MA-defined threshold for criminal fine equivalence, or reputational orders without evidentiary hearing rights equivalent to criminal procedure. The Mechanism may publish only finalized findings — findings that have completed the evidentiary process specified in the establishing statute. Preliminary assessments, interim findings, and draft determinations may not be published to the NRS under the Mechanism's authority.</w:t>
      </w:r>
    </w:p>
    <w:p>
      <w:pPr>
        <w:spacing w:after="60" w:before="200"/>
        <w:ind w:left="431"/>
        <w:jc w:val="left"/>
      </w:pPr>
      <w:r>
        <w:rPr>
          <w:rFonts w:ascii="Courier New" w:cs="Courier New" w:eastAsia="Courier New" w:hAnsi="Courier New"/>
          <w:b/>
          <w:bCs/>
          <w:color w:val="1B2A4A"/>
          <w:sz w:val="18"/>
          <w:szCs w:val="18"/>
        </w:rPr>
        <w:t xml:space="preserve">§19.9.d  </w:t>
      </w:r>
      <w:r>
        <w:rPr>
          <w:rFonts w:ascii="Garamond" w:cs="Garamond" w:eastAsia="Garamond" w:hAnsi="Garamond"/>
          <w:b/>
          <w:bCs/>
          <w:i w:val="false"/>
          <w:iCs w:val="false"/>
          <w:color w:val="1B2A4A"/>
          <w:sz w:val="22"/>
          <w:szCs w:val="22"/>
        </w:rPr>
        <w:t xml:space="preserve">TAM Sunset and Rationale</w:t>
      </w:r>
    </w:p>
    <w:p>
      <w:pPr>
        <w:spacing w:after="120" w:before="0"/>
        <w:ind w:left="431"/>
        <w:jc w:val="both"/>
      </w:pPr>
      <w:r>
        <w:rPr>
          <w:rFonts w:ascii="Garamond" w:cs="Garamond" w:eastAsia="Garamond" w:hAnsi="Garamond"/>
          <w:b w:val="false"/>
          <w:bCs w:val="false"/>
          <w:i w:val="false"/>
          <w:iCs w:val="false"/>
          <w:color w:val="2a2520"/>
          <w:sz w:val="22"/>
          <w:szCs w:val="22"/>
        </w:rPr>
        <w:t xml:space="preserve">At sunset the Mechanism dissolves; its NRS record is permanent. The Legislature may not extend the Mechanism beyond its statutory sunset without a fresh 2/3 supermajority in both chambers; extension is not a renewal and does not reset the ten-year successor bar under §19.9.b.</w:t>
      </w:r>
    </w:p>
    <w:p>
      <w:pPr>
        <w:spacing w:after="60" w:before="200"/>
        <w:jc w:val="left"/>
      </w:pPr>
      <w:r>
        <w:rPr>
          <w:rFonts w:ascii="Garamond" w:cs="Garamond" w:eastAsia="Garamond" w:hAnsi="Garamond"/>
          <w:b/>
          <w:bCs/>
          <w:i w:val="false"/>
          <w:iCs w:val="false"/>
          <w:color w:val="1B2A4A"/>
          <w:sz w:val="34"/>
          <w:szCs w:val="34"/>
        </w:rPr>
        <w:t xml:space="preserve">Article XX — Associated Communities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§20.1  </w:t>
      </w:r>
      <w:r>
        <w:rPr>
          <w:rFonts w:ascii="Garamond" w:cs="Garamond" w:eastAsia="Garamond" w:hAnsi="Garamond"/>
          <w:b/>
          <w:bCs/>
          <w:i w:val="false"/>
          <w:iCs w:val="false"/>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Exclusively for sovereign entities — not a form of State or Territory status, not transitional, not incorporation. Available to nations that have completed the independence process under §15.4.a and §13.4, to independent nations outside the Republic seeking a defined relationship, or to nations recognised as pre-existing sovereigns under Article XIV.</w:t>
      </w:r>
    </w:p>
    <w:p>
      <w:pPr>
        <w:spacing w:after="60" w:before="200"/>
        <w:ind w:left="431"/>
        <w:jc w:val="left"/>
      </w:pPr>
      <w:r>
        <w:rPr>
          <w:rFonts w:ascii="Courier New" w:cs="Courier New" w:eastAsia="Courier New" w:hAnsi="Courier New"/>
          <w:b/>
          <w:bCs/>
          <w:color w:val="1B2A4A"/>
          <w:sz w:val="18"/>
          <w:szCs w:val="18"/>
        </w:rPr>
        <w:t xml:space="preserve">§20.2  </w:t>
      </w:r>
      <w:r>
        <w:rPr>
          <w:rFonts w:ascii="Garamond" w:cs="Garamond" w:eastAsia="Garamond" w:hAnsi="Garamond"/>
          <w:b/>
          <w:bCs/>
          <w:i w:val="false"/>
          <w:iCs w:val="false"/>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Equal parties; neither constitutionally superior. Observing delegates attend House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1B2A4A"/>
          <w:sz w:val="18"/>
          <w:szCs w:val="18"/>
        </w:rPr>
        <w:t xml:space="preserve">§20.3  </w:t>
      </w:r>
      <w:r>
        <w:rPr>
          <w:rFonts w:ascii="Garamond" w:cs="Garamond" w:eastAsia="Garamond" w:hAnsi="Garamond"/>
          <w:b/>
          <w:bCs/>
          <w:i w:val="false"/>
          <w:iCs w:val="false"/>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compact may be entered or ratified with any entity whose governance practices include, authorise, or systematically permit violations of any of the six non-derogable rights established in §1.26.b to any person within its jurisdiction. The Judicial Inspectorate certifies compliance with this condition before parliamentary ratification of any compact; a compact negotiated with a non-compliant entity is void regardless of parliamentary ratification. The JI conducts annual compliance reviews and publishes findings to the NRS. Where the JI finds systematic violations of the Article I unamendable prohibitions, the compact is suspended pending Supreme Court review. The Court may terminate the compact on confirmed systematic violations without remediation within a period the Legislature defines by statute. Economic value of the compact relationship is not a factor in JI certification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JI publishes its certification finding. During suspension, both parties' obligations under the compact continue in effect pending the SC's determination; the Associated Community's observer delegate rights are suspended for the duration of the review.</w:t>
      </w:r>
    </w:p>
    <w:p>
      <w:pPr>
        <w:spacing w:after="60" w:before="200"/>
        <w:ind w:left="431"/>
        <w:jc w:val="left"/>
      </w:pPr>
      <w:r>
        <w:rPr>
          <w:rFonts w:ascii="Courier New" w:cs="Courier New" w:eastAsia="Courier New" w:hAnsi="Courier New"/>
          <w:b/>
          <w:bCs/>
          <w:color w:val="1B2A4A"/>
          <w:sz w:val="18"/>
          <w:szCs w:val="18"/>
        </w:rPr>
        <w:t xml:space="preserve">§20.4  </w:t>
      </w:r>
      <w:r>
        <w:rPr>
          <w:rFonts w:ascii="Garamond" w:cs="Garamond" w:eastAsia="Garamond" w:hAnsi="Garamond"/>
          <w:b/>
          <w:bCs/>
          <w:i w:val="false"/>
          <w:iCs w:val="false"/>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Republic receives written notice of termination,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1B2A4A"/>
          <w:sz w:val="18"/>
          <w:szCs w:val="18"/>
        </w:rPr>
        <w:t xml:space="preserve">§20.5  </w:t>
      </w:r>
      <w:r>
        <w:rPr>
          <w:rFonts w:ascii="Garamond" w:cs="Garamond" w:eastAsia="Garamond" w:hAnsi="Garamond"/>
          <w:b/>
          <w:bCs/>
          <w:i w:val="false"/>
          <w:iCs w:val="false"/>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1B2A4A"/>
          <w:sz w:val="18"/>
          <w:szCs w:val="18"/>
        </w:rPr>
        <w:t xml:space="preserve">§20.6  </w:t>
      </w:r>
      <w:r>
        <w:rPr>
          <w:rFonts w:ascii="Garamond" w:cs="Garamond" w:eastAsia="Garamond" w:hAnsi="Garamond"/>
          <w:b/>
          <w:bCs/>
          <w:i w:val="false"/>
          <w:iCs w:val="false"/>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with an Associated Community requires Senate ratification by 2/3 of full seated membership, consistent with the treaty ratification threshold under §3.2.e. Both executives must transmit the proposed compact to the Senate simultaneously with a joint assessment of its consistency with this Article. The JI certification under §20.3 must be published to the NRS before the Senate may hold a ratification vote.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1B2A4A"/>
          <w:sz w:val="18"/>
          <w:szCs w:val="18"/>
        </w:rPr>
        <w:t xml:space="preserve">§20.7  </w:t>
      </w:r>
      <w:r>
        <w:rPr>
          <w:rFonts w:ascii="Garamond" w:cs="Garamond" w:eastAsia="Garamond" w:hAnsi="Garamond"/>
          <w:b/>
          <w:bCs/>
          <w:i w:val="false"/>
          <w:iCs w:val="false"/>
          <w:color w:val="1B2A4A"/>
          <w:sz w:val="22"/>
          <w:szCs w:val="22"/>
        </w:rPr>
        <w:t xml:space="preserve">Compact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6" w:space="6"/>
      </w:pBdr>
      <w:tabs>
        <w:tab w:val="right" w:pos="9026"/>
      </w:tabs>
      <w:spacing w:before="120"/>
    </w:pPr>
    <w:r>
      <w:rPr>
        <w:rFonts w:ascii="Courier New" w:cs="Courier New" w:eastAsia="Courier New" w:hAnsi="Courier New"/>
        <w:b w:val="false"/>
        <w:bCs w:val="false"/>
        <w:color w:val="7a7060"/>
        <w:sz w:val="16"/>
        <w:szCs w:val="16"/>
      </w:rPr>
      <w:t xml:space="preserve">thefederatedrepublic.org</w:t>
    </w:r>
    <w:r>
      <w:rPr>
        <w:rFonts w:ascii="Courier New" w:cs="Courier New" w:eastAsia="Courier New" w:hAnsi="Courier New"/>
        <w:sz w:val="16"/>
        <w:szCs w:val="16"/>
      </w:rPr>
      <w:t xml:space="preserve">	</w:t>
    </w:r>
    <w:r>
      <w:rPr>
        <w:rFonts w:ascii="Courier New" w:cs="Courier New" w:eastAsia="Courier New" w:hAnsi="Courier New"/>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6"/>
      </w:pBdr>
      <w:spacing w:after="120"/>
    </w:pPr>
    <w:r>
      <w:rPr>
        <w:rFonts w:ascii="Courier New" w:cs="Courier New" w:eastAsia="Courier New" w:hAnsi="Courier New"/>
        <w:b w:val="false"/>
        <w:bCs w:val="false"/>
        <w:color w:val="7a706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94051c31ef06174dbc68ab8e9916156b6af92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2026-05-21T22:57:09.710Z</dcterms:created>
  <dcterms:modified xsi:type="dcterms:W3CDTF">2026-05-21T22:57:09.710Z</dcterms:modified>
</cp:coreProperties>
</file>

<file path=docProps/custom.xml><?xml version="1.0" encoding="utf-8"?>
<Properties xmlns="http://schemas.openxmlformats.org/officeDocument/2006/custom-properties" xmlns:vt="http://schemas.openxmlformats.org/officeDocument/2006/docPropsVTypes"/>
</file>