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recognising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favour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Labour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labour are absolutely prohibited. Lawfully imposed prison labour and compulsory military service under the terms established by statute do not constitute forced labour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penalise expression through intermediaries it controls or pressures.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authorisation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authorisation.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self-defence is recognised. States may establish licensing and safety frameworks. No government may enact a categorical prohibition on the civilian ownership of arms. The Legislature and States may regulate the type, transfer, and carry of arms subject to the requirement that lawful ownership for self-defence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defence;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licences.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extend an emergency measure by re-declaration within 60 days of its expiry, or at all unless a 2/3 majority certifies continued necessity.</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The President directs foreign intelligence. No intelligence operation may be conducted against Republic citizens within Republic territory on the President's authority; such operations require independent judicial authorisation. The EI reports any order authorising domestic intelligence operations without judicial authorisation to the NRS. Veto: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Trade: 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Appointments: The President nominates senior domain officers — Director of Intelligence, Secretary for Foreign Affairs, Secretary for Defense — from a pool of qualified candidates maintained by the Elections Panel.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 Domain conflict: where domain of a proposed action is disputed, the JEC under §2.14 is the first forum. Pending resolution, the PM's residual authority governs except for matters expressly enumerated in §2.1. During active military operations, the President's domain governs operational decisions; either executive may petition the SC for an expedited domain determination.</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be eligible, a person must have held citizenship for the period established by statute.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Term limits: no person may serve more than 8 consecutive years as PM, and no more than 12 years in total across all periods of service. Both limits operate simultaneously; the stricter governs at any given moment. Formation: the House elects the PM by absolute majority within the period defined by statute following any general election or vacancy. If the House does not elect a PM within that period, the most senior confirmed Cabinet Minister continues as Caretaker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two instruments for engaging the Legislature on enacted bills. Suspensive Veto: 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Fiscal Objection: the PM may object on specific solvency grounds — the bill would cause or materially worsen a structural deficit. Requires MA assessment; the House may override by simple majority after receiving the assessment. Silence: if the PM neither signs nor objects within the legislative review period, the bill is enacted. Silence is not a veto. Review period: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Authority transfers in order: (1) Senate Speaker; (2) Senate Deputy Speaker; (3) most senior member of the Senate Armed Services Committee. A successor serves the remainder of the current presidential term; service by succession does not consume the successor's own eligibility to stand at the next election. Temporary incapacity: where the President is unable to exercise authority, the EI and LI jointly assess capacity and, on joint certification, Acting Presidential Authority transfers to the Senate Speaker without vacating the Speaker's Senate seat. Acting authority ends when the President publishes a restoration declaration to the NRS. Where Acting Presidential Authority extends beyond the period defined by statute, the Inspectorates reassess; on joint certification of permanent incapacity, full succession activates.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All Senate emergency actions require co-signature of the Caretaker PM and are published to the NRS. This authority expires automatically when a new House is seated. In catastrophic circumstances where the Legislature cannot convene, expedited activation is available on joint certification by the Caretaker PM and the most senior available SC justice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Legislative track: 2/3 of both chambers simultaneously, following joint LI and EI certification of constitutional breach, demonstrated permanent incapacity, or conviction for a disqualifying offense. Popular track: a Senate majority may refer the question to a national recall referendum administered within the period defined by statute. The President is removed if the referendum achieves the affirmative threshold and participation level defined by statute. A failed referendum may not be re-initiated within the same presidential term. The Senate Speaker holds Acting Presidential Authority from the date of Senate referral until referendum certification, without vacating their Senate seat.</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concurrence makes the designation effective and it is published to the NRS immediately with both executives' attributed positions; objection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partisan registration data, voting history data, incumbent residence, or racial composition as a primary criterion. The LI reviews all maps for compliance and publishes findings to the NRS. Where a map fails, the Elections Panel of the Digital Infrastructure Commission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Single-subject rule: every bill must address a single, clearly defined subject. A court finding that a bill addresses multiple unrelated subjects voids the act. Bill exposure: the full text of every bill must be published to the NRS for a minimum period defined by statute before any final passage vote; a substantially amended bill resets the clock. Session: the Legislature must sit for a minimum number of days per year defined by statute; emergency sessions may be called by the PM or by petition of 1/3 of either chamber. Ethics: members must disclose all financial interests to the EI. The Legislature may establish a joint ethics committee with authority to sanction and refer members; removal requires 2/3 of the relevant chamber following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sessions as Speaker without sitting out one session. The Senate defines its own internal procedures. Standing committees must maintain balanced composition; no party may hold all seats on any standing committee.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Treaty withdrawal: the President initiates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presiding officer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tied to constitutional rights,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statutory agencies operating independently of both executives. Where this constitution assigns a function to a statutory agency, the Legislature must establish it; the relevant Inspectorate administers the function on an interim basis until the agency is established. Agency officers hold fixed terms and are nominated from a JI-maintained registry of qualified candidates; the PM nominates from that registry and Senate confirms. Removal requires a for-cause finding published by the JI and a 2/3 vote of both chambers; neither executive may unilaterally remove an independent agency officer.</w:t>
      </w:r>
    </w:p>
    <w:p>
      <w:pPr>
        <w:spacing w:after="60" w:before="200"/>
        <w:ind w:left="431"/>
        <w:jc w:val="left"/>
      </w:pPr>
      <w:r>
        <w:rPr>
          <w:rFonts w:ascii="Courier New" w:cs="Courier New" w:eastAsia="Courier New" w:hAnsi="Courier New"/>
          <w:b/>
          <w:bCs/>
          <w:color w:val="1B2A4A"/>
          <w:sz w:val="18"/>
          <w:szCs w:val="18"/>
        </w:rPr>
        <w:t xml:space="preserve">§3.9.a  </w:t>
      </w:r>
      <w:r>
        <w:rPr>
          <w:rFonts w:ascii="Garamond" w:cs="Garamond" w:eastAsia="Garamond" w:hAnsi="Garamond"/>
          <w:b/>
          <w:bCs/>
          <w:color w:val="1B2A4A"/>
          <w:sz w:val="22"/>
          <w:szCs w:val="22"/>
        </w:rPr>
        <w:t xml:space="preserve">Independent Officer Removal — Judicial Track</w:t>
      </w:r>
    </w:p>
    <w:p>
      <w:pPr>
        <w:spacing w:after="120" w:before="0"/>
        <w:ind w:left="431"/>
        <w:jc w:val="both"/>
      </w:pPr>
      <w:r>
        <w:rPr>
          <w:rFonts w:ascii="Garamond" w:cs="Garamond" w:eastAsia="Garamond" w:hAnsi="Garamond"/>
          <w:b w:val="false"/>
          <w:bCs w:val="false"/>
          <w:i w:val="false"/>
          <w:iCs w:val="false"/>
          <w:color w:val="2a2520"/>
          <w:sz w:val="22"/>
          <w:szCs w:val="22"/>
        </w:rPr>
        <w:t xml:space="preserve">For independent statutory officers, the Judicial Track under §8.15 is available where standard legislative removal appears unreachable due to political gridlock. Two of the three Inspectorates jointly certify for-cause grounds and petition the SC; the process then follows §8.15 Judicial Track in full.</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§4.2;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House may establish, abolish, and define the jurisdiction of inferior courts by statute. States may maintain specialised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The Legislature defines qualifications for inferior court judges by statute; the JI certifies eligibility of each pool applicant against those qualifications. The PM must nominate within the period defined by statute following a vacancy. The Senate confirms by a supermajority defined by statute.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organised into three staggered classes, each serving a single non-renewable 12-year term. The Legislature may increase the number of justices by statute requiring 2/3 of both chambers; any seat added must be filled within 18 months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under §8.4.e — any eligible citizen who applies and meets the qualification criteria is entered. The PM nominates within the period defined by statute following a vacancy (not to exceed 90 days for scheduled vacancies, 60 days for mid-term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recognised across all jurisdictions within the Republic. A judgment valid in one jurisdiction must be recognised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recognised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labour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Children of citizens are Inhabitants from birth with full Article I protections; full citizenship rights activate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self-sufficiency or support guarantee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Where Gate 2 is denied on national security grounds, a reviewing court may examine the classified assessment in camera to determine whether it constitutes a credible, specific, and documented security concern.</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state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The Elections Panel of the Digital Infrastructure Commission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 except the presidential election which follows §7.2. The Legislature defines by statute the specific timing, duration, and structure of the federal electoral period within these constitutional floors. All federal elections, referenda, and confirmation votes are administered by the Elections Panel of the Digital Infrastructure Commission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authorisations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nominates the EI Inspector General, confirmed by Senate 2/3 supermajority with JI vetting — the executives are excluded, and the 2/3 threshold prevents confirmation without cross-party Senate support.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LI IG: nominated by the SC from a pool of qualified candidates maintained by the Elections Panel at the timeline defined by statute, sufficiently in advance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EI IG: nominated by the House from a pool of qualified candidates maintained by the Elections Panel at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JI IG: selected by public lottery under §8.13 from the JI Candidate Pool under §8.4.a maintained by the Elections Panel, conducted at the timeline defined by statute under §1.31;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defence.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authorised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prior fiscal year's funding level without a 2/3 vote of both chambers simultaneously. The Monetary Authority certifies each Inspectorate's prior-year funding level annually and publishes the certified floor to the NRS before the Legislature begins its annual budget process.</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 Generals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For the DIC Administrator Pool specifically, the JIC exercises enhanced oversight given the Elections Panel's administrative interest in its own membership pool: the JIC conducts quarterly review of pool health and certification accuracy; any JIC member may challenge the exclusion of any applicant and the Elections Panel must respond in writing within 14 days; and each pool entry requires joint certification published by the JIC alongside the relevant Inspectorate certification.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of the Digital Infrastructure Commission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Certification: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Selection by lottery: the Joint Inspectorate Council conducts the draw in a public session, certifies the result jointly, and publishes it to the NRS. Selection by deliberate nomination: the named officer nominates from certified pool members. Confirmation where required: the Senate must act within the period defined by the establishing provision; failure to confirm within that period is a constitutional compliance breach certified by the LI. Pool health: the JI monitors all constitutional pools annually and publishes a status report; where a pool falls below its constitutional minimum, the relevant nominating bodies must respond within 30 days.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fulfils through: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referendum at the §15.1 Path C thresholds.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authorisation.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90 days of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Consequences: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recognised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Path B or Path C constitutional amendment — Path A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defence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Parliamentary Amendment: A 2/3 supermajority of the full seated membership of both chambers proposes the amendment.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Two amendments may be simultaneously in ratification; where they conflict, the one ratified later in time prevails.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(Path A) or Elections Panel certification (Path B)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The Electoral Commission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Digital Infrastructure Commission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Digital Infrastructure Commission comprises two constitutionally independent panels — the NRS Panel and the Elections Panel — each responsible for the day-to-day operation of its respective system and for maintaining all constitutional candidate registries and pools within its mandate. The NRS Panel operates the National Record System. The Elections Panel operates the National Voting System and administers all federal elections, referenda, and confirmation votes. Each panel is operationally independent; neither panel may direct the other. The Legislature defines by statute the technical standards, interface requirements, budget, and operational parameters for each system; the panels implement within those statutory parameters. The Chair of each panel is its most senior administrator by continuous service within that panel; where two or more administrators have equal continuous service, the Chair is determined by lot conducted by the JIC. Each panel is independent of both executives and the Legislature in the exercise of its operational functions.</w:t>
      </w:r>
    </w:p>
    <w:p>
      <w:pPr>
        <w:spacing w:after="60" w:before="200"/>
        <w:ind w:left="431"/>
        <w:jc w:val="left"/>
      </w:pPr>
      <w:r>
        <w:rPr>
          <w:rFonts w:ascii="Courier New" w:cs="Courier New" w:eastAsia="Courier New" w:hAnsi="Courier New"/>
          <w:b/>
          <w:bCs/>
          <w:color w:val="1B2A4A"/>
          <w:sz w:val="18"/>
          <w:szCs w:val="18"/>
        </w:rPr>
        <w:t xml:space="preserve">§16.1.a  </w:t>
      </w:r>
      <w:r>
        <w:rPr>
          <w:rFonts w:ascii="Garamond" w:cs="Garamond" w:eastAsia="Garamond" w:hAnsi="Garamond"/>
          <w:b/>
          <w:bCs/>
          <w:i w:val="false"/>
          <w:iCs w:val="false"/>
          <w:color w:val="1B2A4A"/>
          <w:sz w:val="22"/>
          <w:szCs w:val="22"/>
        </w:rPr>
        <w:t xml:space="preserve">DIC Administrator Appointment and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DIC administrators from the DIC Administrator Pool maintained by the Elections Panel. The Senate confirms by 2/3 supermajority. Administrators serve a primary 8-year non-renewable term. The PM may grant a single 2-year extension to any administrator before their term expires where a genuine ongoing operational matter requires continuity — the extension and stated reasons must be published to the NRS; the JIC assesses the stated justification and publishes its assessment within 30 days. Extensions are not the constitutional norm; no administrator may serve more than 10 years in total. Within each panel, terms are staggered so that no more than one seat expires in any calendar year, ensuring a continuous seniority hierarchy for the Chair function. At establishment, initial terms within each panel are assigned by lot across three offset starting points — one full 8-year term, one initial term of approximately 5 years, and one initial term of approximately 3 years — creating an immediate seniority hierarchy within each panel from day one. NRS Panel administrators must hold at least 12 years of professional expertise in cryptography, distributed systems, or public records management. Elections Panel administrators must hold at least 12 years of professional expertise in elections administration or electoral technology. All administrators must hold no current or recent partisan affiliation.</w:t>
      </w:r>
    </w:p>
    <w:p>
      <w:pPr>
        <w:spacing w:after="60" w:before="200"/>
        <w:ind w:left="431"/>
        <w:jc w:val="left"/>
      </w:pPr>
      <w:r>
        <w:rPr>
          <w:rFonts w:ascii="Courier New" w:cs="Courier New" w:eastAsia="Courier New" w:hAnsi="Courier New"/>
          <w:b/>
          <w:bCs/>
          <w:color w:val="1B2A4A"/>
          <w:sz w:val="18"/>
          <w:szCs w:val="18"/>
        </w:rPr>
        <w:t xml:space="preserve">§16.1.c  </w:t>
      </w:r>
      <w:r>
        <w:rPr>
          <w:rFonts w:ascii="Garamond" w:cs="Garamond" w:eastAsia="Garamond" w:hAnsi="Garamond"/>
          <w:b/>
          <w:bCs/>
          <w:i w:val="false"/>
          <w:iCs w:val="false"/>
          <w:color w:val="1B2A4A"/>
          <w:sz w:val="22"/>
          <w:szCs w:val="22"/>
        </w:rPr>
        <w:t xml:space="preserve">Removal and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DIC administrator follows §8.15 Standard Track. The EI oversees each panel for executive accountability purposes. The JIC audits NRS operation and integrity compliance annually under §8.12; the JI audits Elections Panel operations and electoral integrity annually.</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DIC Accountability and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panel administrator seat becomes vacant mid-term, the PM nominates a replacement within 60 days and the Senate confirms within 90 days of the vacancy opening; failure to confirm within that period is a constitutional compliance breach. The replacement serves the remainder of the vacated term only. 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parties.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Candidates who receive impermissible contributions must report them within 10 days and either return them or have them treated as undisclosed.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shall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recognised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authorise,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(§4.1.c) and elected executives. Two removal tracks are available.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Judicial Track: Where two of the three Inspectorates jointly certify for-cause grounds and petition the SC, the SC determines within 30 days whether the certified grounds constitute sufficient cause for suspension; if cause is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Inspector Generals, DIC administrators, MA board members, and all other constitutionally confirmed independent officers. Provisions governing specific offices may cross-reference this section without restating its terms.</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