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40"/>
        <w:jc w:val="center"/>
      </w:pPr>
      <w:r>
        <w:rPr>
          <w:rFonts w:ascii="Garamond" w:cs="Garamond" w:eastAsia="Garamond" w:hAnsi="Garamond"/>
          <w:b w:val="false"/>
          <w:bCs w:val="false"/>
          <w:i w:val="false"/>
          <w:iCs w:val="false"/>
          <w:color w:val="1B2A4A"/>
          <w:sz w:val="52"/>
          <w:szCs w:val="52"/>
        </w:rPr>
        <w:t xml:space="preserve">THE FEDERATED REPUBLIC</w:t>
      </w:r>
    </w:p>
    <w:p>
      <w:pPr>
        <w:pBdr>
          <w:bottom w:val="single" w:color="C9A84C" w:sz="4" w:space="8"/>
        </w:pBdr>
        <w:spacing w:after="120" w:before="0"/>
        <w:jc w:val="center"/>
      </w:pPr>
      <w:r>
        <w:rPr>
          <w:rFonts w:ascii="Garamond" w:cs="Garamond" w:eastAsia="Garamond" w:hAnsi="Garamond"/>
          <w:b w:val="false"/>
          <w:bCs w:val="false"/>
          <w:i w:val="false"/>
          <w:iCs w:val="false"/>
          <w:color w:val="C9A84C"/>
          <w:sz w:val="36"/>
          <w:szCs w:val="36"/>
        </w:rPr>
        <w:t xml:space="preserve">CONSTITUTION</w:t>
      </w:r>
    </w:p>
    <w:p>
      <w:pPr>
        <w:spacing w:after="0" w:before="240"/>
        <w:jc w:val="center"/>
      </w:pPr>
      <w:r>
        <w:rPr>
          <w:rFonts w:ascii="Garamond" w:cs="Garamond" w:eastAsia="Garamond" w:hAnsi="Garamond"/>
          <w:b w:val="false"/>
          <w:bCs w:val="false"/>
          <w:i/>
          <w:iCs/>
          <w:color w:val="7a7060"/>
          <w:sz w:val="22"/>
          <w:szCs w:val="22"/>
        </w:rPr>
        <w:t xml:space="preserve">158 Provisions · 20 Articles</w:t>
      </w:r>
    </w:p>
    <w:p>
      <w:pPr>
        <w:spacing w:after="0" w:before="60"/>
        <w:jc w:val="center"/>
      </w:pPr>
      <w:r>
        <w:rPr>
          <w:rFonts w:ascii="Garamond" w:cs="Garamond" w:eastAsia="Garamond" w:hAnsi="Garamond"/>
          <w:b w:val="false"/>
          <w:bCs w:val="false"/>
          <w:i w:val="false"/>
          <w:iCs w:val="false"/>
          <w:color w:val="7a7060"/>
          <w:sz w:val="18"/>
          <w:szCs w:val="18"/>
        </w:rPr>
        <w:t xml:space="preserve">thefederatedrepublic.org</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 — Individual Sovereignty and Rights</w:t>
      </w:r>
    </w:p>
    <w:p>
      <w:pPr>
        <w:spacing w:after="60" w:before="200"/>
        <w:ind w:left="431"/>
        <w:jc w:val="left"/>
      </w:pPr>
      <w:r>
        <w:rPr>
          <w:rFonts w:ascii="Courier New" w:cs="Courier New" w:eastAsia="Courier New" w:hAnsi="Courier New"/>
          <w:b/>
          <w:bCs/>
          <w:color w:val="2a2a2a"/>
          <w:sz w:val="18"/>
          <w:szCs w:val="18"/>
        </w:rPr>
        <w:t xml:space="preserve">§1.1  </w:t>
      </w:r>
      <w:r>
        <w:rPr>
          <w:rFonts w:ascii="Garamond" w:cs="Garamond" w:eastAsia="Garamond" w:hAnsi="Garamond"/>
          <w:b w:val="false"/>
          <w:bCs w:val="false"/>
          <w:i/>
          <w:iCs/>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2a2a2a"/>
          <w:sz w:val="18"/>
          <w:szCs w:val="18"/>
        </w:rPr>
        <w:t xml:space="preserve">§1.2  </w:t>
      </w:r>
      <w:r>
        <w:rPr>
          <w:rFonts w:ascii="Garamond" w:cs="Garamond" w:eastAsia="Garamond" w:hAnsi="Garamond"/>
          <w:b w:val="false"/>
          <w:bCs w:val="false"/>
          <w:i/>
          <w:iCs/>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2a2a2a"/>
          <w:sz w:val="18"/>
          <w:szCs w:val="18"/>
        </w:rPr>
        <w:t xml:space="preserve">§1.3  </w:t>
      </w:r>
      <w:r>
        <w:rPr>
          <w:rFonts w:ascii="Garamond" w:cs="Garamond" w:eastAsia="Garamond" w:hAnsi="Garamond"/>
          <w:b w:val="false"/>
          <w:bCs w:val="false"/>
          <w:i/>
          <w:iCs/>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Torture and cruel, inhuman, or degrading treatment are absolutely prohibited. No person within the Republic's jurisdiction may be subjected to any such treatment. This right is non-derogable under §1.19.b.</w:t>
      </w:r>
    </w:p>
    <w:p>
      <w:pPr>
        <w:spacing w:after="60" w:before="200"/>
        <w:ind w:left="431"/>
        <w:jc w:val="left"/>
      </w:pPr>
      <w:r>
        <w:rPr>
          <w:rFonts w:ascii="Courier New" w:cs="Courier New" w:eastAsia="Courier New" w:hAnsi="Courier New"/>
          <w:b/>
          <w:bCs/>
          <w:color w:val="2a2a2a"/>
          <w:sz w:val="18"/>
          <w:szCs w:val="18"/>
        </w:rPr>
        <w:t xml:space="preserve">§1.4  </w:t>
      </w:r>
      <w:r>
        <w:rPr>
          <w:rFonts w:ascii="Garamond" w:cs="Garamond" w:eastAsia="Garamond" w:hAnsi="Garamond"/>
          <w:b w:val="false"/>
          <w:bCs w:val="false"/>
          <w:i/>
          <w:iCs/>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a2a"/>
          <w:sz w:val="22"/>
          <w:szCs w:val="22"/>
        </w:rPr>
        <w:t xml:space="preserve">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§1.19.b.</w:t>
      </w:r>
    </w:p>
    <w:p>
      <w:pPr>
        <w:spacing w:after="60" w:before="200"/>
        <w:ind w:left="431"/>
        <w:jc w:val="left"/>
      </w:pPr>
      <w:r>
        <w:rPr>
          <w:rFonts w:ascii="Courier New" w:cs="Courier New" w:eastAsia="Courier New" w:hAnsi="Courier New"/>
          <w:b/>
          <w:bCs/>
          <w:color w:val="2a2a2a"/>
          <w:sz w:val="18"/>
          <w:szCs w:val="18"/>
        </w:rPr>
        <w:t xml:space="preserve">§1.5  </w:t>
      </w:r>
      <w:r>
        <w:rPr>
          <w:rFonts w:ascii="Garamond" w:cs="Garamond" w:eastAsia="Garamond" w:hAnsi="Garamond"/>
          <w:b w:val="false"/>
          <w:bCs w:val="false"/>
          <w:i/>
          <w:iCs/>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2a2a2a"/>
          <w:sz w:val="18"/>
          <w:szCs w:val="18"/>
        </w:rPr>
        <w:t xml:space="preserve">§1.6  </w:t>
      </w:r>
      <w:r>
        <w:rPr>
          <w:rFonts w:ascii="Garamond" w:cs="Garamond" w:eastAsia="Garamond" w:hAnsi="Garamond"/>
          <w:b w:val="false"/>
          <w:bCs w:val="false"/>
          <w:i/>
          <w:iCs/>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2a2a2a"/>
          <w:sz w:val="18"/>
          <w:szCs w:val="18"/>
        </w:rPr>
        <w:t xml:space="preserve">§1.7  </w:t>
      </w:r>
      <w:r>
        <w:rPr>
          <w:rFonts w:ascii="Garamond" w:cs="Garamond" w:eastAsia="Garamond" w:hAnsi="Garamond"/>
          <w:b w:val="false"/>
          <w:bCs w:val="false"/>
          <w:i/>
          <w:iCs/>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a2a"/>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pPr>
        <w:spacing w:after="60" w:before="200"/>
        <w:ind w:left="431"/>
        <w:jc w:val="left"/>
      </w:pPr>
      <w:r>
        <w:rPr>
          <w:rFonts w:ascii="Courier New" w:cs="Courier New" w:eastAsia="Courier New" w:hAnsi="Courier New"/>
          <w:b/>
          <w:bCs/>
          <w:color w:val="2a2a2a"/>
          <w:sz w:val="18"/>
          <w:szCs w:val="18"/>
        </w:rPr>
        <w:t xml:space="preserve">§1.8  </w:t>
      </w:r>
      <w:r>
        <w:rPr>
          <w:rFonts w:ascii="Garamond" w:cs="Garamond" w:eastAsia="Garamond" w:hAnsi="Garamond"/>
          <w:b w:val="false"/>
          <w:bCs w:val="false"/>
          <w:i/>
          <w:iCs/>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2a2a2a"/>
          <w:sz w:val="18"/>
          <w:szCs w:val="18"/>
        </w:rPr>
        <w:t xml:space="preserve">§1.9  </w:t>
      </w:r>
      <w:r>
        <w:rPr>
          <w:rFonts w:ascii="Garamond" w:cs="Garamond" w:eastAsia="Garamond" w:hAnsi="Garamond"/>
          <w:b w:val="false"/>
          <w:bCs w:val="false"/>
          <w:i/>
          <w:iCs/>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2a2a2a"/>
          <w:sz w:val="18"/>
          <w:szCs w:val="18"/>
        </w:rPr>
        <w:t xml:space="preserve">§1.10  </w:t>
      </w:r>
      <w:r>
        <w:rPr>
          <w:rFonts w:ascii="Garamond" w:cs="Garamond" w:eastAsia="Garamond" w:hAnsi="Garamond"/>
          <w:b w:val="false"/>
          <w:bCs w:val="false"/>
          <w:i/>
          <w:iCs/>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2a2a2a"/>
          <w:sz w:val="18"/>
          <w:szCs w:val="18"/>
        </w:rPr>
        <w:t xml:space="preserve">§1.11  </w:t>
      </w:r>
      <w:r>
        <w:rPr>
          <w:rFonts w:ascii="Garamond" w:cs="Garamond" w:eastAsia="Garamond" w:hAnsi="Garamond"/>
          <w:b w:val="false"/>
          <w:bCs w:val="false"/>
          <w:i/>
          <w:iCs/>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§1.12  </w:t>
      </w:r>
      <w:r>
        <w:rPr>
          <w:rFonts w:ascii="Garamond" w:cs="Garamond" w:eastAsia="Garamond" w:hAnsi="Garamond"/>
          <w:b w:val="false"/>
          <w:bCs w:val="false"/>
          <w:i/>
          <w:iCs/>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2a2a2a"/>
          <w:sz w:val="18"/>
          <w:szCs w:val="18"/>
        </w:rPr>
        <w:t xml:space="preserve">§1.13  </w:t>
      </w:r>
      <w:r>
        <w:rPr>
          <w:rFonts w:ascii="Garamond" w:cs="Garamond" w:eastAsia="Garamond" w:hAnsi="Garamond"/>
          <w:b w:val="false"/>
          <w:bCs w:val="false"/>
          <w:i/>
          <w:iCs/>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§1.14  </w:t>
      </w:r>
      <w:r>
        <w:rPr>
          <w:rFonts w:ascii="Garamond" w:cs="Garamond" w:eastAsia="Garamond" w:hAnsi="Garamond"/>
          <w:b w:val="false"/>
          <w:bCs w:val="false"/>
          <w:i/>
          <w:iCs/>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§1.15  </w:t>
      </w:r>
      <w:r>
        <w:rPr>
          <w:rFonts w:ascii="Garamond" w:cs="Garamond" w:eastAsia="Garamond" w:hAnsi="Garamond"/>
          <w:b w:val="false"/>
          <w:bCs w:val="false"/>
          <w:i/>
          <w:iCs/>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2a2a2a"/>
          <w:sz w:val="18"/>
          <w:szCs w:val="18"/>
        </w:rPr>
        <w:t xml:space="preserve">§1.16  </w:t>
      </w:r>
      <w:r>
        <w:rPr>
          <w:rFonts w:ascii="Garamond" w:cs="Garamond" w:eastAsia="Garamond" w:hAnsi="Garamond"/>
          <w:b w:val="false"/>
          <w:bCs w:val="false"/>
          <w:i/>
          <w:iCs/>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2a2a2a"/>
          <w:sz w:val="18"/>
          <w:szCs w:val="18"/>
        </w:rPr>
        <w:t xml:space="preserve">§1.17  </w:t>
      </w:r>
      <w:r>
        <w:rPr>
          <w:rFonts w:ascii="Garamond" w:cs="Garamond" w:eastAsia="Garamond" w:hAnsi="Garamond"/>
          <w:b w:val="false"/>
          <w:bCs w:val="false"/>
          <w:i/>
          <w:iCs/>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2a2a2a"/>
          <w:sz w:val="18"/>
          <w:szCs w:val="18"/>
        </w:rPr>
        <w:t xml:space="preserve">§1.18  </w:t>
      </w:r>
      <w:r>
        <w:rPr>
          <w:rFonts w:ascii="Garamond" w:cs="Garamond" w:eastAsia="Garamond" w:hAnsi="Garamond"/>
          <w:b w:val="false"/>
          <w:bCs w:val="false"/>
          <w:i/>
          <w:iCs/>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2a2a2a"/>
          <w:sz w:val="18"/>
          <w:szCs w:val="18"/>
        </w:rPr>
        <w:t xml:space="preserve">§1.19  </w:t>
      </w:r>
      <w:r>
        <w:rPr>
          <w:rFonts w:ascii="Garamond" w:cs="Garamond" w:eastAsia="Garamond" w:hAnsi="Garamond"/>
          <w:b w:val="false"/>
          <w:bCs w:val="false"/>
          <w:i/>
          <w:iCs/>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w:t>
      </w:r>
    </w:p>
    <w:p>
      <w:pPr>
        <w:spacing w:after="60" w:before="200"/>
        <w:ind w:left="431"/>
        <w:jc w:val="left"/>
      </w:pPr>
      <w:r>
        <w:rPr>
          <w:rFonts w:ascii="Courier New" w:cs="Courier New" w:eastAsia="Courier New" w:hAnsi="Courier New"/>
          <w:b/>
          <w:bCs/>
          <w:color w:val="2a2a2a"/>
          <w:sz w:val="18"/>
          <w:szCs w:val="18"/>
        </w:rPr>
        <w:t xml:space="preserve">§1.19.b  </w:t>
      </w:r>
      <w:r>
        <w:rPr>
          <w:rFonts w:ascii="Garamond" w:cs="Garamond" w:eastAsia="Garamond" w:hAnsi="Garamond"/>
          <w:b w:val="false"/>
          <w:bCs w:val="false"/>
          <w:i/>
          <w:iCs/>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2a2a2a"/>
          <w:sz w:val="18"/>
          <w:szCs w:val="18"/>
        </w:rPr>
        <w:t xml:space="preserve">§1.19.e  </w:t>
      </w:r>
      <w:r>
        <w:rPr>
          <w:rFonts w:ascii="Garamond" w:cs="Garamond" w:eastAsia="Garamond" w:hAnsi="Garamond"/>
          <w:b w:val="false"/>
          <w:bCs w:val="false"/>
          <w:i/>
          <w:iCs/>
          <w:color w:val="1B2A4A"/>
          <w:sz w:val="22"/>
          <w:szCs w:val="22"/>
        </w:rPr>
        <w:t xml:space="preserve">Emergency Declaration Lifecycle</w:t>
      </w:r>
    </w:p>
    <w:p>
      <w:pPr>
        <w:spacing w:after="120" w:before="0"/>
        <w:ind w:left="431"/>
        <w:jc w:val="both"/>
      </w:pPr>
      <w:r>
        <w:rPr>
          <w:rFonts w:ascii="Garamond" w:cs="Garamond" w:eastAsia="Garamond" w:hAnsi="Garamond"/>
          <w:b w:val="false"/>
          <w:bCs w:val="false"/>
          <w:i w:val="false"/>
          <w:iCs w:val="false"/>
          <w:color w:val="2a2a2a"/>
          <w:sz w:val="22"/>
          <w:szCs w:val="22"/>
        </w:rPr>
        <w:t xml:space="preserve">Emergency measures lapse automatically at the expiry of the Declaration. The Legislature may, before a Declaration expires, extend it for one additional period not to exceed 60 days by 2/3 of both chambers in a concurrent vote; the extension is published immediately to the NRS and no further extension is available under this provision. Judicial review of any emergency measure is available to any citizen at any time, and 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2a2a2a"/>
          <w:sz w:val="18"/>
          <w:szCs w:val="18"/>
        </w:rPr>
        <w:t xml:space="preserve">§1.20  </w:t>
      </w:r>
      <w:r>
        <w:rPr>
          <w:rFonts w:ascii="Garamond" w:cs="Garamond" w:eastAsia="Garamond" w:hAnsi="Garamond"/>
          <w:b w:val="false"/>
          <w:bCs w:val="false"/>
          <w:i/>
          <w:iCs/>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2a2a2a"/>
          <w:sz w:val="18"/>
          <w:szCs w:val="18"/>
        </w:rPr>
        <w:t xml:space="preserve">§1.21  </w:t>
      </w:r>
      <w:r>
        <w:rPr>
          <w:rFonts w:ascii="Garamond" w:cs="Garamond" w:eastAsia="Garamond" w:hAnsi="Garamond"/>
          <w:b w:val="false"/>
          <w:bCs w:val="false"/>
          <w:i/>
          <w:iCs/>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2a2a2a"/>
          <w:sz w:val="18"/>
          <w:szCs w:val="18"/>
        </w:rPr>
        <w:t xml:space="preserve">§2.1  </w:t>
      </w:r>
      <w:r>
        <w:rPr>
          <w:rFonts w:ascii="Garamond" w:cs="Garamond" w:eastAsia="Garamond" w:hAnsi="Garamond"/>
          <w:b w:val="false"/>
          <w:bCs w:val="false"/>
          <w:i/>
          <w:iCs/>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a2a"/>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compact relationships with recognized indigenous nations under Article XVI;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the specific action giving rise to the dispute is suspended. Either executive may petition the SC under its original jurisdiction in §4.5 for domain determination. During active military operations, the Legat Consul’s domain governs operational decisions.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pPr>
        <w:spacing w:after="60" w:before="200"/>
        <w:ind w:left="431"/>
        <w:jc w:val="left"/>
      </w:pPr>
      <w:r>
        <w:rPr>
          <w:rFonts w:ascii="Courier New" w:cs="Courier New" w:eastAsia="Courier New" w:hAnsi="Courier New"/>
          <w:b/>
          <w:bCs/>
          <w:color w:val="2a2a2a"/>
          <w:sz w:val="18"/>
          <w:szCs w:val="18"/>
        </w:rPr>
        <w:t xml:space="preserve">§2.2  </w:t>
      </w:r>
      <w:r>
        <w:rPr>
          <w:rFonts w:ascii="Garamond" w:cs="Garamond" w:eastAsia="Garamond" w:hAnsi="Garamond"/>
          <w:b w:val="false"/>
          <w:bCs w:val="false"/>
          <w:i/>
          <w:iCs/>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pPr>
        <w:spacing w:after="60" w:before="200"/>
        <w:ind w:left="431"/>
        <w:jc w:val="left"/>
      </w:pPr>
      <w:r>
        <w:rPr>
          <w:rFonts w:ascii="Courier New" w:cs="Courier New" w:eastAsia="Courier New" w:hAnsi="Courier New"/>
          <w:b/>
          <w:bCs/>
          <w:color w:val="2a2a2a"/>
          <w:sz w:val="18"/>
          <w:szCs w:val="18"/>
        </w:rPr>
        <w:t xml:space="preserve">§2.3  </w:t>
      </w:r>
      <w:r>
        <w:rPr>
          <w:rFonts w:ascii="Garamond" w:cs="Garamond" w:eastAsia="Garamond" w:hAnsi="Garamond"/>
          <w:b w:val="false"/>
          <w:bCs w:val="false"/>
          <w:i/>
          <w:iCs/>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directs foreign intelligence. No intelligence operation may be conducted against Republic citizens within Republic territory on the Legat Consul's authority; such operations require independent judicial authorization.</w:t>
      </w:r>
    </w:p>
    <w:p>
      <w:pPr>
        <w:spacing w:after="60" w:before="200"/>
        <w:ind w:left="431"/>
        <w:jc w:val="left"/>
      </w:pPr>
      <w:r>
        <w:rPr>
          <w:rFonts w:ascii="Courier New" w:cs="Courier New" w:eastAsia="Courier New" w:hAnsi="Courier New"/>
          <w:b/>
          <w:bCs/>
          <w:color w:val="2a2a2a"/>
          <w:sz w:val="18"/>
          <w:szCs w:val="18"/>
        </w:rPr>
        <w:t xml:space="preserve">§2.3.a  </w:t>
      </w:r>
      <w:r>
        <w:rPr>
          <w:rFonts w:ascii="Garamond" w:cs="Garamond" w:eastAsia="Garamond" w:hAnsi="Garamond"/>
          <w:b w:val="false"/>
          <w:bCs w:val="false"/>
          <w:i/>
          <w:iCs/>
          <w:color w:val="1B2A4A"/>
          <w:sz w:val="22"/>
          <w:szCs w:val="22"/>
        </w:rPr>
        <w:t xml:space="preserve">Legat Consul Legislative Veto</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veto legislation that raises a genuine constitutional concern within the Legat Consul’s security domain — military operations, intelligence, treaty obligations, or border security — by returning the bill within 10 business days of final passage with a written statement of grounds, published to the NRS. A general or speculative security connection is insufficient. If the Legat Consul neither acts nor objects within 10 business days of final passage, the bill proceeds to enactment by operation of law. The Legat Consul’s veto may be used only once on any bill; a bill reintroduced and passed by both chambers in a subsequent session proceeds without Legat Consul interference. Under §9.1, either Speaker may request an EM assessment of the domain question. The Senate may override by 2/3 supermajority at any time during that session; where no override occurs, the bill lapses for that session.</w:t>
      </w:r>
    </w:p>
    <w:p>
      <w:pPr>
        <w:spacing w:after="60" w:before="200"/>
        <w:ind w:left="431"/>
        <w:jc w:val="left"/>
      </w:pPr>
      <w:r>
        <w:rPr>
          <w:rFonts w:ascii="Courier New" w:cs="Courier New" w:eastAsia="Courier New" w:hAnsi="Courier New"/>
          <w:b/>
          <w:bCs/>
          <w:color w:val="2a2a2a"/>
          <w:sz w:val="18"/>
          <w:szCs w:val="18"/>
        </w:rPr>
        <w:t xml:space="preserve">§2.4  </w:t>
      </w:r>
      <w:r>
        <w:rPr>
          <w:rFonts w:ascii="Garamond" w:cs="Garamond" w:eastAsia="Garamond" w:hAnsi="Garamond"/>
          <w:b w:val="false"/>
          <w:bCs w:val="false"/>
          <w:i/>
          <w:iCs/>
          <w:color w:val="1B2A4A"/>
          <w:sz w:val="22"/>
          <w:szCs w:val="22"/>
        </w:rPr>
        <w:t xml:space="preserve">Legat Consul International Agreements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candidates maintained by the Elections Panel under §9.12. The Legislature defines qualifications and confirmation procedures for each office by statute; acting appointments may be made pending confirmation for the period and under the conditions the Legislature defines.</w:t>
      </w:r>
    </w:p>
    <w:p>
      <w:pPr>
        <w:spacing w:after="60" w:before="200"/>
        <w:ind w:left="431"/>
        <w:jc w:val="left"/>
      </w:pPr>
      <w:r>
        <w:rPr>
          <w:rFonts w:ascii="Courier New" w:cs="Courier New" w:eastAsia="Courier New" w:hAnsi="Courier New"/>
          <w:b/>
          <w:bCs/>
          <w:color w:val="2a2a2a"/>
          <w:sz w:val="18"/>
          <w:szCs w:val="18"/>
        </w:rPr>
        <w:t xml:space="preserve">§2.5  </w:t>
      </w:r>
      <w:r>
        <w:rPr>
          <w:rFonts w:ascii="Garamond" w:cs="Garamond" w:eastAsia="Garamond" w:hAnsi="Garamond"/>
          <w:b w:val="false"/>
          <w:bCs w:val="false"/>
          <w:i/>
          <w:iCs/>
          <w:color w:val="1B2A4A"/>
          <w:sz w:val="22"/>
          <w:szCs w:val="22"/>
        </w:rPr>
        <w:t xml:space="preserve">The Civic Consul — Domain and Term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holds residual executive authority over all functions not enumerated to the Legat Consul. To hold the office of Civic Consul, a person must have been a citizen for at least 7 years at the time of taking office and must hold no federal felony conviction. No other eligibility requirement applies. The Civic Consul serves at the confidence of the Assembly, subject to removal under §2.6. No person may serve more than 8 years in total as Civic Consul across all periods of service; this limit is cumulative and permanent regardless of interruption. The Civic Consul's domestic authority includes: all domestic policy and regulatory frameworks; the annual budget, which the Civic Consul prepares and submits to the Assembly for passage;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in the absence of a statutory interval, the constitutional default is 30 days. The Legat Consul has no role in domestic emergencies.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compact negotiations under Article XVI; the Civic Consul’s response is advisory. Where the Civic Consul is temporarily unable to exercise authority, the Civic Consul’s designated Acting Civic Consul, who must meet the eligibility requirements for the office of Civic Consul under this section, serves with authority limited to maintaining existing policy and emergency functions; where no such designation exists or the designated Acting Civic Consul is unavailable, the Assembly Speaker serves as Acting Civic Consul with the same authority limitation.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2a2a2a"/>
          <w:sz w:val="18"/>
          <w:szCs w:val="18"/>
        </w:rPr>
        <w:t xml:space="preserve">§2.6  </w:t>
      </w:r>
      <w:r>
        <w:rPr>
          <w:rFonts w:ascii="Garamond" w:cs="Garamond" w:eastAsia="Garamond" w:hAnsi="Garamond"/>
          <w:b w:val="false"/>
          <w:bCs w:val="false"/>
          <w:i/>
          <w:iCs/>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60 percent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w:t>
      </w:r>
    </w:p>
    <w:p>
      <w:pPr>
        <w:spacing w:after="60" w:before="200"/>
        <w:ind w:left="431"/>
        <w:jc w:val="left"/>
      </w:pPr>
      <w:r>
        <w:rPr>
          <w:rFonts w:ascii="Courier New" w:cs="Courier New" w:eastAsia="Courier New" w:hAnsi="Courier New"/>
          <w:b/>
          <w:bCs/>
          <w:color w:val="2a2a2a"/>
          <w:sz w:val="18"/>
          <w:szCs w:val="18"/>
        </w:rPr>
        <w:t xml:space="preserve">§2.6.a  </w:t>
      </w:r>
      <w:r>
        <w:rPr>
          <w:rFonts w:ascii="Garamond" w:cs="Garamond" w:eastAsia="Garamond" w:hAnsi="Garamond"/>
          <w:b w:val="false"/>
          <w:bCs w:val="false"/>
          <w:i/>
          <w:iCs/>
          <w:color w:val="1B2A4A"/>
          <w:sz w:val="22"/>
          <w:szCs w:val="22"/>
        </w:rPr>
        <w:t xml:space="preserve">Government Formation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designation falls to a serving Assembly member. The designation is published to the NRS.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and the Senate has not designated one within 45 days of the Assembly failing to elect, the Legat Consul nominates a serving Assembly member as Civic Consul within 21 days, published to the NRS; the Senate confirms by simple majority within 21 days of nomination; the confirmed appointee holds full Civic Consul authority and is subject to removal under §2.6. Where the Legat Consul does not nominate within 21 days or the Senate does not confirm within 21 days of nomination, the most senior Assembly member by continuous service who otherwise meets the requirements for Civic Consul assumes the role by constitutional operation, published to the NRS; this appointee holds full Civic Consul authority and is subject to removal under §2.6. Where two or more Assembly members have equal continuous service, the tiebreaker is determined by statute.</w:t>
      </w:r>
    </w:p>
    <w:p>
      <w:pPr>
        <w:spacing w:after="60" w:before="200"/>
        <w:ind w:left="431"/>
        <w:jc w:val="left"/>
      </w:pPr>
      <w:r>
        <w:rPr>
          <w:rFonts w:ascii="Courier New" w:cs="Courier New" w:eastAsia="Courier New" w:hAnsi="Courier New"/>
          <w:b/>
          <w:bCs/>
          <w:color w:val="2a2a2a"/>
          <w:sz w:val="18"/>
          <w:szCs w:val="18"/>
        </w:rPr>
        <w:t xml:space="preserve">§2.7  </w:t>
      </w:r>
      <w:r>
        <w:rPr>
          <w:rFonts w:ascii="Garamond" w:cs="Garamond" w:eastAsia="Garamond" w:hAnsi="Garamond"/>
          <w:b w:val="false"/>
          <w:bCs w:val="false"/>
          <w:i/>
          <w:iCs/>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may withhold assent by returning a bill within 10 business days of final passage with written grounds published to the NRS; the bill is tabled for one month regardless of any change in CC office. The Senate may override by 2/3 supermajority during that month; failing override, the bill returns to the Legislature and must pass both chambers again before returning to the Civic Consul, who may not exercise the suspensive veto on that bill again. The Civic Consul may also issue a fiscal notice — a written NRS statement that a bill would cause or materially worsen a structural deficit — at any point within the 10-business-day review window; a fiscal notice does not block enactment but entitles the Assembly Speaker to recall the bill for reconsideration within the remaining window; both instruments may be used on the same bill. Where the Civic Consul neither returns the bill nor issues a fiscal notice within 10 business days of final passage, the bill is enacted by operation of law. The suspensive veto may not be used on the annual budget, bills implementing a constitutional obligation, or emergency legislation. Both executives review concurrently from final passage.</w:t>
      </w:r>
    </w:p>
    <w:p>
      <w:pPr>
        <w:spacing w:after="60" w:before="200"/>
        <w:ind w:left="431"/>
        <w:jc w:val="left"/>
      </w:pPr>
      <w:r>
        <w:rPr>
          <w:rFonts w:ascii="Courier New" w:cs="Courier New" w:eastAsia="Courier New" w:hAnsi="Courier New"/>
          <w:b/>
          <w:bCs/>
          <w:color w:val="2a2a2a"/>
          <w:sz w:val="18"/>
          <w:szCs w:val="18"/>
        </w:rPr>
        <w:t xml:space="preserve">§2.8  </w:t>
      </w:r>
      <w:r>
        <w:rPr>
          <w:rFonts w:ascii="Garamond" w:cs="Garamond" w:eastAsia="Garamond" w:hAnsi="Garamond"/>
          <w:b w:val="false"/>
          <w:bCs w:val="false"/>
          <w:i/>
          <w:iCs/>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a2a"/>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2a2a2a"/>
          <w:sz w:val="18"/>
          <w:szCs w:val="18"/>
        </w:rPr>
        <w:t xml:space="preserve">§2.9  </w:t>
      </w:r>
      <w:r>
        <w:rPr>
          <w:rFonts w:ascii="Garamond" w:cs="Garamond" w:eastAsia="Garamond" w:hAnsi="Garamond"/>
          <w:b w:val="false"/>
          <w:bCs w:val="false"/>
          <w:i/>
          <w:iCs/>
          <w:color w:val="1B2A4A"/>
          <w:sz w:val="22"/>
          <w:szCs w:val="22"/>
        </w:rPr>
        <w:t xml:space="preserve">Legat Consul Succession and Incapacity</w:t>
      </w:r>
    </w:p>
    <w:p>
      <w:pPr>
        <w:spacing w:after="120" w:before="0"/>
        <w:ind w:left="431"/>
        <w:jc w:val="both"/>
      </w:pPr>
      <w:r>
        <w:rPr>
          <w:rFonts w:ascii="Garamond" w:cs="Garamond" w:eastAsia="Garamond" w:hAnsi="Garamond"/>
          <w:b w:val="false"/>
          <w:bCs w:val="false"/>
          <w:i w:val="false"/>
          <w:iCs w:val="false"/>
          <w:color w:val="2a2a2a"/>
          <w:sz w:val="22"/>
          <w:szCs w:val="22"/>
        </w:rPr>
        <w:t xml:space="preserve">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 Where the Legat Consul is temporarily unable to exercise authority, a majority of the JMC assesses capacity and, on joint assessment published to the NRS, Acting Legat Consul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2a2a2a"/>
          <w:sz w:val="18"/>
          <w:szCs w:val="18"/>
        </w:rPr>
        <w:t xml:space="preserve">§2.10  </w:t>
      </w:r>
      <w:r>
        <w:rPr>
          <w:rFonts w:ascii="Garamond" w:cs="Garamond" w:eastAsia="Garamond" w:hAnsi="Garamond"/>
          <w:b w:val="false"/>
          <w:bCs w:val="false"/>
          <w:i/>
          <w:iCs/>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pPr>
        <w:spacing w:after="60" w:before="200"/>
        <w:ind w:left="431"/>
        <w:jc w:val="left"/>
      </w:pPr>
      <w:r>
        <w:rPr>
          <w:rFonts w:ascii="Courier New" w:cs="Courier New" w:eastAsia="Courier New" w:hAnsi="Courier New"/>
          <w:b/>
          <w:bCs/>
          <w:color w:val="2a2a2a"/>
          <w:sz w:val="18"/>
          <w:szCs w:val="18"/>
        </w:rPr>
        <w:t xml:space="preserve">§2.11  </w:t>
      </w:r>
      <w:r>
        <w:rPr>
          <w:rFonts w:ascii="Garamond" w:cs="Garamond" w:eastAsia="Garamond" w:hAnsi="Garamond"/>
          <w:b w:val="false"/>
          <w:bCs w:val="false"/>
          <w:i/>
          <w:iCs/>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2a2a2a"/>
          <w:sz w:val="18"/>
          <w:szCs w:val="18"/>
        </w:rPr>
        <w:t xml:space="preserve">§2.12  </w:t>
      </w:r>
      <w:r>
        <w:rPr>
          <w:rFonts w:ascii="Garamond" w:cs="Garamond" w:eastAsia="Garamond" w:hAnsi="Garamond"/>
          <w:b w:val="false"/>
          <w:bCs w:val="false"/>
          <w:i/>
          <w:iCs/>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2a2a2a"/>
          <w:sz w:val="18"/>
          <w:szCs w:val="18"/>
        </w:rPr>
        <w:t xml:space="preserve">§2.13  </w:t>
      </w:r>
      <w:r>
        <w:rPr>
          <w:rFonts w:ascii="Garamond" w:cs="Garamond" w:eastAsia="Garamond" w:hAnsi="Garamond"/>
          <w:b w:val="false"/>
          <w:bCs w:val="false"/>
          <w:i/>
          <w:iCs/>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§7.4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2a2a2a"/>
          <w:sz w:val="18"/>
          <w:szCs w:val="18"/>
        </w:rPr>
        <w:t xml:space="preserve">§2.14  </w:t>
      </w:r>
      <w:r>
        <w:rPr>
          <w:rFonts w:ascii="Garamond" w:cs="Garamond" w:eastAsia="Garamond" w:hAnsi="Garamond"/>
          <w:b w:val="false"/>
          <w:bCs w:val="false"/>
          <w:i/>
          <w:iCs/>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pPr>
        <w:spacing w:after="60" w:before="200"/>
        <w:ind w:left="431"/>
        <w:jc w:val="left"/>
      </w:pPr>
      <w:r>
        <w:rPr>
          <w:rFonts w:ascii="Courier New" w:cs="Courier New" w:eastAsia="Courier New" w:hAnsi="Courier New"/>
          <w:b/>
          <w:bCs/>
          <w:color w:val="2a2a2a"/>
          <w:sz w:val="18"/>
          <w:szCs w:val="18"/>
        </w:rPr>
        <w:t xml:space="preserve">§2.14.a  </w:t>
      </w:r>
      <w:r>
        <w:rPr>
          <w:rFonts w:ascii="Garamond" w:cs="Garamond" w:eastAsia="Garamond" w:hAnsi="Garamond"/>
          <w:b w:val="false"/>
          <w:bCs w:val="false"/>
          <w:i/>
          <w:iCs/>
          <w:color w:val="1B2A4A"/>
          <w:sz w:val="22"/>
          <w:szCs w:val="22"/>
        </w:rPr>
        <w:t xml:space="preserve">Cross-Domain Emergency Lead</w:t>
      </w:r>
    </w:p>
    <w:p>
      <w:pPr>
        <w:spacing w:after="120" w:before="0"/>
        <w:ind w:left="431"/>
        <w:jc w:val="both"/>
      </w:pPr>
      <w:r>
        <w:rPr>
          <w:rFonts w:ascii="Garamond" w:cs="Garamond" w:eastAsia="Garamond" w:hAnsi="Garamond"/>
          <w:b w:val="false"/>
          <w:bCs w:val="false"/>
          <w:i w:val="false"/>
          <w:iCs w:val="false"/>
          <w:color w:val="2a2a2a"/>
          <w:sz w:val="22"/>
          <w:szCs w:val="22"/>
        </w:rPr>
        <w:t xml:space="preserve">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pPr>
        <w:spacing w:after="60" w:before="200"/>
        <w:ind w:left="431"/>
        <w:jc w:val="left"/>
      </w:pPr>
      <w:r>
        <w:rPr>
          <w:rFonts w:ascii="Courier New" w:cs="Courier New" w:eastAsia="Courier New" w:hAnsi="Courier New"/>
          <w:b/>
          <w:bCs/>
          <w:color w:val="2a2a2a"/>
          <w:sz w:val="18"/>
          <w:szCs w:val="18"/>
        </w:rPr>
        <w:t xml:space="preserve">§2.16  </w:t>
      </w:r>
      <w:r>
        <w:rPr>
          <w:rFonts w:ascii="Garamond" w:cs="Garamond" w:eastAsia="Garamond" w:hAnsi="Garamond"/>
          <w:b w:val="false"/>
          <w:bCs w:val="false"/>
          <w:i/>
          <w:iCs/>
          <w:color w:val="1B2A4A"/>
          <w:sz w:val="22"/>
          <w:szCs w:val="22"/>
        </w:rPr>
        <w:t xml:space="preserve">Federal Prosecution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III — The Legislature</w:t>
      </w:r>
    </w:p>
    <w:p>
      <w:pPr>
        <w:spacing w:after="60" w:before="200"/>
        <w:ind w:left="431"/>
        <w:jc w:val="left"/>
      </w:pPr>
      <w:r>
        <w:rPr>
          <w:rFonts w:ascii="Courier New" w:cs="Courier New" w:eastAsia="Courier New" w:hAnsi="Courier New"/>
          <w:b/>
          <w:bCs/>
          <w:color w:val="2a2a2a"/>
          <w:sz w:val="18"/>
          <w:szCs w:val="18"/>
        </w:rPr>
        <w:t xml:space="preserve">§3.1  </w:t>
      </w:r>
      <w:r>
        <w:rPr>
          <w:rFonts w:ascii="Garamond" w:cs="Garamond" w:eastAsia="Garamond" w:hAnsi="Garamond"/>
          <w:b w:val="false"/>
          <w:bCs w:val="false"/>
          <w:i/>
          <w:iCs/>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not to exceed 90 days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2a2a2a"/>
          <w:sz w:val="18"/>
          <w:szCs w:val="18"/>
        </w:rPr>
        <w:t xml:space="preserve">§3.2  </w:t>
      </w:r>
      <w:r>
        <w:rPr>
          <w:rFonts w:ascii="Garamond" w:cs="Garamond" w:eastAsia="Garamond" w:hAnsi="Garamond"/>
          <w:b w:val="false"/>
          <w:bCs w:val="false"/>
          <w:i/>
          <w:iCs/>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Any Assembly member who resigns, is expelled, or is removed by state recall at any point during a term shall be deemed to have served that full term for purposes of the consecutive-term limit. All member financial interests are disclosed to the EM and published to the NRS.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 A State may establish by law a recall mechanism for its Assembly members; any such mechanism must operate as a punitive or political process, must not violate this Constitution, and must place the final recall decision with the State legislature or the State’s eligible voters; no recall may proceed on the decision of an executive officer, administrative body, or court alone; where an Assembly member is recalled the seat is treated as vacant under this Constitution.</w:t>
      </w:r>
    </w:p>
    <w:p>
      <w:pPr>
        <w:spacing w:after="60" w:before="200"/>
        <w:ind w:left="431"/>
        <w:jc w:val="left"/>
      </w:pPr>
      <w:r>
        <w:rPr>
          <w:rFonts w:ascii="Courier New" w:cs="Courier New" w:eastAsia="Courier New" w:hAnsi="Courier New"/>
          <w:b/>
          <w:bCs/>
          <w:color w:val="2a2a2a"/>
          <w:sz w:val="18"/>
          <w:szCs w:val="18"/>
        </w:rPr>
        <w:t xml:space="preserve">§3.3  </w:t>
      </w:r>
      <w:r>
        <w:rPr>
          <w:rFonts w:ascii="Garamond" w:cs="Garamond" w:eastAsia="Garamond" w:hAnsi="Garamond"/>
          <w:b w:val="false"/>
          <w:bCs w:val="false"/>
          <w:i/>
          <w:iCs/>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a2a"/>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2a2a2a"/>
          <w:sz w:val="18"/>
          <w:szCs w:val="18"/>
        </w:rPr>
        <w:t xml:space="preserve">§3.4  </w:t>
      </w:r>
      <w:r>
        <w:rPr>
          <w:rFonts w:ascii="Garamond" w:cs="Garamond" w:eastAsia="Garamond" w:hAnsi="Garamond"/>
          <w:b w:val="false"/>
          <w:bCs w:val="false"/>
          <w:i/>
          <w:iCs/>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under §9.1, the chamber may request an EM assessment to inform the proceeding.</w:t>
      </w:r>
    </w:p>
    <w:p>
      <w:pPr>
        <w:spacing w:after="60" w:before="200"/>
        <w:ind w:left="431"/>
        <w:jc w:val="left"/>
      </w:pPr>
      <w:r>
        <w:rPr>
          <w:rFonts w:ascii="Courier New" w:cs="Courier New" w:eastAsia="Courier New" w:hAnsi="Courier New"/>
          <w:b/>
          <w:bCs/>
          <w:color w:val="2a2a2a"/>
          <w:sz w:val="18"/>
          <w:szCs w:val="18"/>
        </w:rPr>
        <w:t xml:space="preserve">§3.5  </w:t>
      </w:r>
      <w:r>
        <w:rPr>
          <w:rFonts w:ascii="Garamond" w:cs="Garamond" w:eastAsia="Garamond" w:hAnsi="Garamond"/>
          <w:b w:val="false"/>
          <w:bCs w:val="false"/>
          <w:i/>
          <w:iCs/>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Any senator who resigns, is expelled, or is removed by state recall at any point during a term shall be deemed to have served that full term for purposes of the consecutive-term limit.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law a recall mechanism for its senators; any such mechanism must operate as a punitive or political process, must not violate this Constitution, and must place the final recall decision with the State legislature or the State’s eligible voters; no recall may proceed on the decision of an executive officer, administrative body, or court alone; where a senator is recalled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2a2a2a"/>
          <w:sz w:val="18"/>
          <w:szCs w:val="18"/>
        </w:rPr>
        <w:t xml:space="preserve">§3.6  </w:t>
      </w:r>
      <w:r>
        <w:rPr>
          <w:rFonts w:ascii="Garamond" w:cs="Garamond" w:eastAsia="Garamond" w:hAnsi="Garamond"/>
          <w:b w:val="false"/>
          <w:bCs w:val="false"/>
          <w:i/>
          <w:iCs/>
          <w:color w:val="1B2A4A"/>
          <w:sz w:val="22"/>
          <w:szCs w:val="22"/>
        </w:rPr>
        <w:t xml:space="preserve">Treaty and Trade Agreement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The Senate must affirm withdrawal by 2/3 of its full seated membership within the period defined by statute, not to exceed 90 days; where the Senate does not affirm within that period, the notice is void and the Legat Consul must resubmit. Indigenous treaties under Article XVI may not be unilaterally withdrawn.</w:t>
      </w:r>
    </w:p>
    <w:p>
      <w:pPr>
        <w:spacing w:after="60" w:before="200"/>
        <w:ind w:left="431"/>
        <w:jc w:val="left"/>
      </w:pPr>
      <w:r>
        <w:rPr>
          <w:rFonts w:ascii="Courier New" w:cs="Courier New" w:eastAsia="Courier New" w:hAnsi="Courier New"/>
          <w:b/>
          <w:bCs/>
          <w:color w:val="2a2a2a"/>
          <w:sz w:val="18"/>
          <w:szCs w:val="18"/>
        </w:rPr>
        <w:t xml:space="preserve">§3.6.a  </w:t>
      </w:r>
      <w:r>
        <w:rPr>
          <w:rFonts w:ascii="Garamond" w:cs="Garamond" w:eastAsia="Garamond" w:hAnsi="Garamond"/>
          <w:b w:val="false"/>
          <w:bCs w:val="false"/>
          <w:i/>
          <w:iCs/>
          <w:color w:val="1B2A4A"/>
          <w:sz w:val="22"/>
          <w:szCs w:val="22"/>
        </w:rPr>
        <w:t xml:space="preserve">Classification and Dispute Resolution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Senate disputes the Legat Consul's classification of an international instrument as a trade agreement, the instrument is treated as a treaty pending resolution. Either party may seek expedited judicial determination of the classification; the applicable court and process are defined by statute.</w:t>
      </w:r>
    </w:p>
    <w:p>
      <w:pPr>
        <w:spacing w:after="60" w:before="200"/>
        <w:ind w:left="431"/>
        <w:jc w:val="left"/>
      </w:pPr>
      <w:r>
        <w:rPr>
          <w:rFonts w:ascii="Courier New" w:cs="Courier New" w:eastAsia="Courier New" w:hAnsi="Courier New"/>
          <w:b/>
          <w:bCs/>
          <w:color w:val="2a2a2a"/>
          <w:sz w:val="18"/>
          <w:szCs w:val="18"/>
        </w:rPr>
        <w:t xml:space="preserve">§3.7  </w:t>
      </w:r>
      <w:r>
        <w:rPr>
          <w:rFonts w:ascii="Garamond" w:cs="Garamond" w:eastAsia="Garamond" w:hAnsi="Garamond"/>
          <w:b w:val="false"/>
          <w:bCs w:val="false"/>
          <w:i/>
          <w:iCs/>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a2a"/>
          <w:sz w:val="22"/>
          <w:szCs w:val="22"/>
        </w:rPr>
        <w:t xml:space="preserve">Bills pass by absolute majority of the full seated membership of both chambers. Higher thresholds apply to constitutional amendments, veto overrides, removal proceedings, and other matters specified in this constitution; where a higher threshold is specified for a vote of a single chamber, it applies to the full seated membership of that chamber.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2a2a2a"/>
          <w:sz w:val="18"/>
          <w:szCs w:val="18"/>
        </w:rPr>
        <w:t xml:space="preserve">§3.8  </w:t>
      </w:r>
      <w:r>
        <w:rPr>
          <w:rFonts w:ascii="Garamond" w:cs="Garamond" w:eastAsia="Garamond" w:hAnsi="Garamond"/>
          <w:b w:val="false"/>
          <w:bCs w:val="false"/>
          <w:i/>
          <w:iCs/>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a2a"/>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2a2a2a"/>
          <w:sz w:val="18"/>
          <w:szCs w:val="18"/>
        </w:rPr>
        <w:t xml:space="preserve">§3.9  </w:t>
      </w:r>
      <w:r>
        <w:rPr>
          <w:rFonts w:ascii="Garamond" w:cs="Garamond" w:eastAsia="Garamond" w:hAnsi="Garamond"/>
          <w:b w:val="false"/>
          <w:bCs w:val="false"/>
          <w:i/>
          <w:iCs/>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 Qualification standards established by statute for appointment to a constitutionally mandated independent agency must be facially neutral and may not be designed to exclude otherwise qualified candidates on the basis of policy view, party affiliation, or prior public criticism of the Legislature or either executive.</w:t>
      </w:r>
    </w:p>
    <w:p>
      <w:pPr>
        <w:spacing w:after="60" w:before="200"/>
        <w:ind w:left="431"/>
        <w:jc w:val="left"/>
      </w:pPr>
      <w:r>
        <w:rPr>
          <w:rFonts w:ascii="Courier New" w:cs="Courier New" w:eastAsia="Courier New" w:hAnsi="Courier New"/>
          <w:b/>
          <w:bCs/>
          <w:color w:val="2a2a2a"/>
          <w:sz w:val="18"/>
          <w:szCs w:val="18"/>
        </w:rPr>
        <w:t xml:space="preserve">§3.10  </w:t>
      </w:r>
      <w:r>
        <w:rPr>
          <w:rFonts w:ascii="Garamond" w:cs="Garamond" w:eastAsia="Garamond" w:hAnsi="Garamond"/>
          <w:b w:val="false"/>
          <w:bCs w:val="false"/>
          <w:i/>
          <w:iCs/>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applicable succession and acting mechanisms under this constitution govern the exercise of any suspended functions.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2a2a2a"/>
          <w:sz w:val="18"/>
          <w:szCs w:val="18"/>
        </w:rPr>
        <w:t xml:space="preserve">§3.11  </w:t>
      </w:r>
      <w:r>
        <w:rPr>
          <w:rFonts w:ascii="Garamond" w:cs="Garamond" w:eastAsia="Garamond" w:hAnsi="Garamond"/>
          <w:b w:val="false"/>
          <w:bCs w:val="false"/>
          <w:i/>
          <w:iCs/>
          <w:color w:val="1B2A4A"/>
          <w:sz w:val="22"/>
          <w:szCs w:val="22"/>
        </w:rPr>
        <w:t xml:space="preserve">Inviolability of Electoral Mandates</w:t>
      </w:r>
    </w:p>
    <w:p>
      <w:pPr>
        <w:spacing w:after="120" w:before="0"/>
        <w:ind w:left="431"/>
        <w:jc w:val="both"/>
      </w:pPr>
      <w:r>
        <w:rPr>
          <w:rFonts w:ascii="Garamond" w:cs="Garamond" w:eastAsia="Garamond" w:hAnsi="Garamond"/>
          <w:b w:val="false"/>
          <w:bCs w:val="false"/>
          <w:i w:val="false"/>
          <w:iCs w:val="false"/>
          <w:color w:val="2a2a2a"/>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§3.2 or §3.5; and impeachment and removal under §3.10. Any mechanism enabling the people themselves to shorten an elected mandate not already provided in this Constitution requires a constitutional amendment under Article XVII and may not be established by ordinary statute. Expulsion, recall, and removal under any provision of this Constitution are civil and political processes; they do not constitute criminal or civil legal proceedings and do not protect the removed officer from criminal prosecution or civil liability for underlying conduct.</w:t>
      </w:r>
    </w:p>
    <w:p>
      <w:pPr>
        <w:spacing w:after="60" w:before="200"/>
        <w:ind w:left="431"/>
        <w:jc w:val="left"/>
      </w:pPr>
      <w:r>
        <w:rPr>
          <w:rFonts w:ascii="Courier New" w:cs="Courier New" w:eastAsia="Courier New" w:hAnsi="Courier New"/>
          <w:b/>
          <w:bCs/>
          <w:color w:val="2a2a2a"/>
          <w:sz w:val="18"/>
          <w:szCs w:val="18"/>
        </w:rPr>
        <w:t xml:space="preserve">§3.12  </w:t>
      </w:r>
      <w:r>
        <w:rPr>
          <w:rFonts w:ascii="Garamond" w:cs="Garamond" w:eastAsia="Garamond" w:hAnsi="Garamond"/>
          <w:b w:val="false"/>
          <w:bCs w:val="false"/>
          <w:i/>
          <w:i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publishes to the NRS that the pardoning instrument expressly states eligibility is restored.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2a2a2a"/>
          <w:sz w:val="18"/>
          <w:szCs w:val="18"/>
        </w:rPr>
        <w:t xml:space="preserve">§3.13  </w:t>
      </w:r>
      <w:r>
        <w:rPr>
          <w:rFonts w:ascii="Garamond" w:cs="Garamond" w:eastAsia="Garamond" w:hAnsi="Garamond"/>
          <w:b w:val="false"/>
          <w:bCs w:val="false"/>
          <w:i/>
          <w:i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a2a"/>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2a2a2a"/>
          <w:sz w:val="18"/>
          <w:szCs w:val="18"/>
        </w:rPr>
        <w:t xml:space="preserve">§3.14  </w:t>
      </w:r>
      <w:r>
        <w:rPr>
          <w:rFonts w:ascii="Garamond" w:cs="Garamond" w:eastAsia="Garamond" w:hAnsi="Garamond"/>
          <w:b w:val="false"/>
          <w:bCs w:val="false"/>
          <w:i/>
          <w:iCs/>
          <w:color w:val="1B2A4A"/>
          <w:sz w:val="22"/>
          <w:szCs w:val="22"/>
        </w:rPr>
        <w:t xml:space="preserve">Federal Legislative Competence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pPr>
        <w:spacing w:after="60" w:before="200"/>
        <w:ind w:left="431"/>
        <w:jc w:val="left"/>
      </w:pPr>
      <w:r>
        <w:rPr>
          <w:rFonts w:ascii="Courier New" w:cs="Courier New" w:eastAsia="Courier New" w:hAnsi="Courier New"/>
          <w:b/>
          <w:bCs/>
          <w:color w:val="2a2a2a"/>
          <w:sz w:val="18"/>
          <w:szCs w:val="18"/>
        </w:rPr>
        <w:t xml:space="preserve">§3.15  </w:t>
      </w:r>
      <w:r>
        <w:rPr>
          <w:rFonts w:ascii="Garamond" w:cs="Garamond" w:eastAsia="Garamond" w:hAnsi="Garamond"/>
          <w:b w:val="false"/>
          <w:bCs w:val="false"/>
          <w:i/>
          <w:iCs/>
          <w:color w:val="1B2A4A"/>
          <w:sz w:val="22"/>
          <w:szCs w:val="22"/>
        </w:rPr>
        <w:t xml:space="preserve">Delegation of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IV — The Judicial Architecture</w:t>
      </w:r>
    </w:p>
    <w:p>
      <w:pPr>
        <w:spacing w:after="60" w:before="200"/>
        <w:ind w:left="431"/>
        <w:jc w:val="left"/>
      </w:pPr>
      <w:r>
        <w:rPr>
          <w:rFonts w:ascii="Courier New" w:cs="Courier New" w:eastAsia="Courier New" w:hAnsi="Courier New"/>
          <w:b/>
          <w:bCs/>
          <w:color w:val="2a2a2a"/>
          <w:sz w:val="18"/>
          <w:szCs w:val="18"/>
        </w:rPr>
        <w:t xml:space="preserve">§4.1  </w:t>
      </w:r>
      <w:r>
        <w:rPr>
          <w:rFonts w:ascii="Garamond" w:cs="Garamond" w:eastAsia="Garamond" w:hAnsi="Garamond"/>
          <w:b w:val="false"/>
          <w:bCs w:val="false"/>
          <w:i/>
          <w:iCs/>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2a2a2a"/>
          <w:sz w:val="18"/>
          <w:szCs w:val="18"/>
        </w:rPr>
        <w:t xml:space="preserve">§4.2  </w:t>
      </w:r>
      <w:r>
        <w:rPr>
          <w:rFonts w:ascii="Garamond" w:cs="Garamond" w:eastAsia="Garamond" w:hAnsi="Garamond"/>
          <w:b w:val="false"/>
          <w:bCs w:val="false"/>
          <w:i/>
          <w:iCs/>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Any citizen meeting the eligibility criteria established in §9.4.b may apply to the Elections Panel to enter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 The Civic Consul nominates inferior court judges from the Judicial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on grounds of constitutional breach or demonstrated incapacity; under §9.1, either chamber may request an EM assessment to inform the proceeding;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2a2a2a"/>
          <w:sz w:val="18"/>
          <w:szCs w:val="18"/>
        </w:rPr>
        <w:t xml:space="preserve">§4.3  </w:t>
      </w:r>
      <w:r>
        <w:rPr>
          <w:rFonts w:ascii="Garamond" w:cs="Garamond" w:eastAsia="Garamond" w:hAnsi="Garamond"/>
          <w:b w:val="false"/>
          <w:bCs w:val="false"/>
          <w:i/>
          <w:iCs/>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pPr>
        <w:spacing w:after="60" w:before="200"/>
        <w:ind w:left="431"/>
        <w:jc w:val="left"/>
      </w:pPr>
      <w:r>
        <w:rPr>
          <w:rFonts w:ascii="Courier New" w:cs="Courier New" w:eastAsia="Courier New" w:hAnsi="Courier New"/>
          <w:b/>
          <w:bCs/>
          <w:color w:val="2a2a2a"/>
          <w:sz w:val="18"/>
          <w:szCs w:val="18"/>
        </w:rPr>
        <w:t xml:space="preserve">§4.3.b  </w:t>
      </w:r>
      <w:r>
        <w:rPr>
          <w:rFonts w:ascii="Garamond" w:cs="Garamond" w:eastAsia="Garamond" w:hAnsi="Garamond"/>
          <w:b w:val="false"/>
          <w:bCs w:val="false"/>
          <w:i/>
          <w:i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under §4.5; the SC must rule within 48 hours of petition.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2a2a2a"/>
          <w:sz w:val="18"/>
          <w:szCs w:val="18"/>
        </w:rPr>
        <w:t xml:space="preserve">§4.4  </w:t>
      </w:r>
      <w:r>
        <w:rPr>
          <w:rFonts w:ascii="Garamond" w:cs="Garamond" w:eastAsia="Garamond" w:hAnsi="Garamond"/>
          <w:b w:val="false"/>
          <w:bCs w:val="false"/>
          <w:i/>
          <w:iCs/>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SC justices are nominated by the Civic Consul from the Judicial Pool maintained by the Elections Panel under §9.12 — any pool member meeting the statutory qualifications for Supreme Court appointment is eligible for SC nomination.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Judicial Pool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Upon any SC vacancy, the most senior Appellate Court judge by continuous service is automatically designated Temporary Associate Justice within 5 days — without nomination or confirmation — holding full voting rights until the vacancy is filled; where two or more Appellate Court judges have equal continuous service, the oldest by age is designated. The Civic Consul may not nominate a serving Temporary Associate Justice for the seat they are temporarily filling through the ordinary appointment process under this section; this bar does not affect placement on a public confirmation ballot under §4.4.a.</w:t>
      </w:r>
    </w:p>
    <w:p>
      <w:pPr>
        <w:spacing w:after="60" w:before="200"/>
        <w:ind w:left="431"/>
        <w:jc w:val="left"/>
      </w:pPr>
      <w:r>
        <w:rPr>
          <w:rFonts w:ascii="Courier New" w:cs="Courier New" w:eastAsia="Courier New" w:hAnsi="Courier New"/>
          <w:b/>
          <w:bCs/>
          <w:color w:val="2a2a2a"/>
          <w:sz w:val="18"/>
          <w:szCs w:val="18"/>
        </w:rPr>
        <w:t xml:space="preserve">§4.4.a  </w:t>
      </w:r>
      <w:r>
        <w:rPr>
          <w:rFonts w:ascii="Garamond" w:cs="Garamond" w:eastAsia="Garamond" w:hAnsi="Garamond"/>
          <w:b w:val="false"/>
          <w:bCs w:val="false"/>
          <w:i/>
          <w:i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under §7.4;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Judicial Pool nominee before the public vote is certified ends the bypass immediately. The Temporary Associate Justice may advocate for their own confirmation once placed on the ballot under this section. A public confirmation vote under this section is not an election; §8.1’s electoral finance framework does not apply. Rules governing advocacy conduct, contributions, and disclosure during a public confirmation vote are defined by statute, which must maintain the foreign contribution prohibition and disclosure requirements consistent with the principles of §8.1.</w:t>
      </w:r>
    </w:p>
    <w:p>
      <w:pPr>
        <w:spacing w:after="60" w:before="200"/>
        <w:ind w:left="431"/>
        <w:jc w:val="left"/>
      </w:pPr>
      <w:r>
        <w:rPr>
          <w:rFonts w:ascii="Courier New" w:cs="Courier New" w:eastAsia="Courier New" w:hAnsi="Courier New"/>
          <w:b/>
          <w:bCs/>
          <w:color w:val="2a2a2a"/>
          <w:sz w:val="18"/>
          <w:szCs w:val="18"/>
        </w:rPr>
        <w:t xml:space="preserve">§4.5  </w:t>
      </w:r>
      <w:r>
        <w:rPr>
          <w:rFonts w:ascii="Garamond" w:cs="Garamond" w:eastAsia="Garamond" w:hAnsi="Garamond"/>
          <w:b w:val="false"/>
          <w:bCs w:val="false"/>
          <w:i/>
          <w:iCs/>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a2a"/>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constitutional challenges to federal statutes; disputes between the Legat Consul and Civic Consul concerning their respective constitutional domains under §2.1; constitutional challenges involving constitutionally independent institutions where their independence protections make inferior court review structurally inappropriate; emergency rights claims brought directly under §16.5; and disputes over the consistency of ratified amendments with entrenched provisions under §17.3.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 Where this Constitution establishes a deadline for an SC ruling, a majority of seated justices may file an extension request within that period specifying the reason and additional time required, published to the NRS; the maximum extension is defined by statute, not to exceed 30 days per extension. The SC may issue interim protective orders of limited scope in matters within its original jurisdiction where delay would cause irreparable harm pending its full ruling, published to the NRS. The SC’s failure to rule within any constitutionally required period produces no substantive constitutional outcome by operation of that failure; the petitioning party may reinitiate under any procedure applicable to the underlying matter.</w:t>
      </w:r>
    </w:p>
    <w:p>
      <w:pPr>
        <w:spacing w:after="60" w:before="200"/>
        <w:ind w:left="431"/>
        <w:jc w:val="left"/>
      </w:pPr>
      <w:r>
        <w:rPr>
          <w:rFonts w:ascii="Courier New" w:cs="Courier New" w:eastAsia="Courier New" w:hAnsi="Courier New"/>
          <w:b/>
          <w:bCs/>
          <w:color w:val="2a2a2a"/>
          <w:sz w:val="18"/>
          <w:szCs w:val="18"/>
        </w:rPr>
        <w:t xml:space="preserve">§4.6  </w:t>
      </w:r>
      <w:r>
        <w:rPr>
          <w:rFonts w:ascii="Garamond" w:cs="Garamond" w:eastAsia="Garamond" w:hAnsi="Garamond"/>
          <w:b w:val="false"/>
          <w:bCs w:val="false"/>
          <w:i/>
          <w:iCs/>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a2a"/>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 — Citizenship and National Identity</w:t>
      </w:r>
    </w:p>
    <w:p>
      <w:pPr>
        <w:spacing w:after="60" w:before="200"/>
        <w:ind w:left="431"/>
        <w:jc w:val="left"/>
      </w:pPr>
      <w:r>
        <w:rPr>
          <w:rFonts w:ascii="Courier New" w:cs="Courier New" w:eastAsia="Courier New" w:hAnsi="Courier New"/>
          <w:b/>
          <w:bCs/>
          <w:color w:val="2a2a2a"/>
          <w:sz w:val="18"/>
          <w:szCs w:val="18"/>
        </w:rPr>
        <w:t xml:space="preserve">§5.1  </w:t>
      </w:r>
      <w:r>
        <w:rPr>
          <w:rFonts w:ascii="Garamond" w:cs="Garamond" w:eastAsia="Garamond" w:hAnsi="Garamond"/>
          <w:b w:val="false"/>
          <w:bCs w:val="false"/>
          <w:i/>
          <w:iCs/>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pPr>
        <w:spacing w:after="60" w:before="200"/>
        <w:ind w:left="431"/>
        <w:jc w:val="left"/>
      </w:pPr>
      <w:r>
        <w:rPr>
          <w:rFonts w:ascii="Courier New" w:cs="Courier New" w:eastAsia="Courier New" w:hAnsi="Courier New"/>
          <w:b/>
          <w:bCs/>
          <w:color w:val="2a2a2a"/>
          <w:sz w:val="18"/>
          <w:szCs w:val="18"/>
        </w:rPr>
        <w:t xml:space="preserve">§5.2  </w:t>
      </w:r>
      <w:r>
        <w:rPr>
          <w:rFonts w:ascii="Garamond" w:cs="Garamond" w:eastAsia="Garamond" w:hAnsi="Garamond"/>
          <w:b w:val="false"/>
          <w:bCs w:val="false"/>
          <w:i/>
          <w:iCs/>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2a2a2a"/>
          <w:sz w:val="18"/>
          <w:szCs w:val="18"/>
        </w:rPr>
        <w:t xml:space="preserve">§5.3  </w:t>
      </w:r>
      <w:r>
        <w:rPr>
          <w:rFonts w:ascii="Garamond" w:cs="Garamond" w:eastAsia="Garamond" w:hAnsi="Garamond"/>
          <w:b w:val="false"/>
          <w:bCs w:val="false"/>
          <w:i/>
          <w:iCs/>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 — Immigration and Residency</w:t>
      </w:r>
    </w:p>
    <w:p>
      <w:pPr>
        <w:spacing w:after="60" w:before="200"/>
        <w:ind w:left="431"/>
        <w:jc w:val="left"/>
      </w:pPr>
      <w:r>
        <w:rPr>
          <w:rFonts w:ascii="Courier New" w:cs="Courier New" w:eastAsia="Courier New" w:hAnsi="Courier New"/>
          <w:b/>
          <w:bCs/>
          <w:color w:val="2a2a2a"/>
          <w:sz w:val="18"/>
          <w:szCs w:val="18"/>
        </w:rPr>
        <w:t xml:space="preserve">§6.1  </w:t>
      </w:r>
      <w:r>
        <w:rPr>
          <w:rFonts w:ascii="Garamond" w:cs="Garamond" w:eastAsia="Garamond" w:hAnsi="Garamond"/>
          <w:b w:val="false"/>
          <w:bCs w:val="false"/>
          <w:i/>
          <w:iCs/>
          <w:color w:val="1B2A4A"/>
          <w:sz w:val="22"/>
          <w:szCs w:val="22"/>
        </w:rPr>
        <w:t xml:space="preserve">The Two-Stage Immigration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2a2a2a"/>
          <w:sz w:val="18"/>
          <w:szCs w:val="18"/>
        </w:rPr>
        <w:t xml:space="preserve">§6.2  </w:t>
      </w:r>
      <w:r>
        <w:rPr>
          <w:rFonts w:ascii="Garamond" w:cs="Garamond" w:eastAsia="Garamond" w:hAnsi="Garamond"/>
          <w:b w:val="false"/>
          <w:bCs w:val="false"/>
          <w:i/>
          <w:iCs/>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a2a"/>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pPr>
        <w:spacing w:after="60" w:before="200"/>
        <w:ind w:left="431"/>
        <w:jc w:val="left"/>
      </w:pPr>
      <w:r>
        <w:rPr>
          <w:rFonts w:ascii="Courier New" w:cs="Courier New" w:eastAsia="Courier New" w:hAnsi="Courier New"/>
          <w:b/>
          <w:bCs/>
          <w:color w:val="2a2a2a"/>
          <w:sz w:val="18"/>
          <w:szCs w:val="18"/>
        </w:rPr>
        <w:t xml:space="preserve">§6.3  </w:t>
      </w:r>
      <w:r>
        <w:rPr>
          <w:rFonts w:ascii="Garamond" w:cs="Garamond" w:eastAsia="Garamond" w:hAnsi="Garamond"/>
          <w:b w:val="false"/>
          <w:bCs w:val="false"/>
          <w:i/>
          <w:iCs/>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 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ind w:left="431"/>
        <w:jc w:val="left"/>
      </w:pPr>
      <w:r>
        <w:rPr>
          <w:rFonts w:ascii="Courier New" w:cs="Courier New" w:eastAsia="Courier New" w:hAnsi="Courier New"/>
          <w:b/>
          <w:bCs/>
          <w:color w:val="2a2a2a"/>
          <w:sz w:val="18"/>
          <w:szCs w:val="18"/>
        </w:rPr>
        <w:t xml:space="preserve">§6.3.b  </w:t>
      </w:r>
      <w:r>
        <w:rPr>
          <w:rFonts w:ascii="Garamond" w:cs="Garamond" w:eastAsia="Garamond" w:hAnsi="Garamond"/>
          <w:b w:val="false"/>
          <w:bCs w:val="false"/>
          <w:i/>
          <w:iCs/>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judicial review by the court with active jurisdiction over the case.</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VII — Elections</w:t>
      </w:r>
    </w:p>
    <w:p>
      <w:pPr>
        <w:spacing w:after="60" w:before="200"/>
        <w:ind w:left="431"/>
        <w:jc w:val="left"/>
      </w:pPr>
      <w:r>
        <w:rPr>
          <w:rFonts w:ascii="Courier New" w:cs="Courier New" w:eastAsia="Courier New" w:hAnsi="Courier New"/>
          <w:b/>
          <w:bCs/>
          <w:color w:val="2a2a2a"/>
          <w:sz w:val="18"/>
          <w:szCs w:val="18"/>
        </w:rPr>
        <w:t xml:space="preserve">§7.1  </w:t>
      </w:r>
      <w:r>
        <w:rPr>
          <w:rFonts w:ascii="Garamond" w:cs="Garamond" w:eastAsia="Garamond" w:hAnsi="Garamond"/>
          <w:b w:val="false"/>
          <w:bCs w:val="false"/>
          <w:i/>
          <w:iCs/>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2a2a2a"/>
          <w:sz w:val="18"/>
          <w:szCs w:val="18"/>
        </w:rPr>
        <w:t xml:space="preserve">§7.2  </w:t>
      </w:r>
      <w:r>
        <w:rPr>
          <w:rFonts w:ascii="Garamond" w:cs="Garamond" w:eastAsia="Garamond" w:hAnsi="Garamond"/>
          <w:b w:val="false"/>
          <w:bCs w:val="false"/>
          <w:i/>
          <w:iCs/>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votes cast,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 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pPr>
        <w:spacing w:after="60" w:before="200"/>
        <w:ind w:left="431"/>
        <w:jc w:val="left"/>
      </w:pPr>
      <w:r>
        <w:rPr>
          <w:rFonts w:ascii="Courier New" w:cs="Courier New" w:eastAsia="Courier New" w:hAnsi="Courier New"/>
          <w:b/>
          <w:bCs/>
          <w:color w:val="2a2a2a"/>
          <w:sz w:val="18"/>
          <w:szCs w:val="18"/>
        </w:rPr>
        <w:t xml:space="preserve">§7.3  </w:t>
      </w:r>
      <w:r>
        <w:rPr>
          <w:rFonts w:ascii="Garamond" w:cs="Garamond" w:eastAsia="Garamond" w:hAnsi="Garamond"/>
          <w:b w:val="false"/>
          <w:bCs w:val="false"/>
          <w:i/>
          <w:iCs/>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Federal elections are administered by the States within standards established and enforced by the Elections Panel; all state election systems must connect to and operate through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pPr>
        <w:spacing w:after="60" w:before="200"/>
        <w:ind w:left="431"/>
        <w:jc w:val="left"/>
      </w:pPr>
      <w:r>
        <w:rPr>
          <w:rFonts w:ascii="Courier New" w:cs="Courier New" w:eastAsia="Courier New" w:hAnsi="Courier New"/>
          <w:b/>
          <w:bCs/>
          <w:color w:val="2a2a2a"/>
          <w:sz w:val="18"/>
          <w:szCs w:val="18"/>
        </w:rPr>
        <w:t xml:space="preserve">§7.3.a  </w:t>
      </w:r>
      <w:r>
        <w:rPr>
          <w:rFonts w:ascii="Garamond" w:cs="Garamond" w:eastAsia="Garamond" w:hAnsi="Garamond"/>
          <w:b w:val="false"/>
          <w:bCs w:val="false"/>
          <w:i/>
          <w:iCs/>
          <w:color w:val="1B2A4A"/>
          <w:sz w:val="22"/>
          <w:szCs w:val="22"/>
        </w:rPr>
        <w:t xml:space="preserve">Special Elections and Postponements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The Elections Panel publishes a finding when conditions have normalized sufficiently for elections to proceed; elections must be held within 30 days of that publication. Either chamber may petition the SC seeking expedited judicial review of the Elections Panel’s finding; the applicable court and expedited process are defined by statute. No further postponement may be granted without a new Elections Panel finding of impossibility and a new 2/3 legislative determination.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VIII — Electoral Finance and Campaign Conduct</w:t>
      </w:r>
    </w:p>
    <w:p>
      <w:pPr>
        <w:spacing w:after="60" w:before="200"/>
        <w:ind w:left="431"/>
        <w:jc w:val="left"/>
      </w:pPr>
      <w:r>
        <w:rPr>
          <w:rFonts w:ascii="Courier New" w:cs="Courier New" w:eastAsia="Courier New" w:hAnsi="Courier New"/>
          <w:b/>
          <w:bCs/>
          <w:color w:val="2a2a2a"/>
          <w:sz w:val="18"/>
          <w:szCs w:val="18"/>
        </w:rPr>
        <w:t xml:space="preserve">§8.1  </w:t>
      </w:r>
      <w:r>
        <w:rPr>
          <w:rFonts w:ascii="Garamond" w:cs="Garamond" w:eastAsia="Garamond" w:hAnsi="Garamond"/>
          <w:b w:val="false"/>
          <w:bCs w:val="false"/>
          <w:i/>
          <w:iCs/>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a2a"/>
          <w:sz w:val="22"/>
          <w:szCs w:val="22"/>
        </w:rPr>
        <w:t xml:space="preserve">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2a2a2a"/>
          <w:sz w:val="18"/>
          <w:szCs w:val="18"/>
        </w:rPr>
        <w:t xml:space="preserve">§8.2  </w:t>
      </w:r>
      <w:r>
        <w:rPr>
          <w:rFonts w:ascii="Garamond" w:cs="Garamond" w:eastAsia="Garamond" w:hAnsi="Garamond"/>
          <w:b w:val="false"/>
          <w:bCs w:val="false"/>
          <w:i/>
          <w:iCs/>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a2a"/>
          <w:sz w:val="22"/>
          <w:szCs w:val="22"/>
        </w:rPr>
        <w:t xml:space="preserve">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2a2a2a"/>
          <w:sz w:val="18"/>
          <w:szCs w:val="18"/>
        </w:rPr>
        <w:t xml:space="preserve">§8.3  </w:t>
      </w:r>
      <w:r>
        <w:rPr>
          <w:rFonts w:ascii="Garamond" w:cs="Garamond" w:eastAsia="Garamond" w:hAnsi="Garamond"/>
          <w:b w:val="false"/>
          <w:bCs w:val="false"/>
          <w:i/>
          <w:iCs/>
          <w:color w:val="1B2A4A"/>
          <w:sz w:val="22"/>
          <w:szCs w:val="22"/>
        </w:rPr>
        <w:t xml:space="preserve">Public Spectrum Access for Campaigns</w:t>
      </w:r>
    </w:p>
    <w:p>
      <w:pPr>
        <w:spacing w:after="120" w:before="0"/>
        <w:ind w:left="431"/>
        <w:jc w:val="both"/>
      </w:pPr>
      <w:r>
        <w:rPr>
          <w:rFonts w:ascii="Garamond" w:cs="Garamond" w:eastAsia="Garamond" w:hAnsi="Garamond"/>
          <w:b w:val="false"/>
          <w:bCs w:val="false"/>
          <w:i w:val="false"/>
          <w:iCs w:val="false"/>
          <w:color w:val="2a2a2a"/>
          <w:sz w:val="22"/>
          <w:szCs w:val="22"/>
        </w:rPr>
        <w:t xml:space="preserve">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IX — The Monitors</w:t>
      </w:r>
    </w:p>
    <w:p>
      <w:pPr>
        <w:spacing w:after="60" w:before="200"/>
        <w:ind w:left="431"/>
        <w:jc w:val="left"/>
      </w:pPr>
      <w:r>
        <w:rPr>
          <w:rFonts w:ascii="Courier New" w:cs="Courier New" w:eastAsia="Courier New" w:hAnsi="Courier New"/>
          <w:b/>
          <w:bCs/>
          <w:color w:val="2a2a2a"/>
          <w:sz w:val="18"/>
          <w:szCs w:val="18"/>
        </w:rPr>
        <w:t xml:space="preserve">§9.1  </w:t>
      </w:r>
      <w:r>
        <w:rPr>
          <w:rFonts w:ascii="Garamond" w:cs="Garamond" w:eastAsia="Garamond" w:hAnsi="Garamond"/>
          <w:b w:val="false"/>
          <w:bCs w:val="false"/>
          <w:i/>
          <w:iCs/>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pPr>
        <w:spacing w:after="60" w:before="200"/>
        <w:ind w:left="431"/>
        <w:jc w:val="left"/>
      </w:pPr>
      <w:r>
        <w:rPr>
          <w:rFonts w:ascii="Courier New" w:cs="Courier New" w:eastAsia="Courier New" w:hAnsi="Courier New"/>
          <w:b/>
          <w:bCs/>
          <w:color w:val="2a2a2a"/>
          <w:sz w:val="18"/>
          <w:szCs w:val="18"/>
        </w:rPr>
        <w:t xml:space="preserve">§9.1.a  </w:t>
      </w:r>
      <w:r>
        <w:rPr>
          <w:rFonts w:ascii="Garamond" w:cs="Garamond" w:eastAsia="Garamond" w:hAnsi="Garamond"/>
          <w:b w:val="false"/>
          <w:bCs w:val="false"/>
          <w:i/>
          <w:iCs/>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pPr>
        <w:spacing w:after="60" w:before="200"/>
        <w:ind w:left="431"/>
        <w:jc w:val="left"/>
      </w:pPr>
      <w:r>
        <w:rPr>
          <w:rFonts w:ascii="Courier New" w:cs="Courier New" w:eastAsia="Courier New" w:hAnsi="Courier New"/>
          <w:b/>
          <w:bCs/>
          <w:color w:val="2a2a2a"/>
          <w:sz w:val="18"/>
          <w:szCs w:val="18"/>
        </w:rPr>
        <w:t xml:space="preserve">§9.1.b  </w:t>
      </w:r>
      <w:r>
        <w:rPr>
          <w:rFonts w:ascii="Garamond" w:cs="Garamond" w:eastAsia="Garamond" w:hAnsi="Garamond"/>
          <w:b w:val="false"/>
          <w:bCs w:val="false"/>
          <w:i/>
          <w:iCs/>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2a2a2a"/>
          <w:sz w:val="18"/>
          <w:szCs w:val="18"/>
        </w:rPr>
        <w:t xml:space="preserve">§9.1.c  </w:t>
      </w:r>
      <w:r>
        <w:rPr>
          <w:rFonts w:ascii="Garamond" w:cs="Garamond" w:eastAsia="Garamond" w:hAnsi="Garamond"/>
          <w:b w:val="false"/>
          <w:bCs w:val="false"/>
          <w:i/>
          <w:iCs/>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JM audits the courts for judicial scope and independence, and conducts annual audits of the Elections Panel for electoral integrity compliance, including the administration of the Judicial Pool and all constitutional pools. The JM reviews compliance with compact agreements under Article XVI and Associated Community compact agreements under Article XX. The JM administers all constitutional lottery draws and candidate certification functions.</w:t>
      </w:r>
    </w:p>
    <w:p>
      <w:pPr>
        <w:spacing w:after="60" w:before="200"/>
        <w:ind w:left="431"/>
        <w:jc w:val="left"/>
      </w:pPr>
      <w:r>
        <w:rPr>
          <w:rFonts w:ascii="Courier New" w:cs="Courier New" w:eastAsia="Courier New" w:hAnsi="Courier New"/>
          <w:b/>
          <w:bCs/>
          <w:color w:val="2a2a2a"/>
          <w:sz w:val="18"/>
          <w:szCs w:val="18"/>
        </w:rPr>
        <w:t xml:space="preserve">§9.1.d  </w:t>
      </w:r>
      <w:r>
        <w:rPr>
          <w:rFonts w:ascii="Garamond" w:cs="Garamond" w:eastAsia="Garamond" w:hAnsi="Garamond"/>
          <w:b w:val="false"/>
          <w:bCs w:val="false"/>
          <w:i/>
          <w:i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where two or more pool members have equal continuous pool tenure, the tiebreaker is defined by statute.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2a2a2a"/>
          <w:sz w:val="18"/>
          <w:szCs w:val="18"/>
        </w:rPr>
        <w:t xml:space="preserve">§9.2  </w:t>
      </w:r>
      <w:r>
        <w:rPr>
          <w:rFonts w:ascii="Garamond" w:cs="Garamond" w:eastAsia="Garamond" w:hAnsi="Garamond"/>
          <w:b w:val="false"/>
          <w:bCs w:val="false"/>
          <w:i/>
          <w:iCs/>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pPr>
        <w:spacing w:after="60" w:before="200"/>
        <w:ind w:left="431"/>
        <w:jc w:val="left"/>
      </w:pPr>
      <w:r>
        <w:rPr>
          <w:rFonts w:ascii="Courier New" w:cs="Courier New" w:eastAsia="Courier New" w:hAnsi="Courier New"/>
          <w:b/>
          <w:bCs/>
          <w:color w:val="2a2a2a"/>
          <w:sz w:val="18"/>
          <w:szCs w:val="18"/>
        </w:rPr>
        <w:t xml:space="preserve">§9.3  </w:t>
      </w:r>
      <w:r>
        <w:rPr>
          <w:rFonts w:ascii="Garamond" w:cs="Garamond" w:eastAsia="Garamond" w:hAnsi="Garamond"/>
          <w:b w:val="false"/>
          <w:bCs w:val="false"/>
          <w:i/>
          <w:iCs/>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§9.12 from the JM Candidate Pool under §9.4.a. No two Monitor General terms may begin within 18 months of each other. The confirmed successor assumes full authority at the precise moment the incumbent’s term concludes.</w:t>
      </w:r>
    </w:p>
    <w:p>
      <w:pPr>
        <w:spacing w:after="60" w:before="200"/>
        <w:ind w:left="431"/>
        <w:jc w:val="left"/>
      </w:pPr>
      <w:r>
        <w:rPr>
          <w:rFonts w:ascii="Courier New" w:cs="Courier New" w:eastAsia="Courier New" w:hAnsi="Courier New"/>
          <w:b/>
          <w:bCs/>
          <w:color w:val="2a2a2a"/>
          <w:sz w:val="18"/>
          <w:szCs w:val="18"/>
        </w:rPr>
        <w:t xml:space="preserve">§9.4  </w:t>
      </w:r>
      <w:r>
        <w:rPr>
          <w:rFonts w:ascii="Garamond" w:cs="Garamond" w:eastAsia="Garamond" w:hAnsi="Garamond"/>
          <w:b w:val="false"/>
          <w:bCs w:val="false"/>
          <w:i/>
          <w:iCs/>
          <w:color w:val="1B2A4A"/>
          <w:sz w:val="22"/>
          <w:szCs w:val="22"/>
        </w:rPr>
        <w:t xml:space="preserve">Judicial Monitor Audit and Lottery Administration Mandate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the Elections Panel may appeal to the Appellate Court within 14 days; the Court reviews only whether eligibility criteria were correctly applied and must rule within 21 days.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JMC conducts the lottery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2a2a2a"/>
          <w:sz w:val="18"/>
          <w:szCs w:val="18"/>
        </w:rPr>
        <w:t xml:space="preserve">§9.4.b  </w:t>
      </w:r>
      <w:r>
        <w:rPr>
          <w:rFonts w:ascii="Garamond" w:cs="Garamond" w:eastAsia="Garamond" w:hAnsi="Garamond"/>
          <w:b w:val="false"/>
          <w:bCs w:val="false"/>
          <w:i/>
          <w:iCs/>
          <w:color w:val="1B2A4A"/>
          <w:sz w:val="22"/>
          <w:szCs w:val="22"/>
        </w:rPr>
        <w:t xml:space="preserve">Judicial Pool — Eligibility Criteria</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Elections Panel maintains the standing Judicial Pool from which all federal judicial appointments are drawn. Any citizen meeting the following eligibility criteria may apply directly to the Elections Panel: at least 15 years of legal practice or 10 years of judicial service; no current government position; no disqualifying financial interest. The Elections Panel applies the stated eligibility criteria and enters qualifying applicants into the Judicial Pool.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Judicial Pool is publicly accessible on the NRS at all times.</w:t>
      </w:r>
    </w:p>
    <w:p>
      <w:pPr>
        <w:spacing w:after="60" w:before="200"/>
        <w:ind w:left="431"/>
        <w:jc w:val="left"/>
      </w:pPr>
      <w:r>
        <w:rPr>
          <w:rFonts w:ascii="Courier New" w:cs="Courier New" w:eastAsia="Courier New" w:hAnsi="Courier New"/>
          <w:b/>
          <w:bCs/>
          <w:color w:val="2a2a2a"/>
          <w:sz w:val="18"/>
          <w:szCs w:val="18"/>
        </w:rPr>
        <w:t xml:space="preserve">§9.6  </w:t>
      </w:r>
      <w:r>
        <w:rPr>
          <w:rFonts w:ascii="Garamond" w:cs="Garamond" w:eastAsia="Garamond" w:hAnsi="Garamond"/>
          <w:b w:val="false"/>
          <w:bCs w:val="false"/>
          <w:i/>
          <w:iCs/>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finding, report, and discrepancy notice must be published to the NRS permanently and free of charge; no official may suppress, delay, classify, or alter a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2a2a2a"/>
          <w:sz w:val="18"/>
          <w:szCs w:val="18"/>
        </w:rPr>
        <w:t xml:space="preserve">§9.10  </w:t>
      </w:r>
      <w:r>
        <w:rPr>
          <w:rFonts w:ascii="Garamond" w:cs="Garamond" w:eastAsia="Garamond" w:hAnsi="Garamond"/>
          <w:b w:val="false"/>
          <w:bCs w:val="false"/>
          <w:i/>
          <w:iCs/>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2a2a2a"/>
          <w:sz w:val="18"/>
          <w:szCs w:val="18"/>
        </w:rPr>
        <w:t xml:space="preserve">§9.11  </w:t>
      </w:r>
      <w:r>
        <w:rPr>
          <w:rFonts w:ascii="Garamond" w:cs="Garamond" w:eastAsia="Garamond" w:hAnsi="Garamond"/>
          <w:b w:val="false"/>
          <w:bCs w:val="false"/>
          <w:i/>
          <w:iCs/>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2a2a2a"/>
          <w:sz w:val="18"/>
          <w:szCs w:val="18"/>
        </w:rPr>
        <w:t xml:space="preserve">§9.11.a  </w:t>
      </w:r>
      <w:r>
        <w:rPr>
          <w:rFonts w:ascii="Garamond" w:cs="Garamond" w:eastAsia="Garamond" w:hAnsi="Garamond"/>
          <w:b w:val="false"/>
          <w:bCs w:val="false"/>
          <w:i/>
          <w:i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two of the three Monitors jointly assess and report that the third is operating in demonstrable bad faith, they petition the SC directly for confirmation of the finding under its original jurisdiction in §4.5; the SC rules within 14 days. Upon filing the petition, the two petitioning Monitors jointly designate an Acting Monitor General as the most senior member of the affected Monitor’s candidate pool by continuous pool tenure who accepts the designation; both executives are notified immediately. The Acting Monitor General assumes all constitutional functions of the compromised Monitor from the moment of designation. If the SC rules that the finding is not confirmed, the Acting Monitor General stands down and all functions return immediately to the original Monitor General. Where the SC neither rules nor files an extension request within the applicable period, the Acting Monitor General stands down, all functions return to the original Monitor General, and the petition may be refiled.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2a2a2a"/>
          <w:sz w:val="18"/>
          <w:szCs w:val="18"/>
        </w:rPr>
        <w:t xml:space="preserve">§9.12  </w:t>
      </w:r>
      <w:r>
        <w:rPr>
          <w:rFonts w:ascii="Garamond" w:cs="Garamond" w:eastAsia="Garamond" w:hAnsi="Garamond"/>
          <w:b w:val="false"/>
          <w:bCs w:val="false"/>
          <w:i/>
          <w:iCs/>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Elections Panel maintains all constitutional candidate registries and pools, including the Judicial Pool, and administers public access to their records via the NRS. Each pool is subject to ongoing Monitor audit; findings are published to the NRS. Any applicant excluded may appeal to the SC within 14 days on the sole ground that the qualification requirements were misapplied. Lottery draws are conducted by the JMC in a public session and published to the NRS.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this fallback applies only to judicial and Monitor pools. Eligibility criteria for all pools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applicant may appeal to the courts within 30 days of NRS publication on the sole ground that stated grounds do not correspond to an established eligibility criterion; the applicable court and process are defined by statute. Changes to eligibility criteria apply prospectively only and do not affect persons already entered in a constitutional pool or registry under the criteria applicable at the time of their entry.</w:t>
      </w:r>
    </w:p>
    <w:p>
      <w:pPr>
        <w:spacing w:after="60" w:before="200"/>
        <w:ind w:left="431"/>
        <w:jc w:val="left"/>
      </w:pPr>
      <w:r>
        <w:rPr>
          <w:rFonts w:ascii="Courier New" w:cs="Courier New" w:eastAsia="Courier New" w:hAnsi="Courier New"/>
          <w:b/>
          <w:bCs/>
          <w:color w:val="2a2a2a"/>
          <w:sz w:val="18"/>
          <w:szCs w:val="18"/>
        </w:rPr>
        <w:t xml:space="preserve">§9.14  </w:t>
      </w:r>
      <w:r>
        <w:rPr>
          <w:rFonts w:ascii="Garamond" w:cs="Garamond" w:eastAsia="Garamond" w:hAnsi="Garamond"/>
          <w:b w:val="false"/>
          <w:bCs w:val="false"/>
          <w:i/>
          <w:iCs/>
          <w:color w:val="1B2A4A"/>
          <w:sz w:val="22"/>
          <w:szCs w:val="22"/>
        </w:rPr>
        <w:t xml:space="preserve">Constitutional Officer Removal — Standard Track</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section governs for-cause removal of all constitutionally confirmed independent officers except Supreme Court justices under §4.3.b and elected executives. Monitor Generals are subject to for-cause removal under this section; the Judicial Track is additionally available for Monitor Generals where two of the three Monitors jointly assess and report for-cause grounds. A concurrent resolution of 1/3 of either chamber, or two of the three Monitors jointly, may initiate removal by filing stated grounds with the SC. The SC determines within 14 days whether the stated grounds constitute at least one statutory removal category for the subject office; the SC reviews constitutional category only, not factual merits. If grounds are confirmed, duty suspension activates immediately and removal requires a 2/3 concurrent vote of both chambers; no removal vote may be held within 180 days of a major national election without prior SC review within 48 hours. If grounds are not confirmed, the process closes and may not be reinitiated on the same or substantially similar grounds within six months. The SC must rule within 14 days; where the SC requires additional time, a majority of seated justices may file an extension request within the 14-day period specifying the reason and the additional period required, published to the NRS; the maximum extension period is defined by statute. Where the SC neither rules nor files an extension request within the applicable period, the removal proceeding lapses for that session and may be reinitiated under this section. The Legislature defines enumerated removal categories for each constitutionally confirmed office by statute.</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2a2a2a"/>
          <w:sz w:val="18"/>
          <w:szCs w:val="18"/>
        </w:rPr>
        <w:t xml:space="preserve">§10.1  </w:t>
      </w:r>
      <w:r>
        <w:rPr>
          <w:rFonts w:ascii="Garamond" w:cs="Garamond" w:eastAsia="Garamond" w:hAnsi="Garamond"/>
          <w:b w:val="false"/>
          <w:bCs w:val="false"/>
          <w:i/>
          <w:iCs/>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this Constitution is published to the NRS as a permanent record; no provision need state this obligation individually.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 Where a specific publication timeline is provided it governs; otherwise publication occurs at or before the effective moment of the act. Records may not be deleted, altered, or reclassified after publication; corrections are published as new entries alongside the original. Where the NRS Panel determines by unanimous vote that a record poses an imminent, specific, and documented threat to individual safety, it may temporarily restrict access for up to 30 days pending judicial review; the reviewing court must rule within 14 days; the record is permanently restored unless the court confirms the restriction on the narrowest possible grounds; the applicable court is designated by statute. The original timestamp and the restriction record both remain as permanent NRS entries. Government acts take legal effect from the moment of issuance regardless of NRS status — the NRS is the record of government, not a condition of it.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 Funding for the NRS may not fall below the prior year’s level without a 2/3 vote of both chambers.</w:t>
      </w:r>
    </w:p>
    <w:p>
      <w:pPr>
        <w:spacing w:after="60" w:before="200"/>
        <w:ind w:left="431"/>
        <w:jc w:val="left"/>
      </w:pPr>
      <w:r>
        <w:rPr>
          <w:rFonts w:ascii="Courier New" w:cs="Courier New" w:eastAsia="Courier New" w:hAnsi="Courier New"/>
          <w:b/>
          <w:bCs/>
          <w:color w:val="2a2a2a"/>
          <w:sz w:val="18"/>
          <w:szCs w:val="18"/>
        </w:rPr>
        <w:t xml:space="preserve">§10.3  </w:t>
      </w:r>
      <w:r>
        <w:rPr>
          <w:rFonts w:ascii="Garamond" w:cs="Garamond" w:eastAsia="Garamond" w:hAnsi="Garamond"/>
          <w:b w:val="false"/>
          <w:bCs w:val="false"/>
          <w:i/>
          <w:i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a2a"/>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 — NRS Panel and Elections Panel</w:t>
      </w:r>
    </w:p>
    <w:p>
      <w:pPr>
        <w:spacing w:after="60" w:before="200"/>
        <w:ind w:left="431"/>
        <w:jc w:val="left"/>
      </w:pPr>
      <w:r>
        <w:rPr>
          <w:rFonts w:ascii="Courier New" w:cs="Courier New" w:eastAsia="Courier New" w:hAnsi="Courier New"/>
          <w:b/>
          <w:bCs/>
          <w:color w:val="2a2a2a"/>
          <w:sz w:val="18"/>
          <w:szCs w:val="18"/>
        </w:rPr>
        <w:t xml:space="preserve">§11.1  </w:t>
      </w:r>
      <w:r>
        <w:rPr>
          <w:rFonts w:ascii="Garamond" w:cs="Garamond" w:eastAsia="Garamond" w:hAnsi="Garamond"/>
          <w:b w:val="false"/>
          <w:bCs w:val="false"/>
          <w:i/>
          <w:iCs/>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a2a"/>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 Where the Elections Panel certifies a State’s election system as non-compliant before an election, the Panel may withhold result certification for affected districts pending compliance or a special election under §7.3.a. Each panel is operationally independent of the other, of both executives, and of the Legislature in the exercise of its functions.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 Where either Panel falls below the five-member floor through resignation, removal, disqualification, or any other cause, the Civic Consul may appoint a qualified civil servant employed by that Panel to serve as Acting member, not to exceed the period defined by statute, which may not exceed 180 days; the Acting member may exercise all authorities of a full member during that period and the appointment does not affect the ordinary process for filling the vacancy permanently.</w:t>
      </w:r>
    </w:p>
    <w:p>
      <w:pPr>
        <w:spacing w:after="60" w:before="200"/>
        <w:ind w:left="431"/>
        <w:jc w:val="left"/>
      </w:pPr>
      <w:r>
        <w:rPr>
          <w:rFonts w:ascii="Courier New" w:cs="Courier New" w:eastAsia="Courier New" w:hAnsi="Courier New"/>
          <w:b/>
          <w:bCs/>
          <w:color w:val="2a2a2a"/>
          <w:sz w:val="18"/>
          <w:szCs w:val="18"/>
        </w:rPr>
        <w:t xml:space="preserve">§11.2  </w:t>
      </w:r>
      <w:r>
        <w:rPr>
          <w:rFonts w:ascii="Garamond" w:cs="Garamond" w:eastAsia="Garamond" w:hAnsi="Garamond"/>
          <w:b w:val="false"/>
          <w:bCs w:val="false"/>
          <w:i/>
          <w:iCs/>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2a2a2a"/>
          <w:sz w:val="18"/>
          <w:szCs w:val="18"/>
        </w:rPr>
        <w:t xml:space="preserve">§11.3  </w:t>
      </w:r>
      <w:r>
        <w:rPr>
          <w:rFonts w:ascii="Garamond" w:cs="Garamond" w:eastAsia="Garamond" w:hAnsi="Garamond"/>
          <w:b w:val="false"/>
          <w:bCs w:val="false"/>
          <w:i/>
          <w:iCs/>
          <w:color w:val="1B2A4A"/>
          <w:sz w:val="22"/>
          <w:szCs w:val="22"/>
        </w:rPr>
        <w:t xml:space="preserve">State Election Non-Compliance</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that State for that electoral period only; State administration resumes automatically at the conclusion of that period. The State may petition the SC for challenge the Elections Panel’s finding under §4.5’s original jurisdiction provisions governing State-federal disputes; the process and timeline are defined by statute. A finding of non-compliance does not affect the validity of votes cast; the Elections Panel's administration obligation is to ensure constitutional standards are met going forward.</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XII — Social State and Economic Rights</w:t>
      </w:r>
    </w:p>
    <w:p>
      <w:pPr>
        <w:spacing w:after="60" w:before="200"/>
        <w:ind w:left="431"/>
        <w:jc w:val="left"/>
      </w:pPr>
      <w:r>
        <w:rPr>
          <w:rFonts w:ascii="Courier New" w:cs="Courier New" w:eastAsia="Courier New" w:hAnsi="Courier New"/>
          <w:b/>
          <w:bCs/>
          <w:color w:val="2a2a2a"/>
          <w:sz w:val="18"/>
          <w:szCs w:val="18"/>
        </w:rPr>
        <w:t xml:space="preserve">§12.1  </w:t>
      </w:r>
      <w:r>
        <w:rPr>
          <w:rFonts w:ascii="Garamond" w:cs="Garamond" w:eastAsia="Garamond" w:hAnsi="Garamond"/>
          <w:b w:val="false"/>
          <w:bCs w:val="false"/>
          <w:i/>
          <w:iCs/>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pPr>
        <w:spacing w:after="60" w:before="200"/>
        <w:ind w:left="431"/>
        <w:jc w:val="left"/>
      </w:pPr>
      <w:r>
        <w:rPr>
          <w:rFonts w:ascii="Courier New" w:cs="Courier New" w:eastAsia="Courier New" w:hAnsi="Courier New"/>
          <w:b/>
          <w:bCs/>
          <w:color w:val="2a2a2a"/>
          <w:sz w:val="18"/>
          <w:szCs w:val="18"/>
        </w:rPr>
        <w:t xml:space="preserve">§12.1.a  </w:t>
      </w:r>
      <w:r>
        <w:rPr>
          <w:rFonts w:ascii="Garamond" w:cs="Garamond" w:eastAsia="Garamond" w:hAnsi="Garamond"/>
          <w:b w:val="false"/>
          <w:bCs w:val="false"/>
          <w:i/>
          <w:iCs/>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2a2a2a"/>
          <w:sz w:val="18"/>
          <w:szCs w:val="18"/>
        </w:rPr>
        <w:t xml:space="preserve">§12.2  </w:t>
      </w:r>
      <w:r>
        <w:rPr>
          <w:rFonts w:ascii="Garamond" w:cs="Garamond" w:eastAsia="Garamond" w:hAnsi="Garamond"/>
          <w:b w:val="false"/>
          <w:bCs w:val="false"/>
          <w:i/>
          <w:iCs/>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judicial operations, active defense authorizations under §14.2, and social state continuity under §12.1;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pPr>
        <w:spacing w:after="60" w:before="200"/>
        <w:ind w:left="431"/>
        <w:jc w:val="left"/>
      </w:pPr>
      <w:r>
        <w:rPr>
          <w:rFonts w:ascii="Courier New" w:cs="Courier New" w:eastAsia="Courier New" w:hAnsi="Courier New"/>
          <w:b/>
          <w:bCs/>
          <w:color w:val="2a2a2a"/>
          <w:sz w:val="18"/>
          <w:szCs w:val="18"/>
        </w:rPr>
        <w:t xml:space="preserve">§12.3  </w:t>
      </w:r>
      <w:r>
        <w:rPr>
          <w:rFonts w:ascii="Garamond" w:cs="Garamond" w:eastAsia="Garamond" w:hAnsi="Garamond"/>
          <w:b w:val="false"/>
          <w:bCs w:val="false"/>
          <w:i/>
          <w:iCs/>
          <w:color w:val="1B2A4A"/>
          <w:sz w:val="22"/>
          <w:szCs w:val="22"/>
        </w:rPr>
        <w:t xml:space="preserve">Taxing Power and National Revenue Fund</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has exclusive authority to levy taxes, duties, and tariffs by statute; no other body may impose a tax, duty, or levy of any kind.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pPr>
        <w:spacing w:after="60" w:before="200"/>
        <w:ind w:left="431"/>
        <w:jc w:val="left"/>
      </w:pPr>
      <w:r>
        <w:rPr>
          <w:rFonts w:ascii="Courier New" w:cs="Courier New" w:eastAsia="Courier New" w:hAnsi="Courier New"/>
          <w:b/>
          <w:bCs/>
          <w:color w:val="2a2a2a"/>
          <w:sz w:val="18"/>
          <w:szCs w:val="18"/>
        </w:rPr>
        <w:t xml:space="preserve">§12.4  </w:t>
      </w:r>
      <w:r>
        <w:rPr>
          <w:rFonts w:ascii="Garamond" w:cs="Garamond" w:eastAsia="Garamond" w:hAnsi="Garamond"/>
          <w:b w:val="false"/>
          <w:bCs w:val="false"/>
          <w:i/>
          <w:iCs/>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a2a"/>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relevant chamber may void the decision by simple majority within 90 days of an EM finding of conflict. Constitutional officers may not, for a period defined by statute after leaving office — which may not be less than two years — engage in any activity that monetizes or draws on non-public information, relationships, or access accumulated during service; the EM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2a2a2a"/>
          <w:sz w:val="18"/>
          <w:szCs w:val="18"/>
        </w:rPr>
        <w:t xml:space="preserve">§12.4.a  </w:t>
      </w:r>
      <w:r>
        <w:rPr>
          <w:rFonts w:ascii="Garamond" w:cs="Garamond" w:eastAsia="Garamond" w:hAnsi="Garamond"/>
          <w:b w:val="false"/>
          <w:bCs w:val="false"/>
          <w:i/>
          <w:iCs/>
          <w:color w:val="1B2A4A"/>
          <w:sz w:val="22"/>
          <w:szCs w:val="22"/>
        </w:rPr>
        <w:t xml:space="preserve">Codes of Conduct and Recusal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§9.14.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pPr>
        <w:spacing w:after="60" w:before="200"/>
        <w:ind w:left="431"/>
        <w:jc w:val="left"/>
      </w:pPr>
      <w:r>
        <w:rPr>
          <w:rFonts w:ascii="Courier New" w:cs="Courier New" w:eastAsia="Courier New" w:hAnsi="Courier New"/>
          <w:b/>
          <w:bCs/>
          <w:color w:val="2a2a2a"/>
          <w:sz w:val="18"/>
          <w:szCs w:val="18"/>
        </w:rPr>
        <w:t xml:space="preserve">§12.5  </w:t>
      </w:r>
      <w:r>
        <w:rPr>
          <w:rFonts w:ascii="Garamond" w:cs="Garamond" w:eastAsia="Garamond" w:hAnsi="Garamond"/>
          <w:b w:val="false"/>
          <w:bCs w:val="false"/>
          <w:i/>
          <w:iCs/>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w:t>
      </w:r>
    </w:p>
    <w:p>
      <w:pPr>
        <w:spacing w:after="60" w:before="200"/>
        <w:ind w:left="431"/>
        <w:jc w:val="left"/>
      </w:pPr>
      <w:r>
        <w:rPr>
          <w:rFonts w:ascii="Courier New" w:cs="Courier New" w:eastAsia="Courier New" w:hAnsi="Courier New"/>
          <w:b/>
          <w:bCs/>
          <w:color w:val="2a2a2a"/>
          <w:sz w:val="18"/>
          <w:szCs w:val="18"/>
        </w:rPr>
        <w:t xml:space="preserve">§12.6  </w:t>
      </w:r>
      <w:r>
        <w:rPr>
          <w:rFonts w:ascii="Garamond" w:cs="Garamond" w:eastAsia="Garamond" w:hAnsi="Garamond"/>
          <w:b w:val="false"/>
          <w:bCs w:val="false"/>
          <w:i/>
          <w:iCs/>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a2a"/>
          <w:sz w:val="22"/>
          <w:szCs w:val="22"/>
        </w:rPr>
        <w:t xml:space="preserve">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pPr>
        <w:spacing w:after="60" w:before="200"/>
        <w:ind w:left="431"/>
        <w:jc w:val="left"/>
      </w:pPr>
      <w:r>
        <w:rPr>
          <w:rFonts w:ascii="Courier New" w:cs="Courier New" w:eastAsia="Courier New" w:hAnsi="Courier New"/>
          <w:b/>
          <w:bCs/>
          <w:color w:val="2a2a2a"/>
          <w:sz w:val="18"/>
          <w:szCs w:val="18"/>
        </w:rPr>
        <w:t xml:space="preserve">§12.7  </w:t>
      </w:r>
      <w:r>
        <w:rPr>
          <w:rFonts w:ascii="Garamond" w:cs="Garamond" w:eastAsia="Garamond" w:hAnsi="Garamond"/>
          <w:b w:val="false"/>
          <w:bCs w:val="false"/>
          <w:i/>
          <w:iCs/>
          <w:color w:val="1B2A4A"/>
          <w:sz w:val="22"/>
          <w:szCs w:val="22"/>
        </w:rPr>
        <w:t xml:space="preserve">Internal Commerce</w:t>
      </w:r>
    </w:p>
    <w:p>
      <w:pPr>
        <w:spacing w:after="120" w:before="0"/>
        <w:ind w:left="431"/>
        <w:jc w:val="both"/>
      </w:pPr>
      <w:r>
        <w:rPr>
          <w:rFonts w:ascii="Garamond" w:cs="Garamond" w:eastAsia="Garamond" w:hAnsi="Garamond"/>
          <w:b w:val="false"/>
          <w:bCs w:val="false"/>
          <w:i w:val="false"/>
          <w:iCs w:val="false"/>
          <w:color w:val="2a2a2a"/>
          <w:sz w:val="22"/>
          <w:szCs w:val="22"/>
        </w:rPr>
        <w:t xml:space="preserve">No State or Territory may impose requirements on goods, services, or economic activity originating in another State or Territory that are more burdensome than those applied to its own. The Legislature may establish uniform internal commerce standards by statute.</w:t>
      </w:r>
    </w:p>
    <w:p>
      <w:pPr>
        <w:spacing w:after="60" w:before="200"/>
        <w:ind w:left="431"/>
        <w:jc w:val="left"/>
      </w:pPr>
      <w:r>
        <w:rPr>
          <w:rFonts w:ascii="Courier New" w:cs="Courier New" w:eastAsia="Courier New" w:hAnsi="Courier New"/>
          <w:b/>
          <w:bCs/>
          <w:color w:val="2a2a2a"/>
          <w:sz w:val="18"/>
          <w:szCs w:val="18"/>
        </w:rPr>
        <w:t xml:space="preserve">§12.8  </w:t>
      </w:r>
      <w:r>
        <w:rPr>
          <w:rFonts w:ascii="Garamond" w:cs="Garamond" w:eastAsia="Garamond" w:hAnsi="Garamond"/>
          <w:b w:val="false"/>
          <w:bCs w:val="false"/>
          <w:i/>
          <w:iCs/>
          <w:color w:val="1B2A4A"/>
          <w:sz w:val="22"/>
          <w:szCs w:val="22"/>
        </w:rPr>
        <w:t xml:space="preserve">Fiscal Equalization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shall by statute establish a mechanism ensuring that every State and Territory has fiscal capacity reasonably sufficient to fulfil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must respond within 90 days. Following an EM finding that the mechanism has failed, the Monetary Authority must submit a remedy plan to the Civic Consul and the Speaker of each chamber within 30 days, published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XIII — Direct Democracy</w:t>
      </w:r>
    </w:p>
    <w:p>
      <w:pPr>
        <w:spacing w:after="60" w:before="200"/>
        <w:ind w:left="431"/>
        <w:jc w:val="left"/>
      </w:pPr>
      <w:r>
        <w:rPr>
          <w:rFonts w:ascii="Courier New" w:cs="Courier New" w:eastAsia="Courier New" w:hAnsi="Courier New"/>
          <w:b/>
          <w:bCs/>
          <w:color w:val="2a2a2a"/>
          <w:sz w:val="18"/>
          <w:szCs w:val="18"/>
        </w:rPr>
        <w:t xml:space="preserve">§13.1  </w:t>
      </w:r>
      <w:r>
        <w:rPr>
          <w:rFonts w:ascii="Garamond" w:cs="Garamond" w:eastAsia="Garamond" w:hAnsi="Garamond"/>
          <w:b w:val="false"/>
          <w:bCs w:val="false"/>
          <w:i/>
          <w:iCs/>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 may initiate a national referendum to repeal enacted legislation. The petition process begins within 90 days of enactment and proceeds in two phases, each authenticated through the NVS using Citizen Voting Credentials. Phase One, lasting up to 8 months, requires signatures from citizens equal to a percentage of eligible voters — defined by statute at not less than 0.5% nor more than 3% — in each of at least one-third of all States and Territories. Phase Two, lasting up to 8 months following Phase One’s completion, requires signatures from 5% of eligible voters nationally; signatures gathered in Phase One carry over and count toward this threshold.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of not less than 30% and not to exceed 50%, repeals the law immediately upon certification. A failed referendum may not be re-initiated on the same or substantially similar grounds; the Legislature may re-enact a repealed law, which is again subject to referendum.</w:t>
      </w:r>
    </w:p>
    <w:p>
      <w:pPr>
        <w:spacing w:after="60" w:before="200"/>
        <w:ind w:left="431"/>
        <w:jc w:val="left"/>
      </w:pPr>
      <w:r>
        <w:rPr>
          <w:rFonts w:ascii="Courier New" w:cs="Courier New" w:eastAsia="Courier New" w:hAnsi="Courier New"/>
          <w:b/>
          <w:bCs/>
          <w:color w:val="2a2a2a"/>
          <w:sz w:val="18"/>
          <w:szCs w:val="18"/>
        </w:rPr>
        <w:t xml:space="preserve">§13.2  </w:t>
      </w:r>
      <w:r>
        <w:rPr>
          <w:rFonts w:ascii="Garamond" w:cs="Garamond" w:eastAsia="Garamond" w:hAnsi="Garamond"/>
          <w:b w:val="false"/>
          <w:bCs w:val="false"/>
          <w:i/>
          <w:iCs/>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pPr>
        <w:spacing w:after="60" w:before="200"/>
        <w:ind w:left="431"/>
        <w:jc w:val="left"/>
      </w:pPr>
      <w:r>
        <w:rPr>
          <w:rFonts w:ascii="Courier New" w:cs="Courier New" w:eastAsia="Courier New" w:hAnsi="Courier New"/>
          <w:b/>
          <w:bCs/>
          <w:color w:val="2a2a2a"/>
          <w:sz w:val="18"/>
          <w:szCs w:val="18"/>
        </w:rPr>
        <w:t xml:space="preserve">§7.4  </w:t>
      </w:r>
      <w:r>
        <w:rPr>
          <w:rFonts w:ascii="Garamond" w:cs="Garamond" w:eastAsia="Garamond" w:hAnsi="Garamond"/>
          <w:b w:val="false"/>
          <w:bCs w:val="false"/>
          <w:i/>
          <w:i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a2a"/>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§9.14.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XIV — Military Authorization and Accountability</w:t>
      </w:r>
    </w:p>
    <w:p>
      <w:pPr>
        <w:spacing w:after="60" w:before="200"/>
        <w:ind w:left="431"/>
        <w:jc w:val="left"/>
      </w:pPr>
      <w:r>
        <w:rPr>
          <w:rFonts w:ascii="Courier New" w:cs="Courier New" w:eastAsia="Courier New" w:hAnsi="Courier New"/>
          <w:b/>
          <w:bCs/>
          <w:color w:val="2a2a2a"/>
          <w:sz w:val="18"/>
          <w:szCs w:val="18"/>
        </w:rPr>
        <w:t xml:space="preserve">§14.1  </w:t>
      </w:r>
      <w:r>
        <w:rPr>
          <w:rFonts w:ascii="Garamond" w:cs="Garamond" w:eastAsia="Garamond" w:hAnsi="Garamond"/>
          <w:b w:val="false"/>
          <w:bCs w:val="false"/>
          <w:i/>
          <w:iCs/>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a2a"/>
          <w:sz w:val="22"/>
          <w:szCs w:val="22"/>
        </w:rPr>
        <w:t xml:space="preserve">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pPr>
        <w:spacing w:after="60" w:before="200"/>
        <w:ind w:left="431"/>
        <w:jc w:val="left"/>
      </w:pPr>
      <w:r>
        <w:rPr>
          <w:rFonts w:ascii="Courier New" w:cs="Courier New" w:eastAsia="Courier New" w:hAnsi="Courier New"/>
          <w:b/>
          <w:bCs/>
          <w:color w:val="2a2a2a"/>
          <w:sz w:val="18"/>
          <w:szCs w:val="18"/>
        </w:rPr>
        <w:t xml:space="preserve">§14.2  </w:t>
      </w:r>
      <w:r>
        <w:rPr>
          <w:rFonts w:ascii="Garamond" w:cs="Garamond" w:eastAsia="Garamond" w:hAnsi="Garamond"/>
          <w:b w:val="false"/>
          <w:bCs w:val="false"/>
          <w:i/>
          <w:iCs/>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Military expenditure requires legislative authorization under §14.1 and budget passage under §2.5;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pPr>
        <w:spacing w:after="60" w:before="200"/>
        <w:ind w:left="431"/>
        <w:jc w:val="left"/>
      </w:pPr>
      <w:r>
        <w:rPr>
          <w:rFonts w:ascii="Courier New" w:cs="Courier New" w:eastAsia="Courier New" w:hAnsi="Courier New"/>
          <w:b/>
          <w:bCs/>
          <w:color w:val="2a2a2a"/>
          <w:sz w:val="18"/>
          <w:szCs w:val="18"/>
        </w:rPr>
        <w:t xml:space="preserve">§14.3  </w:t>
      </w:r>
      <w:r>
        <w:rPr>
          <w:rFonts w:ascii="Garamond" w:cs="Garamond" w:eastAsia="Garamond" w:hAnsi="Garamond"/>
          <w:b w:val="false"/>
          <w:bCs w:val="false"/>
          <w:i/>
          <w:iCs/>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pPr>
        <w:spacing w:after="60" w:before="200"/>
        <w:ind w:left="431"/>
        <w:jc w:val="left"/>
      </w:pPr>
      <w:r>
        <w:rPr>
          <w:rFonts w:ascii="Courier New" w:cs="Courier New" w:eastAsia="Courier New" w:hAnsi="Courier New"/>
          <w:b/>
          <w:bCs/>
          <w:color w:val="2a2a2a"/>
          <w:sz w:val="18"/>
          <w:szCs w:val="18"/>
        </w:rPr>
        <w:t xml:space="preserve">§14.4  </w:t>
      </w:r>
      <w:r>
        <w:rPr>
          <w:rFonts w:ascii="Garamond" w:cs="Garamond" w:eastAsia="Garamond" w:hAnsi="Garamond"/>
          <w:b w:val="false"/>
          <w:bCs w:val="false"/>
          <w:i/>
          <w:iCs/>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authorization, and the action proceeds under the ordinary terms of this Article from that point. Absent an affirmative vote within the 30-day period, §14.2’s expiration and wind-down provisions apply.</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 — Territorial Structure and Statehood</w:t>
      </w:r>
    </w:p>
    <w:p>
      <w:pPr>
        <w:spacing w:after="60" w:before="200"/>
        <w:ind w:left="431"/>
        <w:jc w:val="left"/>
      </w:pPr>
      <w:r>
        <w:rPr>
          <w:rFonts w:ascii="Courier New" w:cs="Courier New" w:eastAsia="Courier New" w:hAnsi="Courier New"/>
          <w:b/>
          <w:bCs/>
          <w:color w:val="2a2a2a"/>
          <w:sz w:val="18"/>
          <w:szCs w:val="18"/>
        </w:rPr>
        <w:t xml:space="preserve">§15.1  </w:t>
      </w:r>
      <w:r>
        <w:rPr>
          <w:rFonts w:ascii="Garamond" w:cs="Garamond" w:eastAsia="Garamond" w:hAnsi="Garamond"/>
          <w:b w:val="false"/>
          <w:bCs w:val="false"/>
          <w:i/>
          <w:iCs/>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a2a"/>
          <w:sz w:val="22"/>
          <w:szCs w:val="22"/>
        </w:rPr>
        <w:t xml:space="preserve">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2a2a2a"/>
          <w:sz w:val="18"/>
          <w:szCs w:val="18"/>
        </w:rPr>
        <w:t xml:space="preserve">§15.2  </w:t>
      </w:r>
      <w:r>
        <w:rPr>
          <w:rFonts w:ascii="Garamond" w:cs="Garamond" w:eastAsia="Garamond" w:hAnsi="Garamond"/>
          <w:b w:val="false"/>
          <w:bCs w:val="false"/>
          <w:i/>
          <w:iCs/>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2a2a2a"/>
          <w:sz w:val="18"/>
          <w:szCs w:val="18"/>
        </w:rPr>
        <w:t xml:space="preserve">§15.3  </w:t>
      </w:r>
      <w:r>
        <w:rPr>
          <w:rFonts w:ascii="Garamond" w:cs="Garamond" w:eastAsia="Garamond" w:hAnsi="Garamond"/>
          <w:b w:val="false"/>
          <w:bCs w:val="false"/>
          <w:i/>
          <w:iCs/>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enters Mandatory Devolution upon three consecutive annual Statehood Audit findings of failure published by the LM. After each failing audit, the LM publishes an Early Warning specifying compliance requirements; the State must publish a Remediation Plan within the period defined by statute. After three consecutive failures, citizens vote, administered by the Elections Panel under Article XI, on one of two paths: a two-year federal remediation commission, or Provisional status.
A State in Provisional status retains its existing governing structure and continues under the Statehood Audit cycle; passing the Statehood Audit restores full Statehood immediately, with no additional vote required. Where Provisional status continues for one year without a passed audit, citizens vote, administered by the Elections Panel under Article XI, on the principle of pursuing devolution, on the same terms as §15.4’s voluntary process. An affirmative vote proceeds through negotiation and Senate ratification under §15.4; absent an affirmative vote, the State continues in Provisional status under this section.
Sitting senators complete their current elected terms — Senate seats are not vacated — but no new Senate elections may be held while a State remains in Provisional status or after devolution takes effect, until Statehood is restored; existing Assembly members complete their current terms; Article I rights and social state protections continue without interruption.
Within 30 days of a State entering Provisional status, the affected State may petition the courts on the sole ground that the audit findings are factually insufficient to establish three consecutive failures; the court reviews only the factual basis; process and timeline are defined by statute.</w:t>
      </w:r>
    </w:p>
    <w:p>
      <w:pPr>
        <w:spacing w:after="60" w:before="200"/>
        <w:ind w:left="431"/>
        <w:jc w:val="left"/>
      </w:pPr>
      <w:r>
        <w:rPr>
          <w:rFonts w:ascii="Courier New" w:cs="Courier New" w:eastAsia="Courier New" w:hAnsi="Courier New"/>
          <w:b/>
          <w:bCs/>
          <w:color w:val="2a2a2a"/>
          <w:sz w:val="18"/>
          <w:szCs w:val="18"/>
        </w:rPr>
        <w:t xml:space="preserve">§15.4  </w:t>
      </w:r>
      <w:r>
        <w:rPr>
          <w:rFonts w:ascii="Garamond" w:cs="Garamond" w:eastAsia="Garamond" w:hAnsi="Garamond"/>
          <w:b w:val="false"/>
          <w:bCs w:val="false"/>
          <w:i/>
          <w:iCs/>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Senate approval by 2/3 majority. The agreement specifies asset and liability allocation, transition timeline, constitutional status of successor jurisdictions, fiscal obligations to the Republic, and continuing obligations; it is published to the NRS and legally binding.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2a2a2a"/>
          <w:sz w:val="18"/>
          <w:szCs w:val="18"/>
        </w:rPr>
        <w:t xml:space="preserve">§15.5  </w:t>
      </w:r>
      <w:r>
        <w:rPr>
          <w:rFonts w:ascii="Garamond" w:cs="Garamond" w:eastAsia="Garamond" w:hAnsi="Garamond"/>
          <w:b w:val="false"/>
          <w:bCs w:val="false"/>
          <w:i/>
          <w:iCs/>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a2a"/>
          <w:sz w:val="22"/>
          <w:szCs w:val="22"/>
        </w:rPr>
        <w:t xml:space="preserve">A Territory resulting from mandatory or voluntary devolution enters the Statehood re-qualification pathway under §15.2 immediately upon the effective date of devolution. No additional political vote is required to begin the pathway. Where a defined geographic subdivision of the Territory separately achieves Statehood under §15.2 or merges with an existing State under §15.4, the remainder continues under this section without interruption or loss of any progress already accrued toward re-qualification.</w:t>
      </w:r>
    </w:p>
    <w:p>
      <w:pPr>
        <w:spacing w:after="60" w:before="200"/>
        <w:ind w:left="431"/>
        <w:jc w:val="left"/>
      </w:pPr>
      <w:r>
        <w:rPr>
          <w:rFonts w:ascii="Courier New" w:cs="Courier New" w:eastAsia="Courier New" w:hAnsi="Courier New"/>
          <w:b/>
          <w:bCs/>
          <w:color w:val="2a2a2a"/>
          <w:sz w:val="18"/>
          <w:szCs w:val="18"/>
        </w:rPr>
        <w:t xml:space="preserve">§15.6  </w:t>
      </w:r>
      <w:r>
        <w:rPr>
          <w:rFonts w:ascii="Garamond" w:cs="Garamond" w:eastAsia="Garamond" w:hAnsi="Garamond"/>
          <w:b w:val="false"/>
          <w:bCs w:val="false"/>
          <w:i/>
          <w:iCs/>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§1.19.b before that ratification vote; published JM findings must be given due consideration. Any person with standing may challenge the incorporation before the SC on the ground that the entity systematically violates §1.19.b.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2a2a2a"/>
          <w:sz w:val="18"/>
          <w:szCs w:val="18"/>
        </w:rPr>
        <w:t xml:space="preserve">§15.7  </w:t>
      </w:r>
      <w:r>
        <w:rPr>
          <w:rFonts w:ascii="Garamond" w:cs="Garamond" w:eastAsia="Garamond" w:hAnsi="Garamond"/>
          <w:b w:val="false"/>
          <w:bCs w:val="false"/>
          <w:i/>
          <w:iCs/>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status election under §16.7 constitutes the consent mechanism required by this section for the purposes of indigenous territorial transitions; no additional Popular Ratification is required.</w:t>
      </w:r>
    </w:p>
    <w:p>
      <w:pPr>
        <w:spacing w:after="60" w:before="200"/>
        <w:ind w:left="431"/>
        <w:jc w:val="left"/>
      </w:pPr>
      <w:r>
        <w:rPr>
          <w:rFonts w:ascii="Courier New" w:cs="Courier New" w:eastAsia="Courier New" w:hAnsi="Courier New"/>
          <w:b/>
          <w:bCs/>
          <w:color w:val="2a2a2a"/>
          <w:sz w:val="18"/>
          <w:szCs w:val="18"/>
        </w:rPr>
        <w:t xml:space="preserve">§15.8  </w:t>
      </w:r>
      <w:r>
        <w:rPr>
          <w:rFonts w:ascii="Garamond" w:cs="Garamond" w:eastAsia="Garamond" w:hAnsi="Garamond"/>
          <w:b w:val="false"/>
          <w:bCs w:val="false"/>
          <w:i/>
          <w:iCs/>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a2a"/>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2a2a2a"/>
          <w:sz w:val="18"/>
          <w:szCs w:val="18"/>
        </w:rPr>
        <w:t xml:space="preserve">§15.9  </w:t>
      </w:r>
      <w:r>
        <w:rPr>
          <w:rFonts w:ascii="Garamond" w:cs="Garamond" w:eastAsia="Garamond" w:hAnsi="Garamond"/>
          <w:b w:val="false"/>
          <w:bCs w:val="false"/>
          <w:i/>
          <w:iCs/>
          <w:color w:val="1B2A4A"/>
          <w:sz w:val="22"/>
          <w:szCs w:val="22"/>
        </w:rPr>
        <w:t xml:space="preserve">Voluntary State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may seek independence from the Republic through a two-stage process.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 Upon certification of the referendum result, the Elections Panel publishes the independence petition to the NRS; the election is irrevocable from the moment of publication. The Republic may not prefer, discourage, or offer inducements toward any independence petition or referendum; the Republic must provide factual information about the process upon request. Stage Two requires both chambers to hold a concurrent ratification vote within 90 days of NRS publication; Assembly members elected from districts within the petitioning State and senators whose allocation derives from the petitioning State's population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 — Indigenous Sovereignty</w:t>
      </w:r>
    </w:p>
    <w:p>
      <w:pPr>
        <w:spacing w:after="60" w:before="200"/>
        <w:ind w:left="431"/>
        <w:jc w:val="left"/>
      </w:pPr>
      <w:r>
        <w:rPr>
          <w:rFonts w:ascii="Courier New" w:cs="Courier New" w:eastAsia="Courier New" w:hAnsi="Courier New"/>
          <w:b/>
          <w:bCs/>
          <w:color w:val="2a2a2a"/>
          <w:sz w:val="18"/>
          <w:szCs w:val="18"/>
        </w:rPr>
        <w:t xml:space="preserve">§16.1  </w:t>
      </w:r>
      <w:r>
        <w:rPr>
          <w:rFonts w:ascii="Garamond" w:cs="Garamond" w:eastAsia="Garamond" w:hAnsi="Garamond"/>
          <w:b w:val="false"/>
          <w:bCs w:val="false"/>
          <w:i/>
          <w:iCs/>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a2a"/>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2a2a2a"/>
          <w:sz w:val="18"/>
          <w:szCs w:val="18"/>
        </w:rPr>
        <w:t xml:space="preserve">§16.2  </w:t>
      </w:r>
      <w:r>
        <w:rPr>
          <w:rFonts w:ascii="Garamond" w:cs="Garamond" w:eastAsia="Garamond" w:hAnsi="Garamond"/>
          <w:b w:val="false"/>
          <w:bCs w:val="false"/>
          <w:i/>
          <w:iCs/>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2a2a2a"/>
          <w:sz w:val="18"/>
          <w:szCs w:val="18"/>
        </w:rPr>
        <w:t xml:space="preserve">§16.3  </w:t>
      </w:r>
      <w:r>
        <w:rPr>
          <w:rFonts w:ascii="Garamond" w:cs="Garamond" w:eastAsia="Garamond" w:hAnsi="Garamond"/>
          <w:b w:val="false"/>
          <w:bCs w:val="false"/>
          <w:i/>
          <w:iCs/>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2a2a2a"/>
          <w:sz w:val="18"/>
          <w:szCs w:val="18"/>
        </w:rPr>
        <w:t xml:space="preserve">§16.4  </w:t>
      </w:r>
      <w:r>
        <w:rPr>
          <w:rFonts w:ascii="Garamond" w:cs="Garamond" w:eastAsia="Garamond" w:hAnsi="Garamond"/>
          <w:b w:val="false"/>
          <w:bCs w:val="false"/>
          <w:i/>
          <w:iCs/>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compact establishes a working mechanism for implementation and day-to-day administration in a form the parties agree. The Legat Consul designates a ministerial counterpart within the Legat Consul’s office for each compact or treaty relationship recognized under this Article; this designation is published to the NRS. Disputes not resolved through the compact’s working mechanism are referred to independent adjudication on terms the compact specifies. The compact’s arbitration mechanism is the final forum for disputes between the Republic and the Nation arising from compact administration, including constitutional questions of compact interpretation; neither party may seek review of an arbitration determination in the Republic’s courts. The Executive Monitor audits the Republic’s compliance with its compact obligations annually and publishes findings to the NRS. Compact terms may be modified only by mutual agreement, negotiated by the Legat Consul and ratified by the Senate under §3.6. Compacts are reviewed on a schedule defined in their terms with a minimum review every 20 years; either party may request a review outside that schedule. A compact continues in force until the Nation files a valid status election under §16.7. For Territorial Integration, the compact ends upon ratification of the incorporation agreement under §15.6. For Full Sovereign Independence, the compact ends upon ratification of the independence treaty under §16.7, or upon the provisional framework taking effect under §16.7.a if no treaty is concluded.</w:t>
      </w:r>
    </w:p>
    <w:p>
      <w:pPr>
        <w:spacing w:after="60" w:before="200"/>
        <w:ind w:left="431"/>
        <w:jc w:val="left"/>
      </w:pPr>
      <w:r>
        <w:rPr>
          <w:rFonts w:ascii="Courier New" w:cs="Courier New" w:eastAsia="Courier New" w:hAnsi="Courier New"/>
          <w:b/>
          <w:bCs/>
          <w:color w:val="2a2a2a"/>
          <w:sz w:val="18"/>
          <w:szCs w:val="18"/>
        </w:rPr>
        <w:t xml:space="preserve">§16.5  </w:t>
      </w:r>
      <w:r>
        <w:rPr>
          <w:rFonts w:ascii="Garamond" w:cs="Garamond" w:eastAsia="Garamond" w:hAnsi="Garamond"/>
          <w:b w:val="false"/>
          <w:bCs w:val="false"/>
          <w:i/>
          <w:iCs/>
          <w:color w:val="1B2A4A"/>
          <w:sz w:val="22"/>
          <w:szCs w:val="22"/>
        </w:rPr>
        <w:t xml:space="preserve">Federal Obligations and Emergency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holds affirmative obligations to compact territories: federal education funding, healthcare access, infrastructure investment, and emergency response. These obligations are enforceable by the Nation through the compact’s dispute resolution mechanism. Any resident of compact territory who believes an Article I right has been violated may bring an Emergency Rights Writ directly to the SC, bypassing all lower courts and the compact’s dispute resolution mechanism; the SC must rule within 7 days under its original jurisdiction in §4.5; the extension and interim protective order provisions of §4.5 apply.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2a2a2a"/>
          <w:sz w:val="18"/>
          <w:szCs w:val="18"/>
        </w:rPr>
        <w:t xml:space="preserve">§16.6  </w:t>
      </w:r>
      <w:r>
        <w:rPr>
          <w:rFonts w:ascii="Garamond" w:cs="Garamond" w:eastAsia="Garamond" w:hAnsi="Garamond"/>
          <w:b w:val="false"/>
          <w:bCs w:val="false"/>
          <w:i/>
          <w:iCs/>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the ministerial counterpart designated under §16.4 administers the treaty’s institutional functions on an interim basis. A treaty alone does not constitute a compact under this Article; the protections specific to compacts under §16.3 and §16.4 apply only where the Nation holds a compact, and a Nation whose relationship with the Republic rests solely on a predecessor treaty may petition for a compact under §16.2 at any time, on the same terms as a Nation with no prior treaty.</w:t>
      </w:r>
    </w:p>
    <w:p>
      <w:pPr>
        <w:spacing w:after="60" w:before="200"/>
        <w:ind w:left="431"/>
        <w:jc w:val="left"/>
      </w:pPr>
      <w:r>
        <w:rPr>
          <w:rFonts w:ascii="Courier New" w:cs="Courier New" w:eastAsia="Courier New" w:hAnsi="Courier New"/>
          <w:b/>
          <w:bCs/>
          <w:color w:val="2a2a2a"/>
          <w:sz w:val="18"/>
          <w:szCs w:val="18"/>
        </w:rPr>
        <w:t xml:space="preserve">§16.7  </w:t>
      </w:r>
      <w:r>
        <w:rPr>
          <w:rFonts w:ascii="Garamond" w:cs="Garamond" w:eastAsia="Garamond" w:hAnsi="Garamond"/>
          <w:b w:val="false"/>
          <w:bCs w:val="false"/>
          <w:i/>
          <w:iCs/>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An indigenous nation recognized under this Article holds the constitutional right to initiate a status transition through its own democratic or traditional governance process. Three status options are available: (a) Continued Status — the Nation’s existing compact or treaty relationship under this Article continues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the Legislature ratifies the treaty by 2/3 of both chambers.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2a2a2a"/>
          <w:sz w:val="18"/>
          <w:szCs w:val="18"/>
        </w:rPr>
        <w:t xml:space="preserve">§16.7.a  </w:t>
      </w:r>
      <w:r>
        <w:rPr>
          <w:rFonts w:ascii="Garamond" w:cs="Garamond" w:eastAsia="Garamond" w:hAnsi="Garamond"/>
          <w:b w:val="false"/>
          <w:bCs w:val="false"/>
          <w:i/>
          <w:iCs/>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An election of Territorial Integration constitutes the principle step required by §15.6; once published, the Nation and the Legislature proceed directly to negotiation of the incorporation agreement under §15.6, which the Legislature ratifies by 2/3 of both chambers. A status election is irrevocable — a Nation that elects Territorial Integration or Full Sovereign Independence may not subsequently return to Article XVI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status has no special pathway back to it;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Article XVI status. Where no treaty is concluded within 24 months following a status election of Full Sovereign Independence, either party may propose one 12-month extension by mutual agreement published to the NRS. Absent a concluded treaty or a mutually agreed extension, independence takes effect with a provisional framework: existing compact terms govern borders, trade, and infrastructure on a provisional basis until replaced by treaty; citizenship arrangements follow §5.1; the Legat Consul publishes the provisional framework to the NRS. Either party may petition the SC to resolve specific disputes within the provisional framework. At ratification, the Republic must formally notify all recognized indigenous nations of their rights under §16.7.</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XVII — Constitutional Amendments</w:t>
      </w:r>
    </w:p>
    <w:p>
      <w:pPr>
        <w:spacing w:after="60" w:before="200"/>
        <w:ind w:left="431"/>
        <w:jc w:val="left"/>
      </w:pPr>
      <w:r>
        <w:rPr>
          <w:rFonts w:ascii="Courier New" w:cs="Courier New" w:eastAsia="Courier New" w:hAnsi="Courier New"/>
          <w:b/>
          <w:bCs/>
          <w:color w:val="2a2a2a"/>
          <w:sz w:val="18"/>
          <w:szCs w:val="18"/>
        </w:rPr>
        <w:t xml:space="preserve">§17.1  </w:t>
      </w:r>
      <w:r>
        <w:rPr>
          <w:rFonts w:ascii="Garamond" w:cs="Garamond" w:eastAsia="Garamond" w:hAnsi="Garamond"/>
          <w:b w:val="false"/>
          <w:bCs w:val="false"/>
          <w:i/>
          <w:iCs/>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 Amendment of the following provisions requires Popular Ratification regardless of the amendment’s origin: the Monitor selection mechanisms and independence protections (§9.2–§9.4), the Monitor information-only mandate and non-dependency principle (§9.1), the Monitor funding guarantee (§9.10),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pPr>
        <w:spacing w:after="60" w:before="200"/>
        <w:ind w:left="431"/>
        <w:jc w:val="left"/>
      </w:pPr>
      <w:r>
        <w:rPr>
          <w:rFonts w:ascii="Courier New" w:cs="Courier New" w:eastAsia="Courier New" w:hAnsi="Courier New"/>
          <w:b/>
          <w:bCs/>
          <w:color w:val="2a2a2a"/>
          <w:sz w:val="18"/>
          <w:szCs w:val="18"/>
        </w:rPr>
        <w:t xml:space="preserve">§17.2  </w:t>
      </w:r>
      <w:r>
        <w:rPr>
          <w:rFonts w:ascii="Garamond" w:cs="Garamond" w:eastAsia="Garamond" w:hAnsi="Garamond"/>
          <w:b w:val="false"/>
          <w:bCs w:val="false"/>
          <w:i/>
          <w:iCs/>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a2a"/>
          <w:sz w:val="22"/>
          <w:szCs w:val="22"/>
        </w:rPr>
        <w:t xml:space="preserve">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pPr>
        <w:spacing w:after="60" w:before="200"/>
        <w:ind w:left="431"/>
        <w:jc w:val="left"/>
      </w:pPr>
      <w:r>
        <w:rPr>
          <w:rFonts w:ascii="Courier New" w:cs="Courier New" w:eastAsia="Courier New" w:hAnsi="Courier New"/>
          <w:b/>
          <w:bCs/>
          <w:color w:val="2a2a2a"/>
          <w:sz w:val="18"/>
          <w:szCs w:val="18"/>
        </w:rPr>
        <w:t xml:space="preserve">§17.3  </w:t>
      </w:r>
      <w:r>
        <w:rPr>
          <w:rFonts w:ascii="Garamond" w:cs="Garamond" w:eastAsia="Garamond" w:hAnsi="Garamond"/>
          <w:b w:val="false"/>
          <w:bCs w:val="false"/>
          <w:i/>
          <w:iCs/>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a2a"/>
          <w:sz w:val="22"/>
          <w:szCs w:val="22"/>
        </w:rPr>
        <w:t xml:space="preserve">An amendment that is logically inconsistent with an existing provision must either explicitly repeal the inconsistent provision or the inconsistency is treated as void.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 If a ratified amendment's consistency with existing provisions is disputed, the SC resolves the dispute under its original jurisdiction in §4.5 on petition of any person with standing;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under its original jurisdiction in §4.5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2a2a2a"/>
          <w:sz w:val="18"/>
          <w:szCs w:val="18"/>
        </w:rPr>
        <w:t xml:space="preserve">§17.4  </w:t>
      </w:r>
      <w:r>
        <w:rPr>
          <w:rFonts w:ascii="Garamond" w:cs="Garamond" w:eastAsia="Garamond" w:hAnsi="Garamond"/>
          <w:b w:val="false"/>
          <w:bCs w:val="false"/>
          <w:i/>
          <w:iCs/>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XVIII — Federal Property and National Trust</w:t>
      </w:r>
    </w:p>
    <w:p>
      <w:pPr>
        <w:spacing w:after="60" w:before="200"/>
        <w:ind w:left="431"/>
        <w:jc w:val="left"/>
      </w:pPr>
      <w:r>
        <w:rPr>
          <w:rFonts w:ascii="Courier New" w:cs="Courier New" w:eastAsia="Courier New" w:hAnsi="Courier New"/>
          <w:b/>
          <w:bCs/>
          <w:color w:val="2a2a2a"/>
          <w:sz w:val="18"/>
          <w:szCs w:val="18"/>
        </w:rPr>
        <w:t xml:space="preserve">§18.1  </w:t>
      </w:r>
      <w:r>
        <w:rPr>
          <w:rFonts w:ascii="Garamond" w:cs="Garamond" w:eastAsia="Garamond" w:hAnsi="Garamond"/>
          <w:b w:val="false"/>
          <w:bCs w:val="false"/>
          <w:i/>
          <w:iCs/>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pPr>
        <w:spacing w:after="60" w:before="200"/>
        <w:ind w:left="431"/>
        <w:jc w:val="left"/>
      </w:pPr>
      <w:r>
        <w:rPr>
          <w:rFonts w:ascii="Courier New" w:cs="Courier New" w:eastAsia="Courier New" w:hAnsi="Courier New"/>
          <w:b/>
          <w:bCs/>
          <w:color w:val="2a2a2a"/>
          <w:sz w:val="18"/>
          <w:szCs w:val="18"/>
        </w:rPr>
        <w:t xml:space="preserve">§18.2  </w:t>
      </w:r>
      <w:r>
        <w:rPr>
          <w:rFonts w:ascii="Garamond" w:cs="Garamond" w:eastAsia="Garamond" w:hAnsi="Garamond"/>
          <w:b w:val="false"/>
          <w:bCs w:val="false"/>
          <w:i/>
          <w:iCs/>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pPr>
        <w:spacing w:after="60" w:before="200"/>
        <w:ind w:left="431"/>
        <w:jc w:val="left"/>
      </w:pPr>
      <w:r>
        <w:rPr>
          <w:rFonts w:ascii="Courier New" w:cs="Courier New" w:eastAsia="Courier New" w:hAnsi="Courier New"/>
          <w:b/>
          <w:bCs/>
          <w:color w:val="2a2a2a"/>
          <w:sz w:val="18"/>
          <w:szCs w:val="18"/>
        </w:rPr>
        <w:t xml:space="preserve">§18.3  </w:t>
      </w:r>
      <w:r>
        <w:rPr>
          <w:rFonts w:ascii="Garamond" w:cs="Garamond" w:eastAsia="Garamond" w:hAnsi="Garamond"/>
          <w:b w:val="false"/>
          <w:bCs w:val="false"/>
          <w:i/>
          <w:iCs/>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2a2a2a"/>
          <w:sz w:val="18"/>
          <w:szCs w:val="18"/>
        </w:rPr>
        <w:t xml:space="preserve">§18.4  </w:t>
      </w:r>
      <w:r>
        <w:rPr>
          <w:rFonts w:ascii="Garamond" w:cs="Garamond" w:eastAsia="Garamond" w:hAnsi="Garamond"/>
          <w:b w:val="false"/>
          <w:bCs w:val="false"/>
          <w:i/>
          <w:iCs/>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of votes cast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2a2a2a"/>
          <w:sz w:val="18"/>
          <w:szCs w:val="18"/>
        </w:rPr>
        <w:t xml:space="preserve">§18.5  </w:t>
      </w:r>
      <w:r>
        <w:rPr>
          <w:rFonts w:ascii="Garamond" w:cs="Garamond" w:eastAsia="Garamond" w:hAnsi="Garamond"/>
          <w:b w:val="false"/>
          <w:bCs w:val="false"/>
          <w:i/>
          <w:iCs/>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XIX — Transition and Ratification</w:t>
      </w:r>
    </w:p>
    <w:p>
      <w:pPr>
        <w:spacing w:after="60" w:before="200"/>
        <w:ind w:left="431"/>
        <w:jc w:val="left"/>
      </w:pPr>
      <w:r>
        <w:rPr>
          <w:rFonts w:ascii="Courier New" w:cs="Courier New" w:eastAsia="Courier New" w:hAnsi="Courier New"/>
          <w:b/>
          <w:bCs/>
          <w:color w:val="2a2a2a"/>
          <w:sz w:val="18"/>
          <w:szCs w:val="18"/>
        </w:rPr>
        <w:t xml:space="preserve">§19.1  </w:t>
      </w:r>
      <w:r>
        <w:rPr>
          <w:rFonts w:ascii="Garamond" w:cs="Garamond" w:eastAsia="Garamond" w:hAnsi="Garamond"/>
          <w:b w:val="false"/>
          <w:bCs w:val="false"/>
          <w:i/>
          <w:iCs/>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takes effect upon: (1) interim Elections Panel certification that the NVS is operational and meets §11.2; and (2) a national ratification vote achieving 60% of votes cast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pPr>
        <w:spacing w:after="60" w:before="200"/>
        <w:ind w:left="431"/>
        <w:jc w:val="left"/>
      </w:pPr>
      <w:r>
        <w:rPr>
          <w:rFonts w:ascii="Courier New" w:cs="Courier New" w:eastAsia="Courier New" w:hAnsi="Courier New"/>
          <w:b/>
          <w:bCs/>
          <w:color w:val="2a2a2a"/>
          <w:sz w:val="18"/>
          <w:szCs w:val="18"/>
        </w:rPr>
        <w:t xml:space="preserve">§19.2  </w:t>
      </w:r>
      <w:r>
        <w:rPr>
          <w:rFonts w:ascii="Garamond" w:cs="Garamond" w:eastAsia="Garamond" w:hAnsi="Garamond"/>
          <w:b w:val="false"/>
          <w:bCs w:val="false"/>
          <w:i/>
          <w:iCs/>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a2a"/>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2a2a2a"/>
          <w:sz w:val="18"/>
          <w:szCs w:val="18"/>
        </w:rPr>
        <w:t xml:space="preserve">§19.3  </w:t>
      </w:r>
      <w:r>
        <w:rPr>
          <w:rFonts w:ascii="Garamond" w:cs="Garamond" w:eastAsia="Garamond" w:hAnsi="Garamond"/>
          <w:b w:val="false"/>
          <w:bCs w:val="false"/>
          <w:i/>
          <w:iCs/>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a2a"/>
          <w:sz w:val="22"/>
          <w:szCs w:val="22"/>
        </w:rPr>
        <w:t xml:space="preserve">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2a2a2a"/>
          <w:sz w:val="18"/>
          <w:szCs w:val="18"/>
        </w:rPr>
        <w:t xml:space="preserve">§19.4  </w:t>
      </w:r>
      <w:r>
        <w:rPr>
          <w:rFonts w:ascii="Garamond" w:cs="Garamond" w:eastAsia="Garamond" w:hAnsi="Garamond"/>
          <w:b w:val="false"/>
          <w:bCs w:val="false"/>
          <w:i/>
          <w:iCs/>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2a2a2a"/>
          <w:sz w:val="18"/>
          <w:szCs w:val="18"/>
        </w:rPr>
        <w:t xml:space="preserve">§19.5  </w:t>
      </w:r>
      <w:r>
        <w:rPr>
          <w:rFonts w:ascii="Garamond" w:cs="Garamond" w:eastAsia="Garamond" w:hAnsi="Garamond"/>
          <w:b w:val="false"/>
          <w:bCs w:val="false"/>
          <w:i/>
          <w:iCs/>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§1.19.b.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2a2a2a"/>
          <w:sz w:val="18"/>
          <w:szCs w:val="18"/>
        </w:rPr>
        <w:t xml:space="preserve">§19.6  </w:t>
      </w:r>
      <w:r>
        <w:rPr>
          <w:rFonts w:ascii="Garamond" w:cs="Garamond" w:eastAsia="Garamond" w:hAnsi="Garamond"/>
          <w:b w:val="false"/>
          <w:bCs w:val="false"/>
          <w:i/>
          <w:iCs/>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Territories or subdivisions meeting the Statehood Audit by Phase 2 end may petition to enter as State or Territory. Those failing the Baseline enter as Territory and may begin the Statehood Audit immediately. Any territory may choose Territory status by simple legislative vote regardless of whether it meets the Statehood Audit.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2a2a2a"/>
          <w:sz w:val="18"/>
          <w:szCs w:val="18"/>
        </w:rPr>
        <w:t xml:space="preserve">§19.7  </w:t>
      </w:r>
      <w:r>
        <w:rPr>
          <w:rFonts w:ascii="Garamond" w:cs="Garamond" w:eastAsia="Garamond" w:hAnsi="Garamond"/>
          <w:b w:val="false"/>
          <w:bCs w:val="false"/>
          <w:i/>
          <w:iCs/>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joint Monitor panel assembles the initial Candidate Registers for all constitutionally established positions before Phase 3 elections can occur. The panel performs the register-assembly and qualification review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 Where the Civic Consul fails to meet this deadline, the LM publishes a compliance finding to the NRS, and the LM's ongoing audit encompasses the unfilled nomination until it is made.</w:t>
      </w:r>
    </w:p>
    <w:p>
      <w:pPr>
        <w:spacing w:after="60" w:before="200"/>
        <w:ind w:left="431"/>
        <w:jc w:val="left"/>
      </w:pPr>
      <w:r>
        <w:rPr>
          <w:rFonts w:ascii="Courier New" w:cs="Courier New" w:eastAsia="Courier New" w:hAnsi="Courier New"/>
          <w:b/>
          <w:bCs/>
          <w:color w:val="2a2a2a"/>
          <w:sz w:val="18"/>
          <w:szCs w:val="18"/>
        </w:rPr>
        <w:t xml:space="preserve">§19.8  </w:t>
      </w:r>
      <w:r>
        <w:rPr>
          <w:rFonts w:ascii="Garamond" w:cs="Garamond" w:eastAsia="Garamond" w:hAnsi="Garamond"/>
          <w:b w:val="false"/>
          <w:bCs w:val="false"/>
          <w:i/>
          <w:iCs/>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2a2a2a"/>
          <w:sz w:val="18"/>
          <w:szCs w:val="18"/>
        </w:rPr>
        <w:t xml:space="preserve">§19.9  </w:t>
      </w:r>
      <w:r>
        <w:rPr>
          <w:rFonts w:ascii="Garamond" w:cs="Garamond" w:eastAsia="Garamond" w:hAnsi="Garamond"/>
          <w:b w:val="false"/>
          <w:bCs w:val="false"/>
          <w:i/>
          <w:iCs/>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this Constitution assigns a specific function to a statutory independent agency under §3.9, the Legislature must establish that agency within the following timeframes from Phase 4 activation: the civic proficiency assessment administrator under §5.1, within 180 days; the Census Bureau under §3.2, within 18 months; the Monetary Authority under §12.1,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an Monitor in lieu of establishing the required agency. The Legislature must by statute establish the transition from any predecessor voting infrastructure to the constitutionally required NVS, ensuring no gap in democratic participation.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XX — Associated Communities</w:t>
      </w:r>
    </w:p>
    <w:p>
      <w:pPr>
        <w:spacing w:after="60" w:before="200"/>
        <w:ind w:left="431"/>
        <w:jc w:val="left"/>
      </w:pPr>
      <w:r>
        <w:rPr>
          <w:rFonts w:ascii="Courier New" w:cs="Courier New" w:eastAsia="Courier New" w:hAnsi="Courier New"/>
          <w:b/>
          <w:bCs/>
          <w:color w:val="2a2a2a"/>
          <w:sz w:val="18"/>
          <w:szCs w:val="18"/>
        </w:rPr>
        <w:t xml:space="preserve">§20.1  </w:t>
      </w:r>
      <w:r>
        <w:rPr>
          <w:rFonts w:ascii="Garamond" w:cs="Garamond" w:eastAsia="Garamond" w:hAnsi="Garamond"/>
          <w:b w:val="false"/>
          <w:bCs w:val="false"/>
          <w:i/>
          <w:iCs/>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a2a"/>
          <w:sz w:val="22"/>
          <w:szCs w:val="22"/>
        </w:rPr>
        <w:t xml:space="preserve">Exclusively for sovereign entities — not a form of State or Territory status, not transitional, not incorporation. Available to sovereign nations — those that have achieved full sovereignty through a status election under §16.7 or through the constitutional amendment process — and to independent nations outside the Republic seeking a defined relationship.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2a2a2a"/>
          <w:sz w:val="18"/>
          <w:szCs w:val="18"/>
        </w:rPr>
        <w:t xml:space="preserve">§20.2  </w:t>
      </w:r>
      <w:r>
        <w:rPr>
          <w:rFonts w:ascii="Garamond" w:cs="Garamond" w:eastAsia="Garamond" w:hAnsi="Garamond"/>
          <w:b w:val="false"/>
          <w:bCs w:val="false"/>
          <w:i/>
          <w:iCs/>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a2a"/>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2a2a2a"/>
          <w:sz w:val="18"/>
          <w:szCs w:val="18"/>
        </w:rPr>
        <w:t xml:space="preserve">§20.3  </w:t>
      </w:r>
      <w:r>
        <w:rPr>
          <w:rFonts w:ascii="Garamond" w:cs="Garamond" w:eastAsia="Garamond" w:hAnsi="Garamond"/>
          <w:b w:val="false"/>
          <w:bCs w:val="false"/>
          <w:i/>
          <w:iCs/>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a2a"/>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JM conducts annual compliance reviews and publishes findings to the NRS. Where the JM finds systematic violations of §1.19.b rights or any party challenges a compact on those grounds, the compact is suspended pending review through the compact’s independent arbitration mechanism; the arbitration panel must issue a preliminary determination within 90 days of suspension; where no preliminary determination is issued within that period, the suspension lifts and the compact resumes pending the panel’s final determination. The arbitration panel may determine compact termination on confirmed violations without remediation within the period the compact specifies.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2a2a2a"/>
          <w:sz w:val="18"/>
          <w:szCs w:val="18"/>
        </w:rPr>
        <w:t xml:space="preserve">§20.4  </w:t>
      </w:r>
      <w:r>
        <w:rPr>
          <w:rFonts w:ascii="Garamond" w:cs="Garamond" w:eastAsia="Garamond" w:hAnsi="Garamond"/>
          <w:b w:val="false"/>
          <w:bCs w:val="false"/>
          <w:i/>
          <w:iCs/>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2a2a2a"/>
          <w:sz w:val="18"/>
          <w:szCs w:val="18"/>
        </w:rPr>
        <w:t xml:space="preserve">§20.5  </w:t>
      </w:r>
      <w:r>
        <w:rPr>
          <w:rFonts w:ascii="Garamond" w:cs="Garamond" w:eastAsia="Garamond" w:hAnsi="Garamond"/>
          <w:b w:val="false"/>
          <w:bCs w:val="false"/>
          <w:i/>
          <w:iCs/>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2a2a2a"/>
          <w:sz w:val="18"/>
          <w:szCs w:val="18"/>
        </w:rPr>
        <w:t xml:space="preserve">§20.6  </w:t>
      </w:r>
      <w:r>
        <w:rPr>
          <w:rFonts w:ascii="Garamond" w:cs="Garamond" w:eastAsia="Garamond" w:hAnsi="Garamond"/>
          <w:b w:val="false"/>
          <w:bCs w:val="false"/>
          <w:i/>
          <w:iCs/>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2a2a2a"/>
          <w:sz w:val="18"/>
          <w:szCs w:val="18"/>
        </w:rPr>
        <w:t xml:space="preserve">§20.7  </w:t>
      </w:r>
      <w:r>
        <w:rPr>
          <w:rFonts w:ascii="Garamond" w:cs="Garamond" w:eastAsia="Garamond" w:hAnsi="Garamond"/>
          <w:b w:val="false"/>
          <w:bCs w:val="false"/>
          <w:i/>
          <w:iCs/>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2026-06-24T23:09:59.688Z</dcterms:created>
  <dcterms:modified xsi:type="dcterms:W3CDTF">2026-06-24T23:09:59.689Z</dcterms:modified>
</cp:coreProperties>
</file>

<file path=docProps/custom.xml><?xml version="1.0" encoding="utf-8"?>
<Properties xmlns="http://schemas.openxmlformats.org/officeDocument/2006/custom-properties" xmlns:vt="http://schemas.openxmlformats.org/officeDocument/2006/docPropsVTypes"/>
</file>