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166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0AAAAAA1" w14:textId="77777777" w:rsidR="00AF3D56" w:rsidRDefault="00000000">
      <w:pPr>
        <w:pageBreakBefore/>
        <w:pBdr>
          <w:bottom w:val="single" w:sz="4" w:space="6" w:color="C9A84C"/>
        </w:pBdr>
        <w:spacing w:after="280"/>
      </w:pPr>
      <w:r>
        <w:rPr>
          <w:rFonts w:ascii="Garamond" w:eastAsia="Garamond" w:hAnsi="Garamond" w:cs="Garamond"/>
          <w:color w:val="1B2A4A"/>
          <w:sz w:val="34"/>
        </w:rPr>
        <w:t xml:space="preserve">Preamble</w:t>
      </w:r>
    </w:p>
    <w:p w14:paraId="0BBBBBB1" w14:textId="77777777" w:rsidR="00AF3D56" w:rsidRDefault="00000000">
      <w:pPr>
        <w:spacing w:after="180" w:line="276" w:lineRule="auto"/>
        <w:jc w:val="both"/>
      </w:pPr>
      <w:r>
        <w:rPr>
          <w:rFonts w:ascii="Garamond" w:eastAsia="Garamond" w:hAnsi="Garamond" w:cs="Garamond"/>
          <w:sz w:val="24"/>
        </w:rPr>
        <w:t xml:space="preserve">We built a Republic worth living in — and worth adopting. Here is why.</w:t>
      </w:r>
    </w:p>
    <w:p w14:paraId="0BBBBBB1" w14:textId="77777777" w:rsidR="00AF3D56" w:rsidRDefault="00000000">
      <w:pPr>
        <w:spacing w:after="180" w:line="276" w:lineRule="auto"/>
        <w:jc w:val="both"/>
      </w:pPr>
      <w:r>
        <w:rPr>
          <w:rFonts w:ascii="Garamond" w:eastAsia="Garamond" w:hAnsi="Garamond" w:cs="Garamond"/>
          <w:sz w:val="24"/>
        </w:rPr>
        <w:t xml:space="preserve">We came from different places, and out of that difference we made something none of us could have made alone: a government strong enough to act, restrained enough to trust, and answerable — always — to you.</w:t>
      </w:r>
    </w:p>
    <w:p w14:paraId="0BBBBBB1" w14:textId="77777777" w:rsidR="00AF3D56" w:rsidRDefault="00000000">
      <w:pPr>
        <w:spacing w:after="180" w:line="276" w:lineRule="auto"/>
        <w:jc w:val="both"/>
      </w:pPr>
      <w:r>
        <w:rPr>
          <w:rFonts w:ascii="Garamond" w:eastAsia="Garamond" w:hAnsi="Garamond" w:cs="Garamond"/>
          <w:sz w:val="24"/>
        </w:rPr>
        <w:t xml:space="preserve">We built it on one conviction: </w:t>
      </w:r>
      <w:r>
        <w:rPr>
          <w:rFonts w:ascii="Garamond" w:eastAsia="Garamond" w:hAnsi="Garamond" w:cs="Garamond"/>
          <w:b/>
          <w:sz w:val="24"/>
        </w:rPr>
        <w:t xml:space="preserve">the person comes before the state.</w:t>
      </w:r>
      <w:r>
        <w:rPr>
          <w:rFonts w:ascii="Garamond" w:eastAsia="Garamond" w:hAnsi="Garamond" w:cs="Garamond"/>
          <w:sz w:val="24"/>
        </w:rPr>
        <w:t xml:space="preserve"> You are whole and equal. You hold rights no government granted and none can take away. Behind those rights we placed the entire weight of the Republic, so that no one among you is ever left without remedy, without a voice, or without the conditions of a decent life.</w:t>
      </w:r>
    </w:p>
    <w:p w14:paraId="0BBBBBB1" w14:textId="77777777" w:rsidR="00AF3D56" w:rsidRDefault="00000000">
      <w:pPr>
        <w:spacing w:after="180" w:line="276" w:lineRule="auto"/>
        <w:jc w:val="both"/>
      </w:pPr>
      <w:r>
        <w:rPr>
          <w:rFonts w:ascii="Garamond" w:eastAsia="Garamond" w:hAnsi="Garamond" w:cs="Garamond"/>
          <w:sz w:val="24"/>
        </w:rPr>
        <w:t xml:space="preserve">And we did not ask you to trust us. We gave power to the people and made it return to them. We opened the state to the light, so you can see how you are governed. We bound every office we created — even the ones we admired most — so this Republic stays yours whether it is governed well or badly. That is the difference: most governments ask for your faith. This one gives you the means to withhold it.</w:t>
      </w:r>
    </w:p>
    <w:p w14:paraId="0BBBBBB1" w14:textId="77777777" w:rsidR="00AF3D56" w:rsidRDefault="00000000">
      <w:pPr>
        <w:spacing w:after="180" w:line="276" w:lineRule="auto"/>
        <w:jc w:val="both"/>
      </w:pPr>
      <w:r>
        <w:rPr>
          <w:rFonts w:ascii="Garamond" w:eastAsia="Garamond" w:hAnsi="Garamond" w:cs="Garamond"/>
          <w:sz w:val="24"/>
        </w:rPr>
        <w:t xml:space="preserve">What follows is long because your freedom is detailed, and every page of it exists to keep a promise made to you.</w:t>
      </w:r>
    </w:p>
    <w:p w14:paraId="0BBBBBB1" w14:textId="77777777" w:rsidR="00AF3D56" w:rsidRDefault="00000000">
      <w:pPr>
        <w:spacing w:after="180" w:line="276" w:lineRule="auto"/>
        <w:jc w:val="both"/>
      </w:pPr>
      <w:r>
        <w:rPr>
          <w:rFonts w:ascii="Garamond" w:eastAsia="Garamond" w:hAnsi="Garamond" w:cs="Garamond"/>
          <w:sz w:val="24"/>
        </w:rPr>
        <w:t xml:space="preserve">Read it. Then adopt it, and make it your own.</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pPr>
        <w:spacing w:after="120"/>
        <w:ind w:left="431"/>
        <w:jc w:val="both"/>
      </w:pPr>
      <w:r>
        <w:rPr>
          <w:rFonts w:ascii="Garamond" w:eastAsia="Garamond" w:hAnsi="Garamond" w:cs="Garamond"/>
          <w:color w:val="2A2A2A"/>
          <w:sz w:val="22"/>
          <w:szCs w:val="22"/>
        </w:rPr>
        <w:t xml:space="preserve">Every citizen holds the right to vote, stand for office, and participate in the democratic processes of the Republic, subject to the eligibility requirements established in this constitution,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pPr>
        <w:spacing w:after="120"/>
        <w:ind w:left="431"/>
        <w:jc w:val="both"/>
      </w:pPr>
      <w:r>
        <w:rPr>
          <w:rFonts w:ascii="Garamond" w:eastAsia="Garamond" w:hAnsi="Garamond" w:cs="Garamond"/>
          <w:color w:val="2A2A2A"/>
          <w:sz w:val="22"/>
          <w:szCs w:val="22"/>
        </w:rPr>
        <w:t xml:space="preserve">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No person who has served an elected term as Legat Consul may again hold the office of Legat Consul or exercise its authority; the bar is a lifetime bar. Service as a successor under §2.9 does not constitute an elected term for this purpose.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8 years as Civic Consul across all periods of service; the limit is a lifetime maximum. Service in an acting capacity does not count toward this limit. A person who leaves the office of Civic Consul may not serve again as Civic Consul until one full Assembly electoral cycle has passed since they left the office; during that interval they may hold an Assembly seat but may not be elected or designated Civic Consul.</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431"/>
        <w:jc w:val="both"/>
      </w:pPr>
      <w:r>
        <w:rPr>
          <w:rFonts w:ascii="Garamond" w:eastAsia="Garamond" w:hAnsi="Garamond" w:cs="Garamond"/>
          <w:color w:val="2A2A2A"/>
          <w:sz w:val="22"/>
          <w:szCs w:val="22"/>
        </w:rPr>
        <w:t xml:space="preserve">— all domestic policy and regulatory frameworks;</w:t>
      </w:r>
    </w:p>
    <w:p>
      <w:pPr>
        <w:spacing w:after="120"/>
        <w:ind w:left="431"/>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431"/>
        <w:jc w:val="both"/>
      </w:pPr>
      <w:r>
        <w:rPr>
          <w:rFonts w:ascii="Garamond" w:eastAsia="Garamond" w:hAnsi="Garamond" w:cs="Garamond"/>
          <w:color w:val="2A2A2A"/>
          <w:sz w:val="22"/>
          <w:szCs w:val="22"/>
        </w:rPr>
        <w:t xml:space="preserve">— the civil service;</w:t>
      </w:r>
    </w:p>
    <w:p>
      <w:pPr>
        <w:spacing w:after="120"/>
        <w:ind w:left="431"/>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as determined under §2.16, acting authority vests by constitutional operation in accordance with the following order: (i) the Assembly Speaker; (ii) persons holding offices designated by statute for this purpose, in the order so established; (iii) the most senior Assembly member by continuous service; where two or more members have equal continuous service, the tiebreaker is determined by statute. A person in the order of succession may decline under §2.16(4). The person last in the order may not decline. While serving in an acting executive capacity under this subsection, the acting officer may not exercise any legislative function; the officer retains their Assembly seat and any Assembly office held, and the Assembly provides for the exercise of those functions during that period under its internal procedures. Acting service neither extends nor suspends the officer's electoral mandate; where the acting officer ceases to be a member of the Assembly, acting authority passes by constitutional operation to the next person in the order of succession then qualified. Acting status ends when the Civic Consul's incapacity ends under §2.16(3) or a new Civic Consul is elected under §2.6; the acting officer's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Bills passed during the Acting Civic Consul's service are presented to the Acting Civic Consul. The Acting Civic Consul may not exercise the suspensive veto under §2.7 but may, within 10 business days of final passage, publish a written pause notice to the NRS staying enactment. Upon such notice, the Speaker shall schedule the bill for recall by the Assembly; the Assembly may withdraw the bill by simple majority within the pause period. A bill not so withdrawn is enacted by operation of law at the close of the 10-business-day period. Where the Acting Civic Consul issues no pause notice within 10 business days of final passage, the bill is enacted by operation of law. The pause may not be used on the annual budget, bills implementing a constitutional obligation, or emergency legislation.</w:t>
      </w:r>
    </w:p>
    <w:p>
      <w:pPr>
        <w:spacing w:after="120"/>
        <w:ind w:left="431"/>
        <w:jc w:val="both"/>
      </w:pPr>
      <w:r>
        <w:rPr>
          <w:rFonts w:ascii="Garamond" w:eastAsia="Garamond" w:hAnsi="Garamond" w:cs="Garamond"/>
          <w:color w:val="2A2A2A"/>
          <w:sz w:val="22"/>
          <w:szCs w:val="22"/>
        </w:rPr>
        <w:t xml:space="preserve">(4)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(5)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(6)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(7)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shall by statute establish an order of succession for the Legat Consul's temporary incapacity under §2.9(6)(ii) and for full succession beyond the constitutional floor under §2.9(2). Until such statute is enacted, the constitutional order under §2.9(6)(i) and (iii) applies.</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as determined under §2.16, acting authority vests by constitutional operation in accordance with the following order: (i) the Senate Speaker; (ii) persons holding offices designated by statute for this purpose, in the order so established; (iii) the most senior Senator by continuous Senate service; where two or more Senators have equal continuous service, the oldest by age holds the office. A person in the order of succession may decline under §2.16(4). The person last in the order may not decline. While serving in an acting executive capacity under this subsection, the acting officer may not exercise any legislative function; the officer retains their Senate seat and any Senate office held, and the Senate provides for the exercise of those functions during that period under its internal procedures. Acting service neither extends nor suspends the officer's electoral mandate; where the acting officer ceases to be a Senator, acting authority passes by constitutional operation to the next person in the order of succession then qualified. Acting authority ends when the Legat Consul's incapacity ends under §2.16(3).</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§2.16  </w:t>
      </w:r>
      <w:r>
        <w:rPr>
          <w:rFonts w:ascii="Garamond" w:eastAsia="Garamond" w:hAnsi="Garamond" w:cs="Garamond"/>
          <w:i/>
          <w:iCs/>
          <w:color w:val="1B2A4A"/>
          <w:sz w:val="22"/>
          <w:szCs w:val="22"/>
        </w:rPr>
        <w:t>Executive Incapacity</w:t>
      </w:r>
    </w:p>
    <w:p>
      <w:pPr>
        <w:spacing w:after="120"/>
        <w:ind w:left="431"/>
        <w:jc w:val="both"/>
      </w:pPr>
      <w:r>
        <w:rPr>
          <w:rFonts w:ascii="Garamond" w:eastAsia="Garamond" w:hAnsi="Garamond" w:cs="Garamond"/>
          <w:color w:val="2A2A2A"/>
          <w:sz w:val="22"/>
          <w:szCs w:val="22"/>
        </w:rPr>
        <w:t xml:space="preserve">(1) A Consul is temporarily unable to exercise authority when either of the following is published to the National Record System:</w:t>
      </w:r>
    </w:p>
    <w:p>
      <w:pPr>
        <w:spacing w:after="120"/>
        <w:ind w:left="720"/>
        <w:jc w:val="both"/>
      </w:pPr>
      <w:r>
        <w:rPr>
          <w:rFonts w:ascii="Garamond" w:eastAsia="Garamond" w:hAnsi="Garamond" w:cs="Garamond"/>
          <w:color w:val="2A2A2A"/>
          <w:sz w:val="22"/>
          <w:szCs w:val="22"/>
        </w:rPr>
        <w:t xml:space="preserve">(a) a declaration of incapacity by the Consul; or</w:t>
      </w:r>
    </w:p>
    <w:p>
      <w:pPr>
        <w:spacing w:after="120"/>
        <w:ind w:left="720"/>
        <w:jc w:val="both"/>
      </w:pPr>
      <w:r>
        <w:rPr>
          <w:rFonts w:ascii="Garamond" w:eastAsia="Garamond" w:hAnsi="Garamond" w:cs="Garamond"/>
          <w:color w:val="2A2A2A"/>
          <w:sz w:val="22"/>
          <w:szCs w:val="22"/>
        </w:rPr>
        <w:t xml:space="preserve">(b) a determination of incapacity by the Council of Ministers under subsection (2).</w:t>
      </w:r>
    </w:p>
    <w:p>
      <w:pPr>
        <w:spacing w:after="120"/>
        <w:ind w:left="431"/>
        <w:jc w:val="both"/>
      </w:pPr>
      <w:r>
        <w:rPr>
          <w:rFonts w:ascii="Garamond" w:eastAsia="Garamond" w:hAnsi="Garamond" w:cs="Garamond"/>
          <w:color w:val="2A2A2A"/>
          <w:sz w:val="22"/>
          <w:szCs w:val="22"/>
        </w:rPr>
        <w:t xml:space="preserve">(2) Council of Ministers determination:</w:t>
      </w:r>
    </w:p>
    <w:p>
      <w:pPr>
        <w:spacing w:after="120"/>
        <w:ind w:left="720"/>
        <w:jc w:val="both"/>
      </w:pPr>
      <w:r>
        <w:rPr>
          <w:rFonts w:ascii="Garamond" w:eastAsia="Garamond" w:hAnsi="Garamond" w:cs="Garamond"/>
          <w:color w:val="2A2A2A"/>
          <w:sz w:val="22"/>
          <w:szCs w:val="22"/>
        </w:rPr>
        <w:t xml:space="preserve">(a) The Council may, by majority of members then in office provided no fewer than five are in office, determine that a Consul is temporarily unable to exercise authority. This function is a constitutional function of the Council and is not an exercise of executive authority.</w:t>
      </w:r>
    </w:p>
    <w:p>
      <w:pPr>
        <w:spacing w:after="120"/>
        <w:ind w:left="720"/>
        <w:jc w:val="both"/>
      </w:pPr>
      <w:r>
        <w:rPr>
          <w:rFonts w:ascii="Garamond" w:eastAsia="Garamond" w:hAnsi="Garamond" w:cs="Garamond"/>
          <w:color w:val="2A2A2A"/>
          <w:sz w:val="22"/>
          <w:szCs w:val="22"/>
        </w:rPr>
        <w:t xml:space="preserve">(b) The determination is published to the NRS; upon publication, acting authority vests in accordance with the applicable succession provision.</w:t>
      </w:r>
    </w:p>
    <w:p>
      <w:pPr>
        <w:spacing w:after="120"/>
        <w:ind w:left="431"/>
        <w:jc w:val="both"/>
      </w:pPr>
      <w:r>
        <w:rPr>
          <w:rFonts w:ascii="Garamond" w:eastAsia="Garamond" w:hAnsi="Garamond" w:cs="Garamond"/>
          <w:color w:val="2A2A2A"/>
          <w:sz w:val="22"/>
          <w:szCs w:val="22"/>
        </w:rPr>
        <w:t xml:space="preserve">(3) Restoration:</w:t>
      </w:r>
    </w:p>
    <w:p>
      <w:pPr>
        <w:spacing w:after="120"/>
        <w:ind w:left="720"/>
        <w:jc w:val="both"/>
      </w:pPr>
      <w:r>
        <w:rPr>
          <w:rFonts w:ascii="Garamond" w:eastAsia="Garamond" w:hAnsi="Garamond" w:cs="Garamond"/>
          <w:color w:val="2A2A2A"/>
          <w:sz w:val="22"/>
          <w:szCs w:val="22"/>
        </w:rPr>
        <w:t xml:space="preserve">(a) An incapacity under this section ends when the Consul publishes a restoration declaration to the NRS. The Consul transmits the declaration to the Speaker of each chamber, to the other Consul, and to the officer then holding acting authority; full authority returns to the Consul 24 hours after publication.</w:t>
      </w:r>
    </w:p>
    <w:p>
      <w:pPr>
        <w:spacing w:after="120"/>
        <w:ind w:left="720"/>
        <w:jc w:val="both"/>
      </w:pPr>
      <w:r>
        <w:rPr>
          <w:rFonts w:ascii="Garamond" w:eastAsia="Garamond" w:hAnsi="Garamond" w:cs="Garamond"/>
          <w:color w:val="2A2A2A"/>
          <w:sz w:val="22"/>
          <w:szCs w:val="22"/>
        </w:rPr>
        <w:t xml:space="preserve">(b) Where the Council determines incapacity on the same or substantially similar grounds within 90 days of a restoration declaration, the Consul may not end that incapacity by restoration declaration alone; the incapacity ends only when the Consul's accountability chamber — the Assembly for the Civic Consul, the Senate for the Legat Consul — so resolves by absolute majority of its full seated membership.</w:t>
      </w:r>
    </w:p>
    <w:p>
      <w:pPr>
        <w:spacing w:after="120"/>
        <w:ind w:left="431"/>
        <w:jc w:val="both"/>
      </w:pPr>
      <w:r>
        <w:rPr>
          <w:rFonts w:ascii="Garamond" w:eastAsia="Garamond" w:hAnsi="Garamond" w:cs="Garamond"/>
          <w:color w:val="2A2A2A"/>
          <w:sz w:val="22"/>
          <w:szCs w:val="22"/>
        </w:rPr>
        <w:t xml:space="preserve">(4) Declination:</w:t>
      </w:r>
    </w:p>
    <w:p>
      <w:pPr>
        <w:spacing w:after="120"/>
        <w:ind w:left="720"/>
        <w:jc w:val="both"/>
      </w:pPr>
      <w:r>
        <w:rPr>
          <w:rFonts w:ascii="Garamond" w:eastAsia="Garamond" w:hAnsi="Garamond" w:cs="Garamond"/>
          <w:color w:val="2A2A2A"/>
          <w:sz w:val="22"/>
          <w:szCs w:val="22"/>
        </w:rPr>
        <w:t xml:space="preserve">(a) A person upon whom acting executive authority would fall under §2.5(6) or §2.9(6) may decline by publishing a declination to the NRS within 48 hours of the incapacity publication.</w:t>
      </w:r>
    </w:p>
    <w:p>
      <w:pPr>
        <w:spacing w:after="120"/>
        <w:ind w:left="720"/>
        <w:jc w:val="both"/>
      </w:pPr>
      <w:r>
        <w:rPr>
          <w:rFonts w:ascii="Garamond" w:eastAsia="Garamond" w:hAnsi="Garamond" w:cs="Garamond"/>
          <w:color w:val="2A2A2A"/>
          <w:sz w:val="22"/>
          <w:szCs w:val="22"/>
        </w:rPr>
        <w:t xml:space="preserve">(b) Upon publication of the declination, acting authority passes by constitutional operation to the next person in the applicable order of succession.</w:t>
      </w:r>
    </w:p>
    <w:p>
      <w:pPr>
        <w:spacing w:after="120"/>
        <w:ind w:left="720"/>
        <w:jc w:val="both"/>
      </w:pPr>
      <w:r>
        <w:rPr>
          <w:rFonts w:ascii="Garamond" w:eastAsia="Garamond" w:hAnsi="Garamond" w:cs="Garamond"/>
          <w:color w:val="2A2A2A"/>
          <w:sz w:val="22"/>
          <w:szCs w:val="22"/>
        </w:rPr>
        <w:t xml:space="preserve">(c) A declination is irrevocable and does not prejudice the person's eligibility for any future succession event. A person who does not publish a declination within 48 hours is deemed to have accepted.</w:t>
      </w:r>
    </w:p>
    <w:p>
      <w:pPr>
        <w:spacing w:after="120"/>
        <w:ind w:left="720"/>
        <w:jc w:val="both"/>
      </w:pPr>
      <w:r>
        <w:rPr>
          <w:rFonts w:ascii="Garamond" w:eastAsia="Garamond" w:hAnsi="Garamond" w:cs="Garamond"/>
          <w:color w:val="2A2A2A"/>
          <w:sz w:val="22"/>
          <w:szCs w:val="22"/>
        </w:rPr>
        <w:t xml:space="preserve">(d) The person last in the order of succession may not decline.</w:t>
      </w:r>
    </w:p>
    <w:p>
      <w:pPr>
        <w:spacing w:after="120"/>
        <w:ind w:left="431"/>
        <w:jc w:val="both"/>
      </w:pPr>
      <w:r>
        <w:rPr>
          <w:rFonts w:ascii="Garamond" w:eastAsia="Garamond" w:hAnsi="Garamond" w:cs="Garamond"/>
          <w:color w:val="2A2A2A"/>
          <w:sz w:val="22"/>
          <w:szCs w:val="22"/>
        </w:rPr>
        <w:t xml:space="preserve">(5) Duration. An incapacity under this section that has continued for 90 days ends by constitutional operation unless, before expiry, a removal process under §2.6 or §2.13 has been initiated against the Consul, in which case the incapacity continues until that process concludes.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LM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LM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pPr>
        <w:spacing w:after="120"/>
        <w:ind w:left="431"/>
        <w:jc w:val="both"/>
      </w:pPr>
      <w:r>
        <w:rPr>
          <w:rFonts w:ascii="Garamond" w:eastAsia="Garamond" w:hAnsi="Garamond" w:cs="Garamond"/>
          <w:color w:val="2A2A2A"/>
          <w:sz w:val="22"/>
          <w:szCs w:val="22"/>
        </w:rPr>
        <w:t xml:space="preserve">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seek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pPr>
        <w:spacing w:after="120"/>
        <w:ind w:left="431"/>
        <w:jc w:val="both"/>
      </w:pPr>
      <w:r>
        <w:rPr>
          <w:rFonts w:ascii="Garamond" w:eastAsia="Garamond" w:hAnsi="Garamond" w:cs="Garamond"/>
          <w:color w:val="2A2A2A"/>
          <w:sz w:val="22"/>
          <w:szCs w:val="22"/>
        </w:rPr>
        <w:t xml:space="preserve">(1) The National Record System is the permanent, tamper-evident public record of the Republic — freely accessible to every Inhabitant at no cost.</w:t>
      </w:r>
    </w:p>
    <w:p>
      <w:pPr>
        <w:spacing w:after="120"/>
        <w:ind w:left="431"/>
        <w:jc w:val="both"/>
      </w:pPr>
      <w:r>
        <w:rPr>
          <w:rFonts w:ascii="Garamond" w:eastAsia="Garamond" w:hAnsi="Garamond" w:cs="Garamond"/>
          <w:color w:val="2A2A2A"/>
          <w:sz w:val="22"/>
          <w:szCs w:val="22"/>
        </w:rPr>
        <w:t xml:space="preserve">(2) Every constitutional act, order, finding, certification, designation, declaration, and determination made under this Constitution is published to the NRS as a permanent record; no provision need state this obligation individually.</w:t>
      </w:r>
    </w:p>
    <w:p>
      <w:pPr>
        <w:spacing w:after="120"/>
        <w:ind w:left="431"/>
        <w:jc w:val="both"/>
      </w:pPr>
      <w:r>
        <w:rPr>
          <w:rFonts w:ascii="Garamond" w:eastAsia="Garamond" w:hAnsi="Garamond" w:cs="Garamond"/>
          <w:color w:val="2A2A2A"/>
          <w:sz w:val="22"/>
          <w:szCs w:val="22"/>
        </w:rPr>
        <w:t xml:space="preserve">(3)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w:t>
      </w:r>
    </w:p>
    <w:p>
      <w:pPr>
        <w:spacing w:after="120"/>
        <w:ind w:left="431"/>
        <w:jc w:val="both"/>
      </w:pPr>
      <w:r>
        <w:rPr>
          <w:rFonts w:ascii="Garamond" w:eastAsia="Garamond" w:hAnsi="Garamond" w:cs="Garamond"/>
          <w:color w:val="2A2A2A"/>
          <w:sz w:val="22"/>
          <w:szCs w:val="22"/>
        </w:rPr>
        <w:t xml:space="preserve">(4) Where a specific publication timeline is provided it governs; otherwise publication occurs at or before the effective moment of the act.</w:t>
      </w:r>
    </w:p>
    <w:p>
      <w:pPr>
        <w:spacing w:after="120"/>
        <w:ind w:left="431"/>
        <w:jc w:val="both"/>
      </w:pPr>
      <w:r>
        <w:rPr>
          <w:rFonts w:ascii="Garamond" w:eastAsia="Garamond" w:hAnsi="Garamond" w:cs="Garamond"/>
          <w:color w:val="2A2A2A"/>
          <w:sz w:val="22"/>
          <w:szCs w:val="22"/>
        </w:rPr>
        <w:t xml:space="preserve">(5) Records may not be deleted, altered, or reclassified after publication; corrections are published as new entries alongside the original.</w:t>
      </w:r>
    </w:p>
    <w:p>
      <w:pPr>
        <w:spacing w:after="120"/>
        <w:ind w:left="431"/>
        <w:jc w:val="both"/>
      </w:pPr>
      <w:r>
        <w:rPr>
          <w:rFonts w:ascii="Garamond" w:eastAsia="Garamond" w:hAnsi="Garamond" w:cs="Garamond"/>
          <w:color w:val="2A2A2A"/>
          <w:sz w:val="22"/>
          <w:szCs w:val="22"/>
        </w:rPr>
        <w:t xml:space="preserve">(6)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w:t>
      </w:r>
    </w:p>
    <w:p>
      <w:pPr>
        <w:spacing w:after="120"/>
        <w:ind w:left="431"/>
        <w:jc w:val="both"/>
      </w:pPr>
      <w:r>
        <w:rPr>
          <w:rFonts w:ascii="Garamond" w:eastAsia="Garamond" w:hAnsi="Garamond" w:cs="Garamond"/>
          <w:color w:val="2A2A2A"/>
          <w:sz w:val="22"/>
          <w:szCs w:val="22"/>
        </w:rPr>
        <w:t xml:space="preserve">(7) Government acts take legal effect from the moment of issuance regardless of NRS status — the NRS is the record of government, not a condition of it.</w:t>
      </w:r>
    </w:p>
    <w:p>
      <w:pPr>
        <w:spacing w:after="120"/>
        <w:ind w:left="431"/>
        <w:jc w:val="both"/>
      </w:pPr>
      <w:r>
        <w:rPr>
          <w:rFonts w:ascii="Garamond" w:eastAsia="Garamond" w:hAnsi="Garamond" w:cs="Garamond"/>
          <w:color w:val="2A2A2A"/>
          <w:sz w:val="22"/>
          <w:szCs w:val="22"/>
        </w:rPr>
        <w:t xml:space="preserve">(8)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w:t>
      </w:r>
    </w:p>
    <w:p>
      <w:pPr>
        <w:spacing w:after="120"/>
        <w:ind w:left="431"/>
        <w:jc w:val="both"/>
      </w:pPr>
      <w:r>
        <w:rPr>
          <w:rFonts w:ascii="Garamond" w:eastAsia="Garamond" w:hAnsi="Garamond" w:cs="Garamond"/>
          <w:color w:val="2A2A2A"/>
          <w:sz w:val="22"/>
          <w:szCs w:val="22"/>
        </w:rPr>
        <w:t xml:space="preserve">(9)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pPr>
        <w:spacing w:after="120"/>
        <w:ind w:left="431"/>
        <w:jc w:val="both"/>
      </w:pPr>
      <w:r>
        <w:rPr>
          <w:rFonts w:ascii="Garamond" w:eastAsia="Garamond" w:hAnsi="Garamond" w:cs="Garamond"/>
          <w:color w:val="2A2A2A"/>
          <w:sz w:val="22"/>
          <w:szCs w:val="22"/>
        </w:rPr>
        <w:t xml:space="preserve">(1) Two constitutionally independent panels — the NRS Panel and the Elections Panel — operate the Republic's permanent record infrastructure and electoral systems respectively.</w:t>
      </w:r>
    </w:p>
    <w:p>
      <w:pPr>
        <w:spacing w:after="120"/>
        <w:ind w:left="431"/>
        <w:jc w:val="both"/>
      </w:pPr>
      <w:r>
        <w:rPr>
          <w:rFonts w:ascii="Garamond" w:eastAsia="Garamond" w:hAnsi="Garamond" w:cs="Garamond"/>
          <w:color w:val="2A2A2A"/>
          <w:sz w:val="22"/>
          <w:szCs w:val="22"/>
        </w:rPr>
        <w:t xml:space="preserve">(2) The NRS Panel operates the National Record System.</w:t>
      </w:r>
    </w:p>
    <w:p>
      <w:pPr>
        <w:spacing w:after="120"/>
        <w:ind w:left="431"/>
        <w:jc w:val="both"/>
      </w:pPr>
      <w:r>
        <w:rPr>
          <w:rFonts w:ascii="Garamond" w:eastAsia="Garamond" w:hAnsi="Garamond" w:cs="Garamond"/>
          <w:color w:val="2A2A2A"/>
          <w:sz w:val="22"/>
          <w:szCs w:val="22"/>
        </w:rPr>
        <w:t xml:space="preserve">(3)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w:t>
      </w:r>
    </w:p>
    <w:p>
      <w:pPr>
        <w:spacing w:after="120"/>
        <w:ind w:left="431"/>
        <w:jc w:val="both"/>
      </w:pPr>
      <w:r>
        <w:rPr>
          <w:rFonts w:ascii="Garamond" w:eastAsia="Garamond" w:hAnsi="Garamond" w:cs="Garamond"/>
          <w:color w:val="2A2A2A"/>
          <w:sz w:val="22"/>
          <w:szCs w:val="22"/>
        </w:rPr>
        <w:t xml:space="preserve">(4) Where the Elections Panel certifies a State's election system as non-compliant before an election, the Panel may withhold result certification for affected districts pending compliance or a special election under §7.2.a.</w:t>
      </w:r>
    </w:p>
    <w:p>
      <w:pPr>
        <w:spacing w:after="120"/>
        <w:ind w:left="431"/>
        <w:jc w:val="both"/>
      </w:pPr>
      <w:r>
        <w:rPr>
          <w:rFonts w:ascii="Garamond" w:eastAsia="Garamond" w:hAnsi="Garamond" w:cs="Garamond"/>
          <w:color w:val="2A2A2A"/>
          <w:sz w:val="22"/>
          <w:szCs w:val="22"/>
        </w:rPr>
        <w:t xml:space="preserve">(5) Each panel is operationally independent of the other, of both executives, and of the Legislature in the exercise of its functions.</w:t>
      </w:r>
    </w:p>
    <w:p>
      <w:pPr>
        <w:spacing w:after="120"/>
        <w:ind w:left="431"/>
        <w:jc w:val="both"/>
      </w:pPr>
      <w:r>
        <w:rPr>
          <w:rFonts w:ascii="Garamond" w:eastAsia="Garamond" w:hAnsi="Garamond" w:cs="Garamond"/>
          <w:color w:val="2A2A2A"/>
          <w:sz w:val="22"/>
          <w:szCs w:val="22"/>
        </w:rPr>
        <w:t xml:space="preserve">(6)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w:t>
      </w:r>
    </w:p>
    <w:p>
      <w:pPr>
        <w:spacing w:after="120"/>
        <w:ind w:left="431"/>
        <w:jc w:val="both"/>
      </w:pPr>
      <w:r>
        <w:rPr>
          <w:rFonts w:ascii="Garamond" w:eastAsia="Garamond" w:hAnsi="Garamond" w:cs="Garamond"/>
          <w:color w:val="2A2A2A"/>
          <w:sz w:val="22"/>
          <w:szCs w:val="22"/>
        </w:rPr>
        <w:t xml:space="preserve">(7) The Chair of each panel is its most senior member by continuous service; where two or more members have equal continuous service, the Chair is determined by lot conducted by the JMC.</w:t>
      </w:r>
    </w:p>
    <w:p>
      <w:pPr>
        <w:spacing w:after="120"/>
        <w:ind w:left="431"/>
        <w:jc w:val="both"/>
      </w:pPr>
      <w:r>
        <w:rPr>
          <w:rFonts w:ascii="Garamond" w:eastAsia="Garamond" w:hAnsi="Garamond" w:cs="Garamond"/>
          <w:color w:val="2A2A2A"/>
          <w:sz w:val="22"/>
          <w:szCs w:val="22"/>
        </w:rPr>
        <w:t xml:space="preserve">(8)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120"/>
        <w:ind w:left="431"/>
        <w:jc w:val="both"/>
      </w:pPr>
      <w:r>
        <w:rPr>
          <w:rFonts w:ascii="Garamond" w:eastAsia="Garamond" w:hAnsi="Garamond" w:cs="Garamond"/>
          <w:color w:val="2A2A2A"/>
          <w:sz w:val="22"/>
          <w:szCs w:val="22"/>
        </w:rPr>
        <w:t xml:space="preserve">(9)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pPr>
        <w:spacing w:after="120"/>
        <w:ind w:left="431"/>
        <w:jc w:val="both"/>
      </w:pPr>
      <w:r>
        <w:rPr>
          <w:rFonts w:ascii="Garamond" w:eastAsia="Garamond" w:hAnsi="Garamond" w:cs="Garamond"/>
          <w:color w:val="2A2A2A"/>
          <w:sz w:val="22"/>
          <w:szCs w:val="22"/>
        </w:rPr>
        <w:t xml:space="preserve">(1) 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w:t>
      </w:r>
    </w:p>
    <w:p>
      <w:pPr>
        <w:spacing w:after="120"/>
        <w:ind w:left="431"/>
        <w:jc w:val="both"/>
      </w:pPr>
      <w:r>
        <w:rPr>
          <w:rFonts w:ascii="Garamond" w:eastAsia="Garamond" w:hAnsi="Garamond" w:cs="Garamond"/>
          <w:color w:val="2A2A2A"/>
          <w:sz w:val="22"/>
          <w:szCs w:val="22"/>
        </w:rPr>
        <w:t xml:space="preserve">(2) The Assembly gives the Consuls' proposals due consideration in preparing the annual budget and is not bound by them.</w:t>
      </w:r>
    </w:p>
    <w:p>
      <w:pPr>
        <w:spacing w:after="120"/>
        <w:ind w:left="431"/>
        <w:jc w:val="both"/>
      </w:pPr>
      <w:r>
        <w:rPr>
          <w:rFonts w:ascii="Garamond" w:eastAsia="Garamond" w:hAnsi="Garamond" w:cs="Garamond"/>
          <w:color w:val="2A2A2A"/>
          <w:sz w:val="22"/>
          <w:szCs w:val="22"/>
        </w:rPr>
        <w:t xml:space="preserve">(3) A Consul's failure to submit a domain proposal does not delay or bar the budget process; the failure is published to the NRS and the Assembly proceeds.</w:t>
      </w:r>
    </w:p>
    <w:p>
      <w:pPr>
        <w:spacing w:after="120"/>
        <w:ind w:left="431"/>
        <w:jc w:val="both"/>
      </w:pPr>
      <w:r>
        <w:rPr>
          <w:rFonts w:ascii="Garamond" w:eastAsia="Garamond" w:hAnsi="Garamond" w:cs="Garamond"/>
          <w:color w:val="2A2A2A"/>
          <w:sz w:val="22"/>
          <w:szCs w:val="22"/>
        </w:rPr>
        <w:t xml:space="preserve">(4) The Legislature must pass a balanced budget or publish a structural deficit justification reviewed by the MA for fiscal accuracy.</w:t>
      </w:r>
    </w:p>
    <w:p>
      <w:pPr>
        <w:spacing w:after="120"/>
        <w:ind w:left="431"/>
        <w:jc w:val="both"/>
      </w:pPr>
      <w:r>
        <w:rPr>
          <w:rFonts w:ascii="Garamond" w:eastAsia="Garamond" w:hAnsi="Garamond" w:cs="Garamond"/>
          <w:color w:val="2A2A2A"/>
          <w:sz w:val="22"/>
          <w:szCs w:val="22"/>
        </w:rPr>
        <w:t xml:space="preserve">(5) Structural deficits above the threshold defined by the MA require a published plan for return to balance.</w:t>
      </w:r>
    </w:p>
    <w:p>
      <w:pPr>
        <w:spacing w:after="120"/>
        <w:ind w:left="431"/>
        <w:jc w:val="both"/>
      </w:pPr>
      <w:r>
        <w:rPr>
          <w:rFonts w:ascii="Garamond" w:eastAsia="Garamond" w:hAnsi="Garamond" w:cs="Garamond"/>
          <w:color w:val="2A2A2A"/>
          <w:sz w:val="22"/>
          <w:szCs w:val="22"/>
        </w:rPr>
        <w:t xml:space="preserve">(6) Where the Legislature fails to enact a budget by the constitutional deadline defined by statute, an interim automatic appropriation takes effect by constitutional operation covering:</w:t>
      </w:r>
    </w:p>
    <w:p>
      <w:pPr>
        <w:spacing w:after="120"/>
        <w:ind w:left="720"/>
        <w:jc w:val="both"/>
      </w:pPr>
      <w:r>
        <w:rPr>
          <w:rFonts w:ascii="Garamond" w:eastAsia="Garamond" w:hAnsi="Garamond" w:cs="Garamond"/>
          <w:color w:val="2A2A2A"/>
          <w:sz w:val="22"/>
          <w:szCs w:val="22"/>
        </w:rPr>
        <w:t xml:space="preserve">— judicial operations, active defense authorizations under §14.2, and social state continuity under §12.1;</w:t>
      </w:r>
    </w:p>
    <w:p>
      <w:pPr>
        <w:spacing w:after="120"/>
        <w:ind w:left="720"/>
        <w:jc w:val="both"/>
      </w:pPr>
      <w:r>
        <w:rPr>
          <w:rFonts w:ascii="Garamond" w:eastAsia="Garamond" w:hAnsi="Garamond" w:cs="Garamond"/>
          <w:color w:val="2A2A2A"/>
          <w:sz w:val="22"/>
          <w:szCs w:val="22"/>
        </w:rPr>
        <w:t xml:space="preserve">— civil service compensation;</w:t>
      </w:r>
    </w:p>
    <w:p>
      <w:pPr>
        <w:spacing w:after="120"/>
        <w:ind w:left="720"/>
        <w:jc w:val="both"/>
      </w:pPr>
      <w:r>
        <w:rPr>
          <w:rFonts w:ascii="Garamond" w:eastAsia="Garamond" w:hAnsi="Garamond" w:cs="Garamond"/>
          <w:color w:val="2A2A2A"/>
          <w:sz w:val="22"/>
          <w:szCs w:val="22"/>
        </w:rPr>
        <w:t xml:space="preserve">— and debt service obligations.</w:t>
      </w:r>
    </w:p>
    <w:p>
      <w:pPr>
        <w:spacing w:after="120"/>
        <w:ind w:left="431"/>
        <w:jc w:val="both"/>
      </w:pPr>
      <w:r>
        <w:rPr>
          <w:rFonts w:ascii="Garamond" w:eastAsia="Garamond" w:hAnsi="Garamond" w:cs="Garamond"/>
          <w:color w:val="2A2A2A"/>
          <w:sz w:val="22"/>
          <w:szCs w:val="22"/>
        </w:rPr>
        <w:t xml:space="preserve">(7) The interim appropriation continues at the prior fiscal year's inflation-adjusted level until a budget is enacted; no new programs may be initiated or expanded under the interim appropriation.</w:t>
      </w:r>
    </w:p>
    <w:p>
      <w:pPr>
        <w:spacing w:after="120"/>
        <w:ind w:left="431"/>
        <w:jc w:val="both"/>
      </w:pPr>
      <w:r>
        <w:rPr>
          <w:rFonts w:ascii="Garamond" w:eastAsia="Garamond" w:hAnsi="Garamond" w:cs="Garamond"/>
          <w:color w:val="2A2A2A"/>
          <w:sz w:val="22"/>
          <w:szCs w:val="22"/>
        </w:rPr>
        <w:t xml:space="preserve">(8)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pPr>
        <w:spacing w:after="120"/>
        <w:ind w:left="431"/>
        <w:jc w:val="both"/>
      </w:pPr>
      <w:r>
        <w:rPr>
          <w:rFonts w:ascii="Garamond" w:eastAsia="Garamond" w:hAnsi="Garamond" w:cs="Garamond"/>
          <w:color w:val="2A2A2A"/>
          <w:sz w:val="22"/>
          <w:szCs w:val="22"/>
        </w:rPr>
        <w:t xml:space="preserve">(1) A financial interest includes any holding, income source, liability, business relationship, or similar economic interest; a financial interest is disqualifying where it creates a direct and material conflict between an officer's personal economic interest and the impartial exercise of their official duties, with statute permitted to further specify categories and thresholds consistent with this standard.</w:t>
      </w:r>
    </w:p>
    <w:p>
      <w:pPr>
        <w:spacing w:after="120"/>
        <w:ind w:left="431"/>
        <w:jc w:val="both"/>
      </w:pPr>
      <w:r>
        <w:rPr>
          <w:rFonts w:ascii="Garamond" w:eastAsia="Garamond" w:hAnsi="Garamond" w:cs="Garamond"/>
          <w:color w:val="2A2A2A"/>
          <w:sz w:val="22"/>
          <w:szCs w:val="22"/>
        </w:rPr>
        <w:t xml:space="preserve">(2)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w:t>
      </w:r>
    </w:p>
    <w:p>
      <w:pPr>
        <w:spacing w:after="120"/>
        <w:ind w:left="431"/>
        <w:jc w:val="both"/>
      </w:pPr>
      <w:r>
        <w:rPr>
          <w:rFonts w:ascii="Garamond" w:eastAsia="Garamond" w:hAnsi="Garamond" w:cs="Garamond"/>
          <w:color w:val="2A2A2A"/>
          <w:sz w:val="22"/>
          <w:szCs w:val="22"/>
        </w:rPr>
        <w:t xml:space="preserve">(3) Candidates for a Monitor General's own candidate pool are audited for financial disclosure by the other two Monitors jointly rather than by the Monitor whose pool they would join, as provided in §9.3 and §9.4.</w:t>
      </w:r>
    </w:p>
    <w:p>
      <w:pPr>
        <w:spacing w:after="120"/>
        <w:ind w:left="431"/>
        <w:jc w:val="both"/>
      </w:pPr>
      <w:r>
        <w:rPr>
          <w:rFonts w:ascii="Garamond" w:eastAsia="Garamond" w:hAnsi="Garamond" w:cs="Garamond"/>
          <w:color w:val="2A2A2A"/>
          <w:sz w:val="22"/>
          <w:szCs w:val="22"/>
        </w:rPr>
        <w:t xml:space="preserve">(4) Any officer with a direct financial interest in a decision within their authority must recuse themselves; recusal is self-executing.</w:t>
      </w:r>
    </w:p>
    <w:p>
      <w:pPr>
        <w:spacing w:after="120"/>
        <w:ind w:left="431"/>
        <w:jc w:val="both"/>
      </w:pPr>
      <w:r>
        <w:rPr>
          <w:rFonts w:ascii="Garamond" w:eastAsia="Garamond" w:hAnsi="Garamond" w:cs="Garamond"/>
          <w:color w:val="2A2A2A"/>
          <w:sz w:val="22"/>
          <w:szCs w:val="22"/>
        </w:rPr>
        <w:t xml:space="preserve">(5) Any decision made without required recusal is voidable; the relevant chamber may void the decision by simple majority within 90 days of the conflict becoming a matter of public record on the NRS.</w:t>
      </w:r>
    </w:p>
    <w:p>
      <w:pPr>
        <w:spacing w:after="120"/>
        <w:ind w:left="431"/>
        <w:jc w:val="both"/>
      </w:pPr>
      <w:r>
        <w:rPr>
          <w:rFonts w:ascii="Garamond" w:eastAsia="Garamond" w:hAnsi="Garamond" w:cs="Garamond"/>
          <w:color w:val="2A2A2A"/>
          <w:sz w:val="22"/>
          <w:szCs w:val="22"/>
        </w:rPr>
        <w:t xml:space="preserve">(6)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w:t>
      </w:r>
    </w:p>
    <w:p>
      <w:pPr>
        <w:spacing w:after="120"/>
        <w:ind w:left="431"/>
        <w:jc w:val="both"/>
      </w:pPr>
      <w:r>
        <w:rPr>
          <w:rFonts w:ascii="Garamond" w:eastAsia="Garamond" w:hAnsi="Garamond" w:cs="Garamond"/>
          <w:color w:val="2A2A2A"/>
          <w:sz w:val="22"/>
          <w:szCs w:val="22"/>
        </w:rPr>
        <w:t xml:space="preserve">(7) Officers may not accept gifts above a de minimis threshold; all gifts above the threshold must be disclosed to their respective Monitor and deposited with the relevant treasury.</w:t>
      </w:r>
    </w:p>
    <w:p>
      <w:pPr>
        <w:spacing w:after="120"/>
        <w:ind w:left="431"/>
        <w:jc w:val="both"/>
      </w:pPr>
      <w:r>
        <w:rPr>
          <w:rFonts w:ascii="Garamond" w:eastAsia="Garamond" w:hAnsi="Garamond" w:cs="Garamond"/>
          <w:color w:val="2A2A2A"/>
          <w:sz w:val="22"/>
          <w:szCs w:val="22"/>
        </w:rPr>
        <w:t xml:space="preserve">(8) All records created in the exercise of official functions are public records and may not be retained, destroyed, or removed by departing officers.</w:t>
      </w:r>
    </w:p>
    <w:p>
      <w:pPr>
        <w:spacing w:after="120"/>
        <w:ind w:left="431"/>
        <w:jc w:val="both"/>
      </w:pPr>
      <w:r>
        <w:rPr>
          <w:rFonts w:ascii="Garamond" w:eastAsia="Garamond" w:hAnsi="Garamond" w:cs="Garamond"/>
          <w:color w:val="2A2A2A"/>
          <w:sz w:val="22"/>
          <w:szCs w:val="22"/>
        </w:rPr>
        <w:t xml:space="preserve">(9)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pPr>
        <w:spacing w:after="120"/>
        <w:ind w:left="431"/>
        <w:jc w:val="both"/>
      </w:pPr>
      <w:r>
        <w:rPr>
          <w:rFonts w:ascii="Garamond" w:eastAsia="Garamond" w:hAnsi="Garamond" w:cs="Garamond"/>
          <w:color w:val="2A2A2A"/>
          <w:sz w:val="22"/>
          <w:szCs w:val="22"/>
        </w:rPr>
        <w:t xml:space="preserve">(1) Citizens may initiate a national referendum to repeal enacted legislation. The petition process begins within 90 days of enactment and proceeds in two phases, each authenticated through the NVS using Citizen Voting Credentials.</w:t>
      </w:r>
    </w:p>
    <w:p>
      <w:pPr>
        <w:spacing w:after="120"/>
        <w:ind w:left="431"/>
        <w:jc w:val="both"/>
      </w:pPr>
      <w:r>
        <w:rPr>
          <w:rFonts w:ascii="Garamond" w:eastAsia="Garamond" w:hAnsi="Garamond" w:cs="Garamond"/>
          <w:color w:val="2A2A2A"/>
          <w:sz w:val="22"/>
          <w:szCs w:val="22"/>
        </w:rPr>
        <w:t xml:space="preserve">(2) Phase One, lasting up to 8 months, requires signatures from citizens equal to a percentage of eligible voters — defined by statute at not less than 0.5% nor more than 3% — in each of at least one-third of all States and Territories.</w:t>
      </w:r>
    </w:p>
    <w:p>
      <w:pPr>
        <w:spacing w:after="120"/>
        <w:ind w:left="431"/>
        <w:jc w:val="both"/>
      </w:pPr>
      <w:r>
        <w:rPr>
          <w:rFonts w:ascii="Garamond" w:eastAsia="Garamond" w:hAnsi="Garamond" w:cs="Garamond"/>
          <w:color w:val="2A2A2A"/>
          <w:sz w:val="22"/>
          <w:szCs w:val="22"/>
        </w:rPr>
        <w:t xml:space="preserve">(3) Phase Two, lasting up to 8 months following Phase One's completion, requires signatures from 5% of eligible voters nationally; signatures gathered in Phase One carry over and count toward this threshold.</w:t>
      </w:r>
    </w:p>
    <w:p>
      <w:pPr>
        <w:spacing w:after="120"/>
        <w:ind w:left="431"/>
        <w:jc w:val="both"/>
      </w:pPr>
      <w:r>
        <w:rPr>
          <w:rFonts w:ascii="Garamond" w:eastAsia="Garamond" w:hAnsi="Garamond" w:cs="Garamond"/>
          <w:color w:val="2A2A2A"/>
          <w:sz w:val="22"/>
          <w:szCs w:val="22"/>
        </w:rPr>
        <w:t xml:space="preserve">(4) Laws that solely or primarily expand an Article I right, budget laws, and laws implementing a constitutionally mandated obligation are ineligible.</w:t>
      </w:r>
    </w:p>
    <w:p>
      <w:pPr>
        <w:spacing w:after="120"/>
        <w:ind w:left="431"/>
        <w:jc w:val="both"/>
      </w:pPr>
      <w:r>
        <w:rPr>
          <w:rFonts w:ascii="Garamond" w:eastAsia="Garamond" w:hAnsi="Garamond" w:cs="Garamond"/>
          <w:color w:val="2A2A2A"/>
          <w:sz w:val="22"/>
          <w:szCs w:val="22"/>
        </w:rPr>
        <w:t xml:space="preserve">(5)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w:t>
      </w:r>
    </w:p>
    <w:p>
      <w:pPr>
        <w:spacing w:after="120"/>
        <w:ind w:left="431"/>
        <w:jc w:val="both"/>
      </w:pPr>
      <w:r>
        <w:rPr>
          <w:rFonts w:ascii="Garamond" w:eastAsia="Garamond" w:hAnsi="Garamond" w:cs="Garamond"/>
          <w:color w:val="2A2A2A"/>
          <w:sz w:val="22"/>
          <w:szCs w:val="22"/>
        </w:rPr>
        <w:t xml:space="preserve">(6)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w:t>
      </w:r>
    </w:p>
    <w:p>
      <w:pPr>
        <w:spacing w:after="120"/>
        <w:ind w:left="431"/>
        <w:jc w:val="both"/>
      </w:pPr>
      <w:r>
        <w:rPr>
          <w:rFonts w:ascii="Garamond" w:eastAsia="Garamond" w:hAnsi="Garamond" w:cs="Garamond"/>
          <w:color w:val="2A2A2A"/>
          <w:sz w:val="22"/>
          <w:szCs w:val="22"/>
        </w:rPr>
        <w:t xml:space="preserve">(7)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pPr>
        <w:spacing w:after="120"/>
        <w:ind w:left="431"/>
        <w:jc w:val="both"/>
      </w:pPr>
      <w:r>
        <w:rPr>
          <w:rFonts w:ascii="Garamond" w:eastAsia="Garamond" w:hAnsi="Garamond" w:cs="Garamond"/>
          <w:color w:val="2A2A2A"/>
          <w:sz w:val="22"/>
          <w:szCs w:val="22"/>
        </w:rPr>
        <w:t xml:space="preserve">(8) Where this Constitution bars a person from holding an office, no election, succession, elevation, designation, or automatic assumption may place that person in that office or in an acting exercise of its authority, except where this Constitution expressly provides otherwise. Where an order of succession or acting authority would otherwise place a barred person, the role passes to the next eligible person in the applicable order as if that person were unable to serve.</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pPr>
        <w:spacing w:after="120"/>
        <w:ind w:left="431"/>
        <w:jc w:val="both"/>
      </w:pPr>
      <w:r>
        <w:rPr>
          <w:rFonts w:ascii="Garamond" w:eastAsia="Garamond" w:hAnsi="Garamond" w:cs="Garamond"/>
          <w:color w:val="2A2A2A"/>
          <w:sz w:val="22"/>
          <w:szCs w:val="22"/>
        </w:rPr>
        <w:t xml:space="preserve">(1) A State enters Mandatory Devolution upon three consecutive annual Statehood Audit findings of failure published by the JMC.</w:t>
      </w:r>
    </w:p>
    <w:p>
      <w:pPr>
        <w:spacing w:after="120"/>
        <w:ind w:left="431"/>
        <w:jc w:val="both"/>
      </w:pPr>
      <w:r>
        <w:rPr>
          <w:rFonts w:ascii="Garamond" w:eastAsia="Garamond" w:hAnsi="Garamond" w:cs="Garamond"/>
          <w:color w:val="2A2A2A"/>
          <w:sz w:val="22"/>
          <w:szCs w:val="22"/>
        </w:rPr>
        <w:t xml:space="preserve">(2) After each failing audit, the JMC publishes an Early Warning specifying compliance requirements; the State must publish a Remediation Plan within the period defined by statute. Upon three consecutive failures, the State enters Provisional status under §15.1.a.</w:t>
      </w:r>
    </w:p>
    <w:p>
      <w:pPr>
        <w:spacing w:after="120"/>
        <w:ind w:left="431"/>
        <w:jc w:val="both"/>
      </w:pPr>
      <w:r>
        <w:rPr>
          <w:rFonts w:ascii="Garamond" w:eastAsia="Garamond" w:hAnsi="Garamond" w:cs="Garamond"/>
          <w:color w:val="2A2A2A"/>
          <w:sz w:val="22"/>
          <w:szCs w:val="22"/>
        </w:rPr>
        <w:t xml:space="preserve">(3)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w:t>
      </w:r>
    </w:p>
    <w:p>
      <w:pPr>
        <w:spacing w:after="120"/>
        <w:ind w:left="431"/>
        <w:jc w:val="both"/>
      </w:pPr>
      <w:r>
        <w:rPr>
          <w:rFonts w:ascii="Garamond" w:eastAsia="Garamond" w:hAnsi="Garamond" w:cs="Garamond"/>
          <w:color w:val="2A2A2A"/>
          <w:sz w:val="22"/>
          <w:szCs w:val="22"/>
        </w:rPr>
        <w:t xml:space="preserve">(4)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w:t>
      </w:r>
    </w:p>
    <w:p>
      <w:pPr>
        <w:spacing w:after="120"/>
        <w:ind w:left="431"/>
        <w:jc w:val="both"/>
      </w:pPr>
      <w:r>
        <w:rPr>
          <w:rFonts w:ascii="Garamond" w:eastAsia="Garamond" w:hAnsi="Garamond" w:cs="Garamond"/>
          <w:color w:val="2A2A2A"/>
          <w:sz w:val="22"/>
          <w:szCs w:val="22"/>
        </w:rPr>
        <w:t xml:space="preserve">(5)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w:t>
      </w:r>
    </w:p>
    <w:p>
      <w:pPr>
        <w:spacing w:after="120"/>
        <w:ind w:left="431"/>
        <w:jc w:val="both"/>
      </w:pPr>
      <w:r>
        <w:rPr>
          <w:rFonts w:ascii="Garamond" w:eastAsia="Garamond" w:hAnsi="Garamond" w:cs="Garamond"/>
          <w:color w:val="2A2A2A"/>
          <w:sz w:val="22"/>
          <w:szCs w:val="22"/>
        </w:rPr>
        <w:t xml:space="preserve">(6) An affirmative vote proceeds through negotiation and Senate ratification under §15.4; the State remains in Provisional status throughout that process; absent an affirmative vote, the State continues in Provisional status under this section.</w:t>
      </w:r>
    </w:p>
    <w:p>
      <w:pPr>
        <w:spacing w:after="120"/>
        <w:ind w:left="431"/>
        <w:jc w:val="both"/>
      </w:pPr>
      <w:r>
        <w:rPr>
          <w:rFonts w:ascii="Garamond" w:eastAsia="Garamond" w:hAnsi="Garamond" w:cs="Garamond"/>
          <w:color w:val="2A2A2A"/>
          <w:sz w:val="22"/>
          <w:szCs w:val="22"/>
        </w:rPr>
        <w:t xml:space="preserve">(7)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pPr>
        <w:spacing w:after="120"/>
        <w:ind w:left="431"/>
        <w:jc w:val="both"/>
      </w:pPr>
      <w:r>
        <w:rPr>
          <w:rFonts w:ascii="Garamond" w:eastAsia="Garamond" w:hAnsi="Garamond" w:cs="Garamond"/>
          <w:color w:val="2A2A2A"/>
          <w:sz w:val="22"/>
          <w:szCs w:val="22"/>
        </w:rPr>
        <w:t xml:space="preserve">(1) A State may seek independence from the Republic through a three-stage process.</w:t>
      </w:r>
    </w:p>
    <w:p>
      <w:pPr>
        <w:spacing w:after="120"/>
        <w:ind w:left="431"/>
        <w:jc w:val="both"/>
      </w:pPr>
      <w:r>
        <w:rPr>
          <w:rFonts w:ascii="Garamond" w:eastAsia="Garamond" w:hAnsi="Garamond" w:cs="Garamond"/>
          <w:color w:val="2A2A2A"/>
          <w:sz w:val="22"/>
          <w:szCs w:val="22"/>
        </w:rPr>
        <w:t xml:space="preserve">(2)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w:t>
      </w:r>
    </w:p>
    <w:p>
      <w:pPr>
        <w:spacing w:after="120"/>
        <w:ind w:left="431"/>
        <w:jc w:val="both"/>
      </w:pPr>
      <w:r>
        <w:rPr>
          <w:rFonts w:ascii="Garamond" w:eastAsia="Garamond" w:hAnsi="Garamond" w:cs="Garamond"/>
          <w:color w:val="2A2A2A"/>
          <w:sz w:val="22"/>
          <w:szCs w:val="22"/>
        </w:rPr>
        <w:t xml:space="preserve">(3) Upon certification of the referendum result, the Elections Panel publishes the independence petition to the NRS; the petition may not be withdrawn by the State while the process continues.</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independence petition or referendum; the Republic must provide factual information about the process upon request.</w:t>
      </w:r>
    </w:p>
    <w:p>
      <w:pPr>
        <w:spacing w:after="120"/>
        <w:ind w:left="431"/>
        <w:jc w:val="both"/>
      </w:pPr>
      <w:r>
        <w:rPr>
          <w:rFonts w:ascii="Garamond" w:eastAsia="Garamond" w:hAnsi="Garamond" w:cs="Garamond"/>
          <w:color w:val="2A2A2A"/>
          <w:sz w:val="22"/>
          <w:szCs w:val="22"/>
        </w:rPr>
        <w:t xml:space="preserve">(5)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(6) Stage Three requires a national referendum administered by the Elections Panel within 180 days of the Stage Two vote, in which all eligible voters of the Republic — including those of the petitioning State — participate; independence is approved by 60% of votes cast under §7.2 with a minimum 50% citizen participation. Where the referendum fails,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(7)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pPr>
        <w:spacing w:after="120"/>
        <w:ind w:left="431"/>
        <w:jc w:val="both"/>
      </w:pPr>
      <w:r>
        <w:rPr>
          <w:rFonts w:ascii="Garamond" w:eastAsia="Garamond" w:hAnsi="Garamond" w:cs="Garamond"/>
          <w:color w:val="2A2A2A"/>
          <w:sz w:val="22"/>
          <w:szCs w:val="22"/>
        </w:rPr>
        <w:t xml:space="preserve">(1) At ratification, the Republic formally notifies every nation on the founding register of its rights under this section; notification is published to the NRS.</w:t>
      </w:r>
    </w:p>
    <w:p>
      <w:pPr>
        <w:spacing w:after="120"/>
        <w:ind w:left="431"/>
        <w:jc w:val="both"/>
      </w:pPr>
      <w:r>
        <w:rPr>
          <w:rFonts w:ascii="Garamond" w:eastAsia="Garamond" w:hAnsi="Garamond" w:cs="Garamond"/>
          <w:color w:val="2A2A2A"/>
          <w:sz w:val="22"/>
          <w:szCs w:val="22"/>
        </w:rPr>
        <w:t xml:space="preserve">(2)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w:t>
      </w:r>
    </w:p>
    <w:p>
      <w:pPr>
        <w:spacing w:after="120"/>
        <w:ind w:left="431"/>
        <w:jc w:val="both"/>
      </w:pPr>
      <w:r>
        <w:rPr>
          <w:rFonts w:ascii="Garamond" w:eastAsia="Garamond" w:hAnsi="Garamond" w:cs="Garamond"/>
          <w:color w:val="2A2A2A"/>
          <w:sz w:val="22"/>
          <w:szCs w:val="22"/>
        </w:rPr>
        <w:t xml:space="preserve">(3) Associated Community status is the default: a nation that makes no election holds Associated Community status by constitutional operation at the close of the Transition Window.</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status; it must provide factual information about each status upon request.</w:t>
      </w:r>
    </w:p>
    <w:p>
      <w:pPr>
        <w:spacing w:after="120"/>
        <w:ind w:left="431"/>
        <w:jc w:val="both"/>
      </w:pPr>
      <w:r>
        <w:rPr>
          <w:rFonts w:ascii="Garamond" w:eastAsia="Garamond" w:hAnsi="Garamond" w:cs="Garamond"/>
          <w:color w:val="2A2A2A"/>
          <w:sz w:val="22"/>
          <w:szCs w:val="22"/>
        </w:rPr>
        <w:t xml:space="preserve">(5) Article I applies within the territory of each recognized nation throughout the Transition Window unless the nation, by its own governance process, positively rejects that application, published to the NRS; rejection constitutes an early assertion of the default status.</w:t>
      </w:r>
    </w:p>
    <w:p>
      <w:pPr>
        <w:spacing w:after="120"/>
        <w:ind w:left="431"/>
        <w:jc w:val="both"/>
      </w:pPr>
      <w:r>
        <w:rPr>
          <w:rFonts w:ascii="Garamond" w:eastAsia="Garamond" w:hAnsi="Garamond" w:cs="Garamond"/>
          <w:color w:val="2A2A2A"/>
          <w:sz w:val="22"/>
          <w:szCs w:val="22"/>
        </w:rPr>
        <w:t xml:space="preserve">(6)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w:t>
      </w:r>
    </w:p>
    <w:p>
      <w:pPr>
        <w:spacing w:after="120"/>
        <w:ind w:left="431"/>
        <w:jc w:val="both"/>
      </w:pPr>
      <w:r>
        <w:rPr>
          <w:rFonts w:ascii="Garamond" w:eastAsia="Garamond" w:hAnsi="Garamond" w:cs="Garamond"/>
          <w:color w:val="2A2A2A"/>
          <w:sz w:val="22"/>
          <w:szCs w:val="22"/>
        </w:rPr>
        <w:t xml:space="preserve">(7)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pPr>
        <w:spacing w:after="120"/>
        <w:ind w:left="431"/>
        <w:jc w:val="both"/>
      </w:pPr>
      <w:r>
        <w:rPr>
          <w:rFonts w:ascii="Garamond" w:eastAsia="Garamond" w:hAnsi="Garamond" w:cs="Garamond"/>
          <w:color w:val="2A2A2A"/>
          <w:sz w:val="22"/>
          <w:szCs w:val="22"/>
        </w:rPr>
        <w:t xml:space="preserve">(1) This Constitution may be amended through the parliamentary path or through citizen initiative. No executive signature is required; no executive veto applies. Every member's vote on any amendment is published to the NRS.</w:t>
      </w:r>
    </w:p>
    <w:p>
      <w:pPr>
        <w:spacing w:after="120"/>
        <w:ind w:left="431"/>
        <w:jc w:val="both"/>
      </w:pPr>
      <w:r>
        <w:rPr>
          <w:rFonts w:ascii="Garamond" w:eastAsia="Garamond" w:hAnsi="Garamond" w:cs="Garamond"/>
          <w:color w:val="2A2A2A"/>
          <w:sz w:val="22"/>
          <w:szCs w:val="22"/>
        </w:rPr>
        <w:t xml:space="preserve">(2)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w:t>
      </w:r>
    </w:p>
    <w:p>
      <w:pPr>
        <w:spacing w:after="120"/>
        <w:ind w:left="431"/>
        <w:jc w:val="both"/>
      </w:pPr>
      <w:r>
        <w:rPr>
          <w:rFonts w:ascii="Garamond" w:eastAsia="Garamond" w:hAnsi="Garamond" w:cs="Garamond"/>
          <w:color w:val="2A2A2A"/>
          <w:sz w:val="22"/>
          <w:szCs w:val="22"/>
        </w:rPr>
        <w:t xml:space="preserve">(3)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w:t>
      </w:r>
    </w:p>
    <w:p>
      <w:pPr>
        <w:spacing w:after="120"/>
        <w:ind w:left="431"/>
        <w:jc w:val="both"/>
      </w:pPr>
      <w:r>
        <w:rPr>
          <w:rFonts w:ascii="Garamond" w:eastAsia="Garamond" w:hAnsi="Garamond" w:cs="Garamond"/>
          <w:color w:val="2A2A2A"/>
          <w:sz w:val="22"/>
          <w:szCs w:val="22"/>
        </w:rPr>
        <w:t xml:space="preserve">(4) Amendment of the following provisions requires Popular Ratification regardless of the amendment's origin: the Monitor selection mechanisms and independence protections (§9.2–§9.4), the Monitor information-only mandate and non-dependency principle (§9.1), the Monitor funding guarantee (§9.5),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pPr>
        <w:spacing w:after="120"/>
        <w:ind w:left="431"/>
        <w:jc w:val="both"/>
      </w:pPr>
      <w:r>
        <w:rPr>
          <w:rFonts w:ascii="Garamond" w:eastAsia="Garamond" w:hAnsi="Garamond" w:cs="Garamond"/>
          <w:color w:val="2A2A2A"/>
          <w:sz w:val="22"/>
          <w:szCs w:val="22"/>
        </w:rPr>
        <w:t xml:space="preserve">(1) An amendment that is logically inconsistent with an existing provision must either explicitly repeal the inconsistent provision or the inconsistency is treated as void.</w:t>
      </w:r>
    </w:p>
    <w:p>
      <w:pPr>
        <w:spacing w:after="120"/>
        <w:ind w:left="431"/>
        <w:jc w:val="both"/>
      </w:pPr>
      <w:r>
        <w:rPr>
          <w:rFonts w:ascii="Garamond" w:eastAsia="Garamond" w:hAnsi="Garamond" w:cs="Garamond"/>
          <w:color w:val="2A2A2A"/>
          <w:sz w:val="22"/>
          <w:szCs w:val="22"/>
        </w:rPr>
        <w:t xml:space="preserve">(2)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w:t>
      </w:r>
    </w:p>
    <w:p>
      <w:pPr>
        <w:spacing w:after="120"/>
        <w:ind w:left="431"/>
        <w:jc w:val="both"/>
      </w:pPr>
      <w:r>
        <w:rPr>
          <w:rFonts w:ascii="Garamond" w:eastAsia="Garamond" w:hAnsi="Garamond" w:cs="Garamond"/>
          <w:color w:val="2A2A2A"/>
          <w:sz w:val="22"/>
          <w:szCs w:val="22"/>
        </w:rPr>
        <w:t xml:space="preserve">(3)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w:t>
      </w:r>
    </w:p>
    <w:p>
      <w:pPr>
        <w:spacing w:after="120"/>
        <w:ind w:left="431"/>
        <w:jc w:val="both"/>
      </w:pPr>
      <w:r>
        <w:rPr>
          <w:rFonts w:ascii="Garamond" w:eastAsia="Garamond" w:hAnsi="Garamond" w:cs="Garamond"/>
          <w:color w:val="2A2A2A"/>
          <w:sz w:val="22"/>
          <w:szCs w:val="22"/>
        </w:rPr>
        <w:t xml:space="preserve">(4) Amendments take prospective effect from the date of ratification — they do not retroactively alter the constitutionality of acts that were constitutional when performed.</w:t>
      </w:r>
    </w:p>
    <w:p>
      <w:pPr>
        <w:spacing w:after="120"/>
        <w:ind w:left="431"/>
        <w:jc w:val="both"/>
      </w:pPr>
      <w:r>
        <w:rPr>
          <w:rFonts w:ascii="Garamond" w:eastAsia="Garamond" w:hAnsi="Garamond" w:cs="Garamond"/>
          <w:color w:val="2A2A2A"/>
          <w:sz w:val="22"/>
          <w:szCs w:val="22"/>
        </w:rPr>
        <w:t xml:space="preserve">(5) Two amendments may be simultaneously in the ratification process; if both pass, both are law; where they conflict, the one ratified later prevails; where margins and timing are equal, the LM determines precedence from NRS records.</w:t>
      </w:r>
    </w:p>
    <w:p>
      <w:pPr>
        <w:spacing w:after="120"/>
        <w:ind w:left="431"/>
        <w:jc w:val="both"/>
      </w:pPr>
      <w:r>
        <w:rPr>
          <w:rFonts w:ascii="Garamond" w:eastAsia="Garamond" w:hAnsi="Garamond" w:cs="Garamond"/>
          <w:color w:val="2A2A2A"/>
          <w:sz w:val="22"/>
          <w:szCs w:val="22"/>
        </w:rPr>
        <w:t xml:space="preserve">(6)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pPr>
        <w:spacing w:after="120"/>
        <w:ind w:left="431"/>
        <w:jc w:val="both"/>
      </w:pPr>
      <w:r>
        <w:rPr>
          <w:rFonts w:ascii="Garamond" w:eastAsia="Garamond" w:hAnsi="Garamond" w:cs="Garamond"/>
          <w:color w:val="2A2A2A"/>
          <w:sz w:val="22"/>
          <w:szCs w:val="22"/>
        </w:rPr>
        <w:t xml:space="preserve">(1) The Republic assumes the public debt obligations of its predecessor government as a constitutional matter — it does not inherit a clean slate.</w:t>
      </w:r>
    </w:p>
    <w:p>
      <w:pPr>
        <w:spacing w:after="120"/>
        <w:ind w:left="431"/>
        <w:jc w:val="both"/>
      </w:pPr>
      <w:r>
        <w:rPr>
          <w:rFonts w:ascii="Garamond" w:eastAsia="Garamond" w:hAnsi="Garamond" w:cs="Garamond"/>
          <w:color w:val="2A2A2A"/>
          <w:sz w:val="22"/>
          <w:szCs w:val="22"/>
        </w:rPr>
        <w:t xml:space="preserve">(2)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w:t>
      </w:r>
    </w:p>
    <w:p>
      <w:pPr>
        <w:spacing w:after="120"/>
        <w:ind w:left="431"/>
        <w:jc w:val="both"/>
      </w:pPr>
      <w:r>
        <w:rPr>
          <w:rFonts w:ascii="Garamond" w:eastAsia="Garamond" w:hAnsi="Garamond" w:cs="Garamond"/>
          <w:color w:val="2A2A2A"/>
          <w:sz w:val="22"/>
          <w:szCs w:val="22"/>
        </w:rPr>
        <w:t xml:space="preserve">(3) Social insurance programs — retirement pensions, disability benefits, health coverage — continue uninterrupted during the Transition Window.</w:t>
      </w:r>
    </w:p>
    <w:p>
      <w:pPr>
        <w:spacing w:after="120"/>
        <w:ind w:left="431"/>
        <w:jc w:val="both"/>
      </w:pPr>
      <w:r>
        <w:rPr>
          <w:rFonts w:ascii="Garamond" w:eastAsia="Garamond" w:hAnsi="Garamond" w:cs="Garamond"/>
          <w:color w:val="2A2A2A"/>
          <w:sz w:val="22"/>
          <w:szCs w:val="22"/>
        </w:rPr>
        <w:t xml:space="preserve">(4) All benefit obligations to persons who served in military or national service under the prior government are inherited and honored; the Legislature must pass a Veterans and National Service Benefits Act within the first budget cycle following Phase 4.</w:t>
      </w:r>
    </w:p>
    <w:p>
      <w:pPr>
        <w:spacing w:after="120"/>
        <w:ind w:left="431"/>
        <w:jc w:val="both"/>
      </w:pPr>
      <w:r>
        <w:rPr>
          <w:rFonts w:ascii="Garamond" w:eastAsia="Garamond" w:hAnsi="Garamond" w:cs="Garamond"/>
          <w:color w:val="2A2A2A"/>
          <w:sz w:val="22"/>
          <w:szCs w:val="22"/>
        </w:rPr>
        <w:t xml:space="preserve">(5)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w:t>
      </w:r>
    </w:p>
    <w:p>
      <w:pPr>
        <w:spacing w:after="120"/>
        <w:ind w:left="431"/>
        <w:jc w:val="both"/>
      </w:pPr>
      <w:r>
        <w:rPr>
          <w:rFonts w:ascii="Garamond" w:eastAsia="Garamond" w:hAnsi="Garamond" w:cs="Garamond"/>
          <w:color w:val="2A2A2A"/>
          <w:sz w:val="22"/>
          <w:szCs w:val="22"/>
        </w:rPr>
        <w:t xml:space="preserve">(6)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pPr>
        <w:spacing w:after="120"/>
        <w:ind w:left="431"/>
        <w:jc w:val="both"/>
      </w:pPr>
      <w:r>
        <w:rPr>
          <w:rFonts w:ascii="Garamond" w:eastAsia="Garamond" w:hAnsi="Garamond" w:cs="Garamond"/>
          <w:color w:val="2A2A2A"/>
          <w:sz w:val="22"/>
          <w:szCs w:val="22"/>
        </w:rPr>
        <w:t xml:space="preserve">(1) Territories or subdivisions meeting the Statehood Audit by Phase 2 end may petition to enter as State or Territory. Those failing the Statehood Audit enter as Territory and may begin the Statehood Audit immediately.</w:t>
      </w:r>
    </w:p>
    <w:p>
      <w:pPr>
        <w:spacing w:after="120"/>
        <w:ind w:left="431"/>
        <w:jc w:val="both"/>
      </w:pPr>
      <w:r>
        <w:rPr>
          <w:rFonts w:ascii="Garamond" w:eastAsia="Garamond" w:hAnsi="Garamond" w:cs="Garamond"/>
          <w:color w:val="2A2A2A"/>
          <w:sz w:val="22"/>
          <w:szCs w:val="22"/>
        </w:rPr>
        <w:t xml:space="preserve">(2) Any territory may choose Territory status by simple legislative vote regardless of whether it meets the Statehood Audit.</w:t>
      </w:r>
    </w:p>
    <w:p>
      <w:pPr>
        <w:spacing w:after="120"/>
        <w:ind w:left="431"/>
        <w:jc w:val="both"/>
      </w:pPr>
      <w:r>
        <w:rPr>
          <w:rFonts w:ascii="Garamond" w:eastAsia="Garamond" w:hAnsi="Garamond" w:cs="Garamond"/>
          <w:color w:val="2A2A2A"/>
          <w:sz w:val="22"/>
          <w:szCs w:val="22"/>
        </w:rPr>
        <w:t xml:space="preserve">(3) Prior government states or territories may voluntarily subdivide during the Transition Window by vote of their existing legislative body; new subdivisions are treated as separate petitioning entities.</w:t>
      </w:r>
    </w:p>
    <w:p>
      <w:pPr>
        <w:spacing w:after="120"/>
        <w:ind w:left="431"/>
        <w:jc w:val="both"/>
      </w:pPr>
      <w:r>
        <w:rPr>
          <w:rFonts w:ascii="Garamond" w:eastAsia="Garamond" w:hAnsi="Garamond" w:cs="Garamond"/>
          <w:color w:val="2A2A2A"/>
          <w:sz w:val="22"/>
          <w:szCs w:val="22"/>
        </w:rPr>
        <w:t xml:space="preserve">(4) Where a State fails the Phase 2 Statehood Audit, it enters as a Territory; its population retains all Article I rights and participates in first Assembly elections proportionally.</w:t>
      </w:r>
    </w:p>
    <w:p>
      <w:pPr>
        <w:spacing w:after="120"/>
        <w:ind w:left="431"/>
        <w:jc w:val="both"/>
      </w:pPr>
      <w:r>
        <w:rPr>
          <w:rFonts w:ascii="Garamond" w:eastAsia="Garamond" w:hAnsi="Garamond" w:cs="Garamond"/>
          <w:color w:val="2A2A2A"/>
          <w:sz w:val="22"/>
          <w:szCs w:val="22"/>
        </w:rPr>
        <w:t xml:space="preserve">(5)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120"/>
        <w:ind w:left="431"/>
        <w:jc w:val="both"/>
      </w:pPr>
      <w:r>
        <w:rPr>
          <w:rFonts w:ascii="Garamond" w:eastAsia="Garamond" w:hAnsi="Garamond" w:cs="Garamond"/>
          <w:color w:val="2A2A2A"/>
          <w:sz w:val="22"/>
          <w:szCs w:val="22"/>
        </w:rPr>
        <w:t xml:space="preserve">(6) Political entities that held recognized State or equivalent status immediately prior to ratification and choose to enter the Republic as States do so as full States from Day Zero for the purpose of constituting the Senate and seating their legislators.</w:t>
      </w:r>
    </w:p>
    <w:p>
      <w:pPr>
        <w:spacing w:after="120"/>
        <w:ind w:left="431"/>
        <w:jc w:val="both"/>
      </w:pPr>
      <w:r>
        <w:rPr>
          <w:rFonts w:ascii="Garamond" w:eastAsia="Garamond" w:hAnsi="Garamond" w:cs="Garamond"/>
          <w:color w:val="2A2A2A"/>
          <w:sz w:val="22"/>
          <w:szCs w:val="22"/>
        </w:rPr>
        <w:t xml:space="preserve">(7)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pPr>
        <w:spacing w:after="120"/>
        <w:ind w:left="431"/>
        <w:jc w:val="both"/>
      </w:pPr>
      <w:r>
        <w:rPr>
          <w:rFonts w:ascii="Garamond" w:eastAsia="Garamond" w:hAnsi="Garamond" w:cs="Garamond"/>
          <w:color w:val="2A2A2A"/>
          <w:sz w:val="22"/>
          <w:szCs w:val="22"/>
        </w:rPr>
        <w:t xml:space="preserve">(1) No compact may be entered or ratified with any entity whose governance practices include, authorize, or systematically permit violations of any of the non-derogable rights established in §1.19.a, committed against any person within its jurisdiction.</w:t>
      </w:r>
    </w:p>
    <w:p>
      <w:pPr>
        <w:spacing w:after="120"/>
        <w:ind w:left="431"/>
        <w:jc w:val="both"/>
      </w:pPr>
      <w:r>
        <w:rPr>
          <w:rFonts w:ascii="Garamond" w:eastAsia="Garamond" w:hAnsi="Garamond" w:cs="Garamond"/>
          <w:color w:val="2A2A2A"/>
          <w:sz w:val="22"/>
          <w:szCs w:val="22"/>
        </w:rPr>
        <w:t xml:space="preserve">(2)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w:t>
      </w:r>
    </w:p>
    <w:p>
      <w:pPr>
        <w:spacing w:after="120"/>
        <w:ind w:left="431"/>
        <w:jc w:val="both"/>
      </w:pPr>
      <w:r>
        <w:rPr>
          <w:rFonts w:ascii="Garamond" w:eastAsia="Garamond" w:hAnsi="Garamond" w:cs="Garamond"/>
          <w:color w:val="2A2A2A"/>
          <w:sz w:val="22"/>
          <w:szCs w:val="22"/>
        </w:rPr>
        <w:t xml:space="preserve">(3) The arbitration panel may determine compact termination on confirmed violations without remediation within the period the compact specifies.</w:t>
      </w:r>
    </w:p>
    <w:p>
      <w:pPr>
        <w:spacing w:after="120"/>
        <w:ind w:left="431"/>
        <w:jc w:val="both"/>
      </w:pPr>
      <w:r>
        <w:rPr>
          <w:rFonts w:ascii="Garamond" w:eastAsia="Garamond" w:hAnsi="Garamond" w:cs="Garamond"/>
          <w:color w:val="2A2A2A"/>
          <w:sz w:val="22"/>
          <w:szCs w:val="22"/>
        </w:rPr>
        <w:t xml:space="preserve">(4) Economic value of the compact relationship is not a factor in JM assessment or arbitration review.</w:t>
      </w:r>
    </w:p>
    <w:p>
      <w:pPr>
        <w:spacing w:after="120"/>
        <w:ind w:left="431"/>
        <w:jc w:val="both"/>
      </w:pPr>
      <w:r>
        <w:rPr>
          <w:rFonts w:ascii="Garamond" w:eastAsia="Garamond" w:hAnsi="Garamond" w:cs="Garamond"/>
          <w:color w:val="2A2A2A"/>
          <w:sz w:val="22"/>
          <w:szCs w:val="22"/>
        </w:rPr>
        <w:t xml:space="preserve">(5)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w:t>
      </w:r>
    </w:p>
    <w:p>
      <w:pPr>
        <w:spacing w:after="120"/>
        <w:ind w:left="431"/>
        <w:jc w:val="both"/>
      </w:pPr>
      <w:r>
        <w:rPr>
          <w:rFonts w:ascii="Garamond" w:eastAsia="Garamond" w:hAnsi="Garamond" w:cs="Garamond"/>
          <w:color w:val="2A2A2A"/>
          <w:sz w:val="22"/>
          <w:szCs w:val="22"/>
        </w:rPr>
        <w:t xml:space="preserve">(6)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