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JM’s ongoing audit of the Elections Panel encompasses the administration of each agency director pool; audit findings confirming pool status are published to the NRS. The Civic Consul nominates the agency director from the pool only; a nomination outside the pool is constitutionally void. The Senate confirms by 2/3 supermajority within 90 days of nomination;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outside the four certified categories;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is reportable by the other two Monitors.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the period defined by statute.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