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that require new domestic legislation to implement; and provisions creating direct obligations on domestic persons or entities. Tariff schedules, market access terms in foreign markets, and international negotiating positions are within the President's sole authority. Where PM concurrence is withheld on a specific provision, that provision may be transmitted to the House Speaker as ordinary legislation and the remaining agreement terms proceed to Senate ratification independently.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§2.1.k  </w:t>
      </w:r>
      <w:r>
        <w:rPr>
          <w:rFonts w:ascii="Garamond" w:cs="Garamond" w:eastAsia="Garamond" w:hAnsi="Garamond"/>
          <w:b/>
          <w:bCs/>
          <w:i w:val="false"/>
          <w:iCs w:val="false"/>
          <w:color w:val="1B2A4A"/>
          <w:sz w:val="22"/>
          <w:szCs w:val="22"/>
        </w:rPr>
        <w:t xml:space="preserve">General Domain Default and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domain of a proposed executive action is disputed outside the context of active military operations, the PM's residual authority under §2.2 is presumptive pending resolution — the President's authority is enumerated, so a Presidential domain claim must identify the enumerated power engaged. The JEC under §2.11 is the first forum for resolution. Where resolution is not achieved through the JEC, either executive may petition the SC for a domain determination; the SC must rule within 30 days of petition. Pending the SC ruling, the PM's residual authority governs except for matters expressly listed in §2.1. This provision does not apply to disputes arising during active military operations, which are governed exclusively by §2.1.h.</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them to violate a constitutional provision or any statute. Refusal of such an order creates no civil or criminal liability and constitutes no basis for dismissal, demotion, or any other penalty. The refusing person may report the order to the EI, who may investigate and publish findings to the NRS. The affected civil servant or military member may seek legal redress before any court of competent jurisdiction for any penalty imposed in connection with a refusal.</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Two limits apply simultaneously. First, no PM may serve more than 8 consecutive years — after 8 years the PM must stand down even if the House would re-elect them. Second, no person may serve as PM for more than 12 years in total across all periods of service. A former PM who returns after stepping down may serve a further period only up to the 12-year total — regardless of whether any single period of service would otherwise be within the 8-year consecutive limit. Both limits and the constructive vote operate independently; the stricter limit governs at any given moment. Years of service are calculated from the date each period of service begins to the date it ends; partial years count in full for purposes of both limits.</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their Senate seat is immediately vacated and the Deputy Speaker assumes the Speaker role. The successor serves the remainder of the current presidential term under §2.6.c.</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serves the remainder of the current presidential term. No election is required to complete the term — succession is a constitutional appointment, and the successor is the President from the moment of succession. Service by succession does not constitute or consume the successor's single non-renewable presidential term; succession is a constitutional duty, not an electoral mandate. The successor is eligible to stand as a presidential candidate at the next regular presidential election under §7.2.</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under §2.1.j and the PM's Cabinet ministers under §2.2.b meeting jointly as a standing cross-executive coordination body. The Council serves as the primary forum for matters that cross executive domains. Where a proposed executive action materially affects the domain of the other executive, the proposing executive notifies the Council before acting and presents the matter for coordinated discussion at the next session — absent a declared emergency under §2.8 or an immediate operational requirement under §2.1.a. The Council makes recommendations and coordinates positions; it does not exercise executive authority, and nothing in this section limits either executive's constitutional authority within their own domain. Both the President and PM must each attend at least one Council session per calendar quarter; for sessions an executive does not attend, their officers must provide a written brief to that executive within 48 hours of the session closing. Meeting frequency, agenda procedures, chairing arrangements, and all other operational parameters are defined by statute. A summary record of each session — covering agenda items and agreed positions — is published to the NRS within 14 days. The existence and general subject of each session may not be classified.</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every ten years and whenever the Legislature requires reapportionment. The census is administered by a statutory independent agency established by the Legislature under §3.7. The Legislature defines census methodology by statute; methods may include mathematical models, statistical sampling, or administrative data integration where the Legislature determines these are more accurate or efficient than direct enumeration. The LI audits the census process and results for constitutional compliance and publishes its findings to the NRS within 30 days of census completion. Census results are published to the NRS within 90 days of completion and used as the basis for House seat allocation under §3.1.a.</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inferior court judicial appointments by a supermajority defined by statute. Failure to vote within the confirmation period triggers Deemed Confirmation at 180 days. Supreme Court justice confirmation is governed exclusively by §4.2.d, which sets an independent 2/3 threshold, no deemed confirmation, and its own time ceilings.</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Elections Panel of the Digital Infrastructure Commission draws an interim compliant map under §3.4.b pending State compliance. A State may request drawing consulting from the Elections Panel at any point in the redistricting process; such consulting is advisory and does not transfer the State's map-drawing responsibility to the Elections Panel. Territorial district maps are drawn by the Elections Panel of the Digital Infrastructure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Elections Panel of the Digital Infrastructure Commission draws an interim compliant map using the §3.4.a criteria, which takes effect at the next election. The Elections Panel-drawn interim map is not permanent — it is retired automatically when the State submits and the LI certifies a compliant State-drawn map. Until then, elections proceed on the Elections Panel-drawn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Elections Panel administers the election directly through the NVS. For Territories holding two or more House seats, the Elections Panel of the Digital Infrastructure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Elections Panel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Elections Panel of the Digital Infrastructure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Speaker is elected by the House from among its members by absolute majority. The Speaker presides over House proceedings, manages the legislative calendar, and maintains the impartiality of the chair on all House business. The Speaker does not hold a position in the presidential succession line, which runs through the Senate under §2.6.a.</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compliance analysis of any enacted law during the legislative review period under §2.4 and §2.5, enabling citizens and legislators to assess constitutional implications before the law takes full effect. The LI may also publish a compliance analysis of any bill at any stage of the legislative process on written request from any member of either chamber; such analysis is advisory and creates no obligation on any member to act upon it. The LI does not initiate constitutional review of pending legislation on its own motion — pre-enactment review is triggered by member request only. All compliance analyses are published to the NRS.</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create independent statutory offices outside both executive domains. They exercise regulatory, quasi-judicial, or administrative functions with constitutional independence — neither executive may direct their operations. Where this Constitution assigns a specific function to a statutory independent agency, the Legislature shall establish the relevant agency; any enabling statute must meet the standards of this section and specify the establishment timeframe. An assigned function for which no agency has been established may be administered on an interim basis by the responsible Inspectorate until the agency is established.</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defined by statute, ensuring Senate confirmation requires meaningful cross-party support.</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serve a single non-renewable term of 15 years. During the term a judge may be removed only for cause under §4.1.d. At the conclusion of the term the judge may not be reappointed to any inferior court seat. The Legislature may establish a mandatory retirement age by statute, provided no retirement age is set below 70; where a 15-year term would extend beyond the mandatory retirement age, the term ends at the retirement age.</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§4.1.e  </w:t>
      </w:r>
      <w:r>
        <w:rPr>
          <w:rFonts w:ascii="Garamond" w:cs="Garamond" w:eastAsia="Garamond" w:hAnsi="Garamond"/>
          <w:b/>
          <w:bCs/>
          <w:i w:val="false"/>
          <w:iCs w:val="false"/>
          <w:color w:val="1B2A4A"/>
          <w:sz w:val="22"/>
          <w:szCs w:val="22"/>
        </w:rPr>
        <w:t xml:space="preserve">Supreme Court Composition and Size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initially consists of nine justices. The Legislature may increase the number of justices by ordinary statute; any seat added is assigned to the class with the fewest current members — ties broken by public lot drawn by the JI — and must be filled through §4.2.d within 18 months of enactment or the seat expires by operation of law. The Legislature may decrease the number of justices only by statute passed by 2/3 of both chambers; a reduction takes effect through natural attrition only — by leaving the next scheduled vacancy in the designated class unfilled — and never by removing a sitting justice. The number of justices may not fall below three. Where the Court is equally divided on any question — whether by reason of court size, recusal, or vacancy — the challenged ruling of the lower court or government body stands without further order.</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nominated by the PM from the SC Candidate Registry and confirmed by the Senate by 2/3 supermajority of full seated membership. The Court is composed of the number of justices established under §4.1.e, organised into three staggered classes; each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PM Nomination and Senate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any current member of the SC Candidate Registry. For scheduled vacancies, the PM must nominate within 60 days of the outgoing justice's term ending. For mid-term vacancies, the PM must nominate within 45 days of the vacancy arising. Within 14 days of nomination, the JI confirms the nominee's current registry status and publishes that confirmation to the NRS; the nominee's full registry record — including the EI financial disclosure under §8.4.e — is simultaneously published for Senate reference. The Senate must vote within 90 days of the JI confirmation being published. Failure to vote within 90 days is a constitutional compliance breach certified by the LI. No deemed confirmation applies — the Senate must hold an affirmative vote. If the Senate declines to confirm, the PM submits a new nomination within 30 days and the process restarts. The confirmed justice takes the Official Oath; the confirmation and registry record are published to the NRS as permanent records.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the initial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findings published to the NRS are admissible in any judicial proceeding where they are relevant. Courts must give such findings due consideration and appropriate weight in their determinations. Where a court's factual conclusions differ from a prior Inspectorate finding, the court must address the inconsistency in its written decision. Inspectorate findings are not judicial determinations — the court retains full and independent authority to reach different factual conclusions.</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established as an independent statutory agency under §3.7. The enabling statute must ensure structural independence from partisan influence — the CLT process may 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exceeds 60% of active ballots, the State plurality requirement is waived — a margin of that scale constitutes its own geographic legitimacy. Where no candidate wins outright, a runoff is conducted under §7.2.f.</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The Elections Panel of the Digital Infrastructure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Where the national RCV majority exceeds 60% of active ballots, this requirement is waived under §7.2. Territory votes count toward the national first-preference and RCV totals but not the State plurality calculation — Territories are not States for this purpose. The Elections Panel certifies State-by-State first-preference results as part of the overall election certification under §7.2.e.</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and RCV calculation. Territories are not included in the State plurality calculation under §7.2.b — their citizens are not residents of a State for this purpose. This preserves the integrity of the geographic breadth requirement while ensuring Territory citizens exercise full national voting rights.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wins outright — either because no candidate achieved a national RCV majority, or because the national majority winner's margin did not exceed 60% of active ballots and the candidate failed the State plurality requirement — a runoff is conducted between the two candidates with the highest national first-preference vote totals. The runoff is determined by national RCV only. No State plurality requirement applies in the runoff. The Elections Panel administers the runoff on the same terms as the primary election under §7.2.a and §7.2.e.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Elections Panel of the Digital Infrastructure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Audits the population census conducted by the statutory independent agency under §3.1.b for constitutional compliance. Reviews House district maps for compliance with §3.4.a criteria.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under §8.4.e and confirms registry status for SC nominees under §4.2.d. Audits the Digital Infrastructure Commission's Elections Panel annually for electoral integrity compliance.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those who watch it. The Supreme Court nominates the LI Inspector General, confirmed by Senate 2/3 supermajority — the Legislature is entirely excluded. The House nominates the EI Inspector General, confirmed by Senate 2/3 supermajority with JI vetting — the executives are excluded, and the 2/3 threshold prevents the PM's governing coalition from confirming a preferred auditor without cross-party Senate support. The JI Inspector General is selected by public lottery from a pool of former Republic judges certified by the LI and EI — the JI itself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2/3 supermajority, with JI vetting of the nominee's disclosure record before the confirmation vote. The House nominates the EI because the PM — whom the EI watches — is accountable to the House, creating structural alignment without giving either executive direct control over selection. The 2/3 Senate threshold ensures the EI IG commands cross-party support and cannot be confirmed solely by the PM's governing coalition, substantially limiting PM influence over the selection of their own auditor.</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and the Digital Infrastructure Advisory Council.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selected by public lottery under §8.13 from the JI Candidate Pool. Eligibility is limited to former Republic judges — persons who have completed judicial service on a court of record at the trial court level or above — whether in a State court system or in the Republic's federal court structure under §4.1 — who have been out of active judicial office for at least one year. Former SC justices must have been out of SC service for at least five years to be eligible. The JI holds no role in constituting, certifying, or maintaining its own candidate pool. Each pool applicant's judicial service record is certified by the LI for accuracy within 30 days of application. Each pool applicant's financial disclosure is reviewed by the EI within 21 days of application; both the LI service certification and the EI financial review are published to the NRS as the pool entry record. The Joint Inspectorate Council conducts the lottery draw under §8.13 in a public session; the outgoing JI IG does not participate in the draw. Where there is no outgoing JI IG, the JIC conducts the draw without modification. The pool and its NRS record are publicly accessible at all times.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SC Candidate Registry. Any citizen meeting the eligibility criteria — 15 or more years of legal practice or 10 or more years of judicial service, no current government position, no disqualifying financial interest — may apply. Registry applicants must file a financial disclosure record with the EI; the EI reviews for factual accuracy within 21 days and publishes its findings to the NRS as part of the registry entry.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and minimum pool thresholds by statute.</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the Joint Inspectorate Council under §8.12 constitutes the Panel by lottery within five days, drawing five members from the combined national pool plus two alternates using the standard JIC lottery procedure under §8.13. The Legislature defines draw challenge procedures, ongoing eligibility conditions during service, and session parameters by statute.</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Joint Inspectorate Council, which serves as the standing coordination body for matters crossing Inspectorate jurisdictions or benefiting from joint deliberation. The Council formally houses all jointly certified constitutional functions — including the Eight-Year Assessment under §8.11, jointly certified lottery draws, and jointly certified selection processes throughout the constitution. The chair of any joint session is the Inspector General whose domain covers the primary subject matter; where all domains are equally engaged, the chair rotates annually. The Council publishes a joint annual report to both chambers and the NRS summarising cross-branch constitutional compliance and any jurisdictional matters addressed during the year. Joint findings carry the authority of all three Inspectorates simultaneously; individual Inspectorate findings within their own domains are unaffected. Where the Inspector Generals cannot reach consensus on a joint matter, each publishes their individual assessment and the disagreement is noted in the permanent NRS record. The Council has no authority to direct or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constitutional pool operates through four sequential stages: entry, certification, selection, and — where specified — confirmation. This section establishes the standard mechanics for each stage; individual pool provisions specify which variation applies and any pool-specific parameters. Entry: pool members are self-nominated (any qualifying citizen may apply), State-designated (each State nominates through its own process), or executive-nominated (each executive nominates to their respective pool). Senate confirmation is never required for pool entry — confirmation applies only to selected individuals, not to pool membership. A pool that required Senate confirmation at entry would require the democratic legitimacy of an elected office; if that level of accountability is needed, the office should be elected, not pooled. Certification: the JI reviews each entrant and publishes a qualification report to the NRS within 30 days, assessing whether the entrant meets the qualification requirements for that pool. Where the pool involves an office with significant financial authority, the EI reviews each entrant's financial disclosure within 21 days and publishes findings to the NRS alongside the JI report. Pool membership is established by JI certification; a rejected entrant may appeal to an Appellate Court within 14 days. Pool records are public NRS records at all times. Selection: where a pool provision specifies lottery selection, the Joint Inspectorate Council under §8.12 conducts the draw in a public session, certifies the result jointly, and publishes it to the NRS before the session closes. Drawn members must accept or decline within 48 hours; alternates fill declined seats in draw order; the JIC conducts supplemental draws if alternates are exhausted. Where a pool provision specifies deliberate nomination, the named officer nominates from certified pool members. Confirmation: where required, Senate confirmation applies to the selected individual only. Timeframes are specified in the establishing provision; failure to confirm within the specified period is a constitutional compliance breach certified by the LI unless deemed confirmation is specified. Pool health: the JI monitors all constitutional pools and publishes an annual status report to the NRS for each pool. Where a pool falls below its constitutional minimum, the JI publishes a deficiency notice; the relevant nominating bodies must respond within 30 days.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qualified persons to the Digital Infrastructure Advisory Pool at any time. Nominations are submitted to the JI; entry and certification follow §8.13. No more than three certified pool members may be nominees of the same State at the time of any given decennial draw. Pool nominations remain valid for ten years or until withdrawn by the nominating State. The pool is a public NRS record.</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the Joint Inspectorate Council under §8.12 constitutes the Council by public lottery, drawing five members at random from the eligible pool using the standard JIC lottery procedure under §8.13.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Advisory Council member who must be replaced during the review period — through ineligibility, withdrawal, or disqualification — is replaced by JIC lottery draw from the remaining eligible pool under §8.13.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Council under §8.12 certifies the draw under §9.3.d, oversees the Council's working sessions to verify that the Council has the access to records, systems, and personnel required by its statutory mandate, and reviews the Council's findings before publication to confirm the findings reflect the Council's genuine conclusions.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Elections Panel of the Digital Infrastructure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Elections Panel of the Digital Infrastructure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investigates alleged violations of the §10.5 ethics provisions upon written request from any constitutional officer, chamber of the Legislature, or Inspector General, or where the EI's own audit work identifies a potential violation. Investigation results and findings are published to the NRS. Where findings warrant further action, the EI refers to the appropriate authority: potential criminal violations are referred to prosecutorial authorities; violations warranting removal are referred to the Legislature under the applicable constitutional removal procedure; violations within an executive domain are referred to the responsible executive. The EI publishes facts and refers findings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each nominee must hold demonstrable expertise in investment management, public finance, or fiduciary governance as defined by statute. Pool entry and certification follow §8.13; no Senate confirmation is required for pool entry. No more than two certified Pool members may be nominees of the same executive at any time. The Pool must maintain a minimum of ten certified members; if it falls below ten, both executives must nominate within 30 days and the JI publishes a notice of pool deficiency. The board of five trustees is selected by JIC lottery under §8.13; the Senate confirms each selected trustee within 60 days; no deemed confirmation applies.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one and three years, as the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sitting senators serve the remainder of their current elected terms — Senate seats are not vacated — but no new Senate elections may be held for the devolved State until Statehood is restored;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devolution taking effect under §13.3, the affected State may petition the SC on the sole ground that the LI's published audit findings are factually insufficient to establish three consecutive failures under §13.3. The Court reviews only the factual basis of the audit findings — not the policy merits of devolution or the State's economic circumstances. The Court must rule within 14 days. Devolution is not stayed unless the Court orders it pending ruling.</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ind w:left="431"/>
        <w:jc w:val="left"/>
      </w:pPr>
      <w:r>
        <w:rPr>
          <w:rFonts w:ascii="Courier New" w:cs="Courier New" w:eastAsia="Courier New" w:hAnsi="Courier New"/>
          <w:b/>
          <w:bCs/>
          <w:color w:val="1B2A4A"/>
          <w:sz w:val="18"/>
          <w:szCs w:val="18"/>
        </w:rPr>
        <w:t xml:space="preserve">§13.9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§13.9.a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through §13.8.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§13.9.b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"Elections Panel of the Digital Infrastructure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pool entry and certification follow §8.13.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within 60 days; failure to vote is a constitutional compliance breach certified by the LI; no deemed confirmation applies. Where the Director finds neither nominee acceptable, the Director publishes reasons to the NRS and requests new nominations from both executives within 30 days. After two replacement requests from the same executive for the same vacancy, the Director must select from nominees then available. DIC panel vacancies must be filled within 90 days of opening.</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Elections Panel of the Digital Infrastructure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Elections Panel of the Digital Infrastructure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Elections Panel of the Digital Infrastructure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Elections Panel of the Digital Infrastructure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Elections Panel of the Digital Infrastructure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Elections Panel of the Digital Infrastructure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§13.9.a and a voluntary devolution agreement under §13.4, automatic reversion under §17.3.b does not immediately apply to Operational Use Rights within the departing territory. Use rights continue under the terms of the framework agreement and independence treaty negotiated under §13.4.</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Elections Panel of the Digital Infrastructure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administers all electoral finance rules, reviews all disclosed contributions, publishes all disclosures to the NRS, and investigates suspected violations. The EI audits Elections Panel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Elections Panel of the Digital Infrastructure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Elections Panel of the Digital Infrastructure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nominated by the PM and confirmed by the Senate under §4.2.d and §4.2.h. Elections Panel of the Digital Infrastructure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§3.7, the Legislature shall establish that agency within the following timeframes measured from Phase 4 activation: the CLT Administrator under §5.4.b, within 180 days — the CLT must be operational before the first naturalization applications are accepted; the Census Bureau under §3.1.b, within 18 months — the Bureau must conduct its first census before the first post-transition House reapportionment. Where the Legislature fails to establish a required agency within its deadline, §3.7.a applies: the function is administered on an interim basis by the responsible Inspectorate until the enabling statute is enacted and the agency is operational. The LI publishes a compliance notice to the NRS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§13.9.a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2026-05-22T17:45:15.062Z</dcterms:created>
  <dcterms:modified xsi:type="dcterms:W3CDTF">2026-05-22T17:45:15.073Z</dcterms:modified>
</cp:coreProperties>
</file>

<file path=docProps/custom.xml><?xml version="1.0" encoding="utf-8"?>
<Properties xmlns="http://schemas.openxmlformats.org/officeDocument/2006/custom-properties" xmlns:vt="http://schemas.openxmlformats.org/officeDocument/2006/docPropsVTypes"/>
</file>