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 a self-executing right that courts may not make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§4.5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§1.6.a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 without a specific judicial warrant meeting the standards of §1.11.a — identifying the particular key sought and the purpose for which it is sought, issued by a judicial officer on an individualized finding of necessity.</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The scope and limits of this right are established in §1.12.a through §1.12.c.</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is a constitutional right — no government authority may use its powers to exclude persons from housing on discriminatory grounds or to deny housing to those who cannot independently secure it. The non-exclusion principle is established in §1.25.a and the social assistance housing obligation in §1.25.b.</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Social Assistance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social assistance obligation under §10.1.b.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Government's legitimate role is professional licensing, scope of practice, and safety standards — not directing the content of medical decisions or penalizing their exercise. No government may impose civil or criminal liability on any person solely for receiving medical care that was lawful where it was received, or for assisting another in accessing such care, or for providing accurate information about it.</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§2.1.f.ii  </w:t>
      </w:r>
      <w:r>
        <w:rPr>
          <w:rFonts w:ascii="Garamond" w:cs="Garamond" w:eastAsia="Garamond" w:hAnsi="Garamond"/>
          <w:b/>
          <w:bCs/>
          <w:i w:val="false"/>
          <w:iCs w:val="false"/>
          <w:color w:val="1B2A4A"/>
          <w:sz w:val="22"/>
          <w:szCs w:val="22"/>
        </w:rPr>
        <w:t xml:space="preserve">Veto Suspension for Repeated Void Vetoes</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If the Senate has not voted within that period, the President may name an Acting officer from among civil service employees or existing confirmed executive branch officers. All nominations, confirmations, and Acting appointments are published to the NRS within 24 hours. Acting status runs for up to 6 months from the date of appointment. After 6 months, the Acting officer must either be confirmed by the Senate under the standard process or be re-appointed by the President for one further 30-day extension. After that extension expires without Senate confirmation, the most senior career officer in the relevant department holds the role until a nomination is confirmed. The one-extension limit prevents indefinite Acting appointments circumventing Senate confirmation.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candidates whose qualifications have been certified by the JI against criteria established by statute.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and may sign, apply a Fiscal Objection, or apply a Suspensive Veto. Silence within the Legislative Review Period triggers Deemed Enactment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Caretaker PM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confirmed Cabinet Minister by continuous length of service, as certified by the JI, serves as Caretaker PM. The Caretaker PM's authority is limited to maintaining existing policy and emergency functions. Caretaker status expires when a new PM is confirmed by the House or the PM resumes their duties, whichever occurs first.</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§2.2.k  </w:t>
      </w:r>
      <w:r>
        <w:rPr>
          <w:rFonts w:ascii="Garamond" w:cs="Garamond" w:eastAsia="Garamond" w:hAnsi="Garamond"/>
          <w:b/>
          <w:bCs/>
          <w:i w:val="false"/>
          <w:iCs w:val="false"/>
          <w:color w:val="1B2A4A"/>
          <w:sz w:val="22"/>
          <w:szCs w:val="22"/>
        </w:rPr>
        <w:t xml:space="preserve">Domestic Affairs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domestic executive functions through the Domestic Affairs Council — the coordinating body of senior Cabinet Ministers responsible for the delivery of social state obligations under §10.1, oversight of devolved Territories, co-management of National Trust lands, and other domestic functions assigned by statute. The Domestic Affairs Council is chaired by the PM. Its membership, structure, and operational mandate are defined by statute. The Council operates under the PM's constitutional domestic authority and is not an independent constitutional body.</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most senior confirmed Cabinet Minister by continuous length of service continues as Caretaker PM under §2.2.h.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elected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90 days of the bill being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and acting authority framework is established in §2.6.a through §2.6.c.</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President is incapacitated and unable to exercise presidential authority, the EI and LI jointly assess capacity within 6 hours. If both Inspectorates certify incapacity, they publish a joint assessment to the NRS and Acting Presidential Authority transfers immediately to the Senate Speaker. The Speaker holds all presidential powers during the acting period; the Speaker's Senate seat is not vacated; no special presidential election is triggered; and the acting period does not constitute a succession event under §2.6.a or expend any presidential term. Acting Presidential Authority ends when the President publishes a restoration declaration to the NRS, or when the EI and LI jointly certify recovery and publish it to the NRS — in either case the President immediately resumes full authority. Where the EI and LI reach different conclusions, the President remains in office; either Inspectorate may petition the SC for a capacity determination, which must rule within 24 hours; the President remains in office pending that ruling. Where Acting Presidential Authority extends beyond 90 days without restoration, the Inspectorates must within 7 days reassess and publish findings; on joint certification of permanent incapacity, §2.6.a succession activates immediately — Acting Presidential Authority converts to full succession, the Speaker's Senate seat is vacated, and the Deputy Speaker assumes the Speaker role.</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social state funding continuity under §10.1,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transparency review. Within 7 days of any grant, the granting executive files a written explanatory report with the EI stating: the identity of the recipient, the nature of the offense pardoned, the grounds for the grant, and any circumstances considered. The EI reviews the report for factual accuracy and completeness within 14 days and publishes its findings to the NRS. The reviewing chamber (Senate for PM clemency; House for Presidential clemency) receives the EI report and may, within 45 days, hold a public hearing on the grant and publish formal observations to the NRS. The reviewing chamber may not void or reverse a clemency grant — clemency is the exclusive act of the granting executive, accountable through transparency and permanent NRS record rather than legislative veto. Neither executive may grant clemency for offenses committed within the other executive's domain; any such grant is void.</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inferior court judicial appointments by a supermajority defined by statute (not less than 55%, not more than 67% of full Senate membership). Failure to vote within the confirmation period triggers Deemed Confirmation at 180 days. Supreme Court justice confirmation is governed exclusively by §4.2.d, which sets an independent 2/3 threshold, no deemed confirmation, and its own time ceilings.</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Non-Disaggregable Treaties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Elections Panel of the Digital Infrastructure Commission — as certified by the JI following a finding that the Elections Panel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by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Electoral Commission draws an interim compliant map under §3.4.b pending State compliance. A State may request drawing consulting from the EC at any point in the redistricting process; such consulting is advisory and does not transfer the State's map-drawing responsibility to the EC. Territorial district maps are drawn by the Electoral Commission under §3.4.c, subject to the same §3.4.a criteria and LI compliance review. District maps are drawn after each census, every ten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Electoral Commission draws an interim compliant map using the §3.4.a criteria, which takes effect at the next election. The EC-drawn interim map is not permanent — it is retired automatically when the State submits and the LI certifies a compliant State-drawn map. Until then, elections proceed on the EC-drawn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EC administers the election directly through the NVS. For Territories holding two or more House seats, the Electoral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EC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structured and administered as established in this section and §3.1.</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 the Inspectorates publish findings but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JI must publish a factual finding before any removal vote. The EI may certify the breach that triggers the proceeding, but the JI — which has no oversight relationship with the officer being removed — makes the independent factual finding for the removal proceeding itself.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120 days after opening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may be removed through 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nominated by the PM from the SC Candidate Registry and confirmed by the Senate by 2/3 supermajority of full seated membership. Three justices are confirmed every four years under a staggered class system; each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§4.2.a  </w:t>
      </w:r>
      <w:r>
        <w:rPr>
          <w:rFonts w:ascii="Garamond" w:cs="Garamond" w:eastAsia="Garamond" w:hAnsi="Garamond"/>
          <w:b/>
          <w:bCs/>
          <w:i w:val="false"/>
          <w:iCs w:val="false"/>
          <w:color w:val="1B2A4A"/>
          <w:sz w:val="22"/>
          <w:szCs w:val="22"/>
        </w:rPr>
        <w:t xml:space="preserve">Candidate 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431"/>
        <w:jc w:val="left"/>
      </w:pPr>
      <w:r>
        <w:rPr>
          <w:rFonts w:ascii="Courier New" w:cs="Courier New" w:eastAsia="Courier New" w:hAnsi="Courier New"/>
          <w:b/>
          <w:bCs/>
          <w:color w:val="1B2A4A"/>
          <w:sz w:val="18"/>
          <w:szCs w:val="18"/>
        </w:rPr>
        <w:t xml:space="preserve">§4.2.b  </w:t>
      </w:r>
      <w:r>
        <w:rPr>
          <w:rFonts w:ascii="Garamond" w:cs="Garamond" w:eastAsia="Garamond" w:hAnsi="Garamond"/>
          <w:b/>
          <w:bCs/>
          <w:i w:val="false"/>
          <w:iCs w:val="false"/>
          <w:color w:val="1B2A4A"/>
          <w:sz w:val="22"/>
          <w:szCs w:val="22"/>
        </w:rPr>
        <w:t xml:space="preserve">Judicial Selection Board</w:t>
      </w:r>
    </w:p>
    <w:p>
      <w:pPr>
        <w:spacing w:after="120" w:before="0"/>
        <w:ind w:left="431"/>
        <w:jc w:val="both"/>
      </w:pPr>
      <w:r>
        <w:rPr>
          <w:rFonts w:ascii="Garamond" w:cs="Garamond" w:eastAsia="Garamond" w:hAnsi="Garamond"/>
          <w:b w:val="false"/>
          <w:bCs w:val="false"/>
          <w:i w:val="false"/>
          <w:iCs w:val="false"/>
          <w:color w:val="2a2520"/>
          <w:sz w:val="22"/>
          <w:szCs w:val="22"/>
        </w:rPr>
        <w:t xml:space="preserve">Five senior judges (at least 10 years continuous service) chosen by lot by the JI from all eligible judges who are not themselves registered candidates. The Board may publish an advisory assessment of any registered candidate's judicial record, legal reasoning, and professional independence — on request from the PM or any Senator, or on the Board's own motion. All assessments are published to the NRS and transmitted to the Senate before any confirmation vote. Advisory only — the Board holds no nomination authority and no ability to restrict any PM nomination.</w:t>
      </w:r>
    </w:p>
    <w:p>
      <w:pPr>
        <w:spacing w:after="60" w:before="200"/>
        <w:ind w:left="431"/>
        <w:jc w:val="left"/>
      </w:pPr>
      <w:r>
        <w:rPr>
          <w:rFonts w:ascii="Courier New" w:cs="Courier New" w:eastAsia="Courier New" w:hAnsi="Courier New"/>
          <w:b/>
          <w:bCs/>
          <w:color w:val="1B2A4A"/>
          <w:sz w:val="18"/>
          <w:szCs w:val="18"/>
        </w:rPr>
        <w:t xml:space="preserve">§4.2.c  </w:t>
      </w:r>
      <w:r>
        <w:rPr>
          <w:rFonts w:ascii="Garamond" w:cs="Garamond" w:eastAsia="Garamond" w:hAnsi="Garamond"/>
          <w:b/>
          <w:bCs/>
          <w:i w:val="false"/>
          <w:iCs w:val="false"/>
          <w:color w:val="1B2A4A"/>
          <w:sz w:val="22"/>
          <w:szCs w:val="22"/>
        </w:rPr>
        <w:t xml:space="preserve">Judicial Inspectorate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confirms that each candidate remains on the SC Candidate Registry and that no disqualifying change has occurred since Registry admission. Candidates who fail JI certification may appeal under §8.4.i.</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PM Nomination and Senate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a JI-certified candidate from the SC Candidate Registry. For scheduled vacancies, the PM must nominate within 60 days of the outgoing justice's term ending. For mid-term vacancies, the PM must nominate within 45 days of the vacancy arising. Within 30 days of nomination, the JI confirms the candidate's registry status and publishes its assessment to the NRS — covering the nominee's judicial record, legal career, and any relevant conflicts of interest. Any Judicial Selection Board assessment of the nominee is transmitted to the Senate simultaneously. The Senate must vote within 90 days of the JI assessment being published. Failure to vote within 90 days is a constitutional compliance breach certified by the LI. No deemed confirmation applies — the Senate must hold an affirmative vote. If the Senate declines to confirm, the PM submits a new nomination within 30 days and the full process restarts from that nomination. The confirmed justice takes the Official Oath; the confirmation and JI assessment are published to the NRS as permanent records.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mid-term vacancy triggers immediate nomination under §4.2.d using the 45-day nomination window. The full process — PM nomination, JI assessment, and Senate confirmation — must be completed within 180 days of the vacancy.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Four justices are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all nine seats are filled simultaneously by PM nomination and Senate confirmation under §4.2.d, then assigned to three classes by public lot drawn by the JI. Class A: 4-year initial term. Class B: 8-year initial term. Class C: 12-year initial term. All subsequent terms: 12 years. The lot assignment is published to the NRS before any justice takes the oath. Three seats confirmed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access to social state systems under §10.1.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§5.1.g  </w:t>
      </w:r>
      <w:r>
        <w:rPr>
          <w:rFonts w:ascii="Garamond" w:cs="Garamond" w:eastAsia="Garamond" w:hAnsi="Garamond"/>
          <w:b/>
          <w:bCs/>
          <w:i w:val="false"/>
          <w:iCs w:val="false"/>
          <w:color w:val="1B2A4A"/>
          <w:sz w:val="22"/>
          <w:szCs w:val="22"/>
        </w:rPr>
        <w:t xml:space="preserve">Accelerated Naturalization — Long-Term Pre-Ratification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social state systems under §10.1,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as founding members of the Republic, as established in §5.5.a.</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covers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Judicial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 applicant may challenge a Gate 2 denial on three grounds: criterion outside the four certified categories; discriminatory application; or procedurally deficient process.</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access social state systems under §10.1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and Director of the Digital Infrastructure Commission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The Combined Score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 Where two candidates finish within 0.5 percentage points of each other on the final combined score, a runoff is required under §7.2.f.</w:t>
      </w:r>
    </w:p>
    <w:p>
      <w:pPr>
        <w:spacing w:after="60" w:before="200"/>
        <w:ind w:left="431"/>
        <w:jc w:val="left"/>
      </w:pPr>
      <w:r>
        <w:rPr>
          <w:rFonts w:ascii="Courier New" w:cs="Courier New" w:eastAsia="Courier New" w:hAnsi="Courier New"/>
          <w:b/>
          <w:bCs/>
          <w:color w:val="1B2A4A"/>
          <w:sz w:val="18"/>
          <w:szCs w:val="18"/>
        </w:rPr>
        <w:t xml:space="preserve">§7.2.c  </w:t>
      </w:r>
      <w:r>
        <w:rPr>
          <w:rFonts w:ascii="Garamond" w:cs="Garamond" w:eastAsia="Garamond" w:hAnsi="Garamond"/>
          <w:b/>
          <w:bCs/>
          <w:i w:val="false"/>
          <w:iCs w:val="false"/>
          <w:color w:val="1B2A4A"/>
          <w:sz w:val="22"/>
          <w:szCs w:val="22"/>
        </w:rPr>
        <w:t xml:space="preserve">Presidential Election Regions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431"/>
        <w:jc w:val="left"/>
      </w:pPr>
      <w:r>
        <w:rPr>
          <w:rFonts w:ascii="Courier New" w:cs="Courier New" w:eastAsia="Courier New" w:hAnsi="Courier New"/>
          <w:b/>
          <w:bCs/>
          <w:color w:val="1B2A4A"/>
          <w:sz w:val="18"/>
          <w:szCs w:val="18"/>
        </w:rPr>
        <w:t xml:space="preserve">§7.2.c.i  </w:t>
      </w:r>
      <w:r>
        <w:rPr>
          <w:rFonts w:ascii="Garamond" w:cs="Garamond" w:eastAsia="Garamond" w:hAnsi="Garamond"/>
          <w:b/>
          <w:bCs/>
          <w:i w:val="false"/>
          <w:iCs w:val="false"/>
          <w:color w:val="1B2A4A"/>
          <w:sz w:val="22"/>
          <w:szCs w:val="22"/>
        </w:rPr>
        <w:t xml:space="preserve">State Candidate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Regional Boundary Pool. Any person may be placed into a State's Pool through the State's own constitutional or statutory process, provided they meet: at least five continuous years of Republic citizenship; at least five continuous years of residency in the State whose Pool they are entering; and no current elected office. The LI certifies eligibility before entry and maintains each State's Pool as a public NRS record. The Legislature defines pool administration, annual addition processes, and pool health requirements by statute.</w:t>
      </w:r>
    </w:p>
    <w:p>
      <w:pPr>
        <w:spacing w:after="60" w:before="200"/>
        <w:ind w:left="431"/>
        <w:jc w:val="left"/>
      </w:pPr>
      <w:r>
        <w:rPr>
          <w:rFonts w:ascii="Courier New" w:cs="Courier New" w:eastAsia="Courier New" w:hAnsi="Courier New"/>
          <w:b/>
          <w:bCs/>
          <w:color w:val="1B2A4A"/>
          <w:sz w:val="18"/>
          <w:szCs w:val="18"/>
        </w:rPr>
        <w:t xml:space="preserve">§7.2.c.iv  </w:t>
      </w:r>
      <w:r>
        <w:rPr>
          <w:rFonts w:ascii="Garamond" w:cs="Garamond" w:eastAsia="Garamond" w:hAnsi="Garamond"/>
          <w:b/>
          <w:bCs/>
          <w:i w:val="false"/>
          <w:iCs w:val="false"/>
          <w:color w:val="1B2A4A"/>
          <w:sz w:val="22"/>
          <w:szCs w:val="22"/>
        </w:rPr>
        <w:t xml:space="preserve">Commission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each decennial census, the JI constitutes the Regional Boundary Commission by public lottery, drawing one name from each State's eligible Pool in a single public session witnessed by representatives of all three Inspectorates and three citizens selected by jury protocols, certified jointly by all three Inspectorates and recorded to the NRS in real time. A State whose Pool is empty at the time of the draw has no commission seat for that cycle. The commission operates by simple majority vote and must submit a proposed regional map to the LI within 180 days of constitution. The commission remains constituted until a final map is certified through §7.2.c.viii and §7.2.c.ix, then dissolves. The Legislature defines compensation, substitution procedures for death or disqualification, and session parameters by statute.</w:t>
      </w:r>
    </w:p>
    <w:p>
      <w:pPr>
        <w:spacing w:after="60" w:before="200"/>
        <w:ind w:left="431"/>
        <w:jc w:val="left"/>
      </w:pPr>
      <w:r>
        <w:rPr>
          <w:rFonts w:ascii="Courier New" w:cs="Courier New" w:eastAsia="Courier New" w:hAnsi="Courier New"/>
          <w:b/>
          <w:bCs/>
          <w:color w:val="1B2A4A"/>
          <w:sz w:val="18"/>
          <w:szCs w:val="18"/>
        </w:rPr>
        <w:t xml:space="preserve">§7.2.c.vi  </w:t>
      </w:r>
      <w:r>
        <w:rPr>
          <w:rFonts w:ascii="Garamond" w:cs="Garamond" w:eastAsia="Garamond" w:hAnsi="Garamond"/>
          <w:b/>
          <w:bCs/>
          <w:i w:val="false"/>
          <w:iCs w:val="false"/>
          <w:color w:val="1B2A4A"/>
          <w:sz w:val="22"/>
          <w:szCs w:val="22"/>
        </w:rPr>
        <w:t xml:space="preserve">Drawing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431"/>
        <w:jc w:val="left"/>
      </w:pPr>
      <w:r>
        <w:rPr>
          <w:rFonts w:ascii="Courier New" w:cs="Courier New" w:eastAsia="Courier New" w:hAnsi="Courier New"/>
          <w:b/>
          <w:bCs/>
          <w:color w:val="1B2A4A"/>
          <w:sz w:val="18"/>
          <w:szCs w:val="18"/>
        </w:rPr>
        <w:t xml:space="preserve">§7.2.c.vii  </w:t>
      </w:r>
      <w:r>
        <w:rPr>
          <w:rFonts w:ascii="Garamond" w:cs="Garamond" w:eastAsia="Garamond" w:hAnsi="Garamond"/>
          <w:b/>
          <w:bCs/>
          <w:i w:val="false"/>
          <w:iCs w:val="false"/>
          <w:color w:val="1B2A4A"/>
          <w:sz w:val="22"/>
          <w:szCs w:val="22"/>
        </w:rPr>
        <w:t xml:space="preserve">Drawing Process and Timeline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 must submit a proposed map to the LI within 180 days of constitution. A 30-day public comment period opens when the draft map is published to the NRS; any citizen or State government may submit commentary, and the commission must publish a written response to each formal submission before submitting the final map. All working maps, deliberations, and proposals must be published to the NRS throughout the process. The Legislature defines operational parameters by statute, including authorization of remote participation and quorum requirements.</w:t>
      </w:r>
    </w:p>
    <w:p>
      <w:pPr>
        <w:spacing w:after="60" w:before="200"/>
        <w:ind w:left="431"/>
        <w:jc w:val="left"/>
      </w:pPr>
      <w:r>
        <w:rPr>
          <w:rFonts w:ascii="Courier New" w:cs="Courier New" w:eastAsia="Courier New" w:hAnsi="Courier New"/>
          <w:b/>
          <w:bCs/>
          <w:color w:val="1B2A4A"/>
          <w:sz w:val="18"/>
          <w:szCs w:val="18"/>
        </w:rPr>
        <w:t xml:space="preserve">§7.2.c.viii  </w:t>
      </w:r>
      <w:r>
        <w:rPr>
          <w:rFonts w:ascii="Garamond" w:cs="Garamond" w:eastAsia="Garamond" w:hAnsi="Garamond"/>
          <w:b/>
          <w:bCs/>
          <w:i w:val="false"/>
          <w:iCs w:val="false"/>
          <w:color w:val="1B2A4A"/>
          <w:sz w:val="22"/>
          <w:szCs w:val="22"/>
        </w:rPr>
        <w:t xml:space="preserve">LI Compliance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431"/>
        <w:jc w:val="left"/>
      </w:pPr>
      <w:r>
        <w:rPr>
          <w:rFonts w:ascii="Courier New" w:cs="Courier New" w:eastAsia="Courier New" w:hAnsi="Courier New"/>
          <w:b/>
          <w:bCs/>
          <w:color w:val="1B2A4A"/>
          <w:sz w:val="18"/>
          <w:szCs w:val="18"/>
        </w:rPr>
        <w:t xml:space="preserve">§7.2.c.ix  </w:t>
      </w:r>
      <w:r>
        <w:rPr>
          <w:rFonts w:ascii="Garamond" w:cs="Garamond" w:eastAsia="Garamond" w:hAnsi="Garamond"/>
          <w:b/>
          <w:bCs/>
          <w:i w:val="false"/>
          <w:iCs w:val="false"/>
          <w:color w:val="1B2A4A"/>
          <w:sz w:val="22"/>
          <w:szCs w:val="22"/>
        </w:rPr>
        <w:t xml:space="preserve">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431"/>
        <w:jc w:val="left"/>
      </w:pPr>
      <w:r>
        <w:rPr>
          <w:rFonts w:ascii="Courier New" w:cs="Courier New" w:eastAsia="Courier New" w:hAnsi="Courier New"/>
          <w:b/>
          <w:bCs/>
          <w:color w:val="1B2A4A"/>
          <w:sz w:val="18"/>
          <w:szCs w:val="18"/>
        </w:rPr>
        <w:t xml:space="preserve">§7.2.c.x  </w:t>
      </w:r>
      <w:r>
        <w:rPr>
          <w:rFonts w:ascii="Garamond" w:cs="Garamond" w:eastAsia="Garamond" w:hAnsi="Garamond"/>
          <w:b/>
          <w:bCs/>
          <w:i w:val="false"/>
          <w:iCs w:val="false"/>
          <w:color w:val="1B2A4A"/>
          <w:sz w:val="22"/>
          <w:szCs w:val="22"/>
        </w:rPr>
        <w:t xml:space="preserve">Cycle and Timing</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moment established by the transition provisions of §19.3.</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If two candidates are within 0.5 percentage points of each other on the final combined score as calculated under §7.2.b, a head-to-head national RCV runoff is conducted between those two candidates.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Maintains the SC Candidate Registry. Vets judicial nominees and Electoral Commission candidates. Audits the Digital Infrastructure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 General is selected through a cross-nomination process that excludes the body being watched, as specified in §8.3.a through §8.3.c.</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Inspector General is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Inspector General is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Digital Infrastructure Advisory Council.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Inspector General is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 Where there is no outgoing JI IG — on the first-ever selection or where the outgoing IG has been removed or is incapacitated — the draw is administered jointly by the LI and EI Inspector Generals.</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Electoral Commission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 The Inspector General has a 14-day SC appeal window from publication of the Panel finding before the legislative vote proceeds.</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function is to determine, before any qualifying For-Cause removal vote, whether the stated grounds are substantiated within the enumerated constitutional categories for that office. The Panel publishes a binary finding — grounds substantiated or grounds unsubstantiated — and has no investigative authority and no institutional presence outside active proceedings.</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Eligibility requires: at least five continuous years of Republic citizenship; no current federal elected or appointed office; no such office held within the three years prior to pool entry; no pending federal criminal proceedings; and no current service in any active Panel. Pool membership is a public NRS record maintained by the LI. The Legislature defines pool administration, annual addition processes, minimum pool thresholds, and compensation by statute.</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the JI constitutes the Panel by public lottery within five days, drawing five members from the combined national pool plus two alternates, in a single session certified jointly by all three Inspectorates and published to the NRS in real time. Members must accept or decline within 48 hours; alternates fill declined seats in draw order. If both alternates are exhausted before five members have accepted, the JI conducts a supplemental draw. The Legislature defines draw challenge procedures, ongoing eligibility conditions during service, and session parameters by statute.</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when the Panel is fully constituted — five members having accepted service. The Legislature defines meeting parameters, document submission procedures, and any other operational requirements by statute. The Panel may request additional documentary submissions from the initiating body within the first seven days of the review period.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 determines only whether the stated grounds, as documented in the submitted record, constitute at least one of the enumerated constitutional categories for For-Cause removal applicable to the subject office. The Panel does not independently investigate, assess credibility, weigh competing factual accounts, or issue any order beyond the binary finding.</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authorizes the Legislature to proceed to a For-Cause removal vote at the applicable threshold; triggers applicable duty suspension under §8.5.a, §10.4.g, or §16.2.a; and is published permanently to the NRS. A finding of unsubstantiated: does not bar a removal vote; and is published permanently to the NRS.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social state obligations — whether the healthcare insurance system is solvent and providing universal access, whether social assistance is meeting the §10.1 dignity standard, and whether States are meeting the compulsory education constitutional floor under §10.1.c; (4) completeness of military subordination to constitutional authority; (5) comprehensiveness of NRS coverage, node distribution, and cryptographic integrity; and (6) health of the constitutional pool and lottery selection mechanisms under §7.2.c, §8.9, and §9.3, including State participation rates and pool depth. The assessment is published to the NRS and transmitted to both chambers of the Legislature. Findings are classified by severity: No Finding, Deficiency, or Critical Failure. The Legislature must respond within 90 days. For a No Finding: acknowledgment is sufficient. For a Deficiency: the Legislature must publish a remediation plan specifying actions and timelines; acknowledgment without a plan is a constitutional compliance breach certified by the LI. For a Critical Failure: the Legislature must publish a remediation plan and any member of either chamber may petition the SC to determine whether the failure constitutes a constitutional breach requiring judicial remedy. Findings, responses, and remediation plans form a permanent longitudinal record of constitutional performance published to the NRS.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Digital Infrastructure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and the National Voting System are reviewed decennially by the Digital Infrastructure Advisory Council — an independent expert body that publishes advisory findings and recommendations to the Digital Infrastructure Commission. The Advisory Council has no authority to issue binding orders or direct the Commission. Findings are published jointly by all three Inspectorates to the NRS and transmitted to the Commission Director and both panel chairs simultaneously.</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Advisory Council — Mandate and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Council reviews whether the NRS and NVS architectures continue to meet their respective constitutional requirements under §9.1 and §16.3. The Council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Advisory Council findings are recommendations to the Digital Infrastructure Commission — the Commission determines what action, if any, to take and publishes its response to the NRS within 90 days of the Advisory Council's findings.</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Advisory Pool — State Nominations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nominate any number of qualified persons to the Digital Infrastructure Advisory Pool at any time. Nominations are submitted to the JI, which reviews each nominee and publishes a qualification report to the NRS within 30 days — assessing whether the nominee holds relevant expertise in cryptography, distributed systems, information security, election administration, or public records management, as appropriate to the scope of the decennial review. Pool membership is established by JI qualification certification; no Senate confirmation is required for pool entry. Pool nominations remain valid for ten years or until withdrawn by the nominating State. The pool is a public NRS record, enabling citizens to review the qualifications of potential Advisory Council members and hold their State governments accountable for their nominations. No more than three certified pool members may be nominees of the same State at the time of any given decennial draw.</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Pool resets after each decennial review cycle. States may re-nominate the same persons with fresh JI qualification certification, or submit new nominees. Members who served on the Advisory Council are eligible for re-nomination by their State after one full cycle has elapsed since their service.</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Advisory Council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all three Inspectorates jointly constitute the Council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Council's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Advisory Council Member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an Advisory Council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 of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certify the draw under §9.3.d, oversee the Council's working sessions to verify that the Council has the access to records, systems, and personnel required by its statutory mandate, and review the Council's findings before publication to confirm the findings reflect the Council's genuine conclusions and have not been suppressed or modified. All three Inspectorate seals appear on findings published to the NRS. The Commission Director and both panel chairs receive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Advisory Council Findings and Commission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Advisory Council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for either system. The Commission Director, both panel chairs, and both executives receive findings simultaneously with NRS publication. The Senate public session under §9.3.h must be scheduled within 30 days of publication and occur within 90 days. The Commission must publish its response within 90 days of findings publication — accepting, modifying, or declining each recommendation with published reasons. The Commission's response should ordinarily follow the Senate public session under §9.3.h so that Senate scrutiny may inform the Commission's reasoning; however the 90-day response window runs from findings publication regardless of when the session occurs. The Advisory Council's mandate ends upon publication; the Council dissolves and the pool resets under §9.3.c.</w:t>
      </w:r>
    </w:p>
    <w:p>
      <w:pPr>
        <w:spacing w:after="60" w:before="200"/>
        <w:ind w:left="431"/>
        <w:jc w:val="left"/>
      </w:pPr>
      <w:r>
        <w:rPr>
          <w:rFonts w:ascii="Courier New" w:cs="Courier New" w:eastAsia="Courier New" w:hAnsi="Courier New"/>
          <w:b/>
          <w:bCs/>
          <w:color w:val="1B2A4A"/>
          <w:sz w:val="18"/>
          <w:szCs w:val="18"/>
        </w:rPr>
        <w:t xml:space="preserve">§9.3.h  </w:t>
      </w:r>
      <w:r>
        <w:rPr>
          <w:rFonts w:ascii="Garamond" w:cs="Garamond" w:eastAsia="Garamond" w:hAnsi="Garamond"/>
          <w:b/>
          <w:bCs/>
          <w:i w:val="false"/>
          <w:iCs w:val="false"/>
          <w:color w:val="1B2A4A"/>
          <w:sz w:val="22"/>
          <w:szCs w:val="22"/>
        </w:rPr>
        <w:t xml:space="preserve">Senate Public Session on Advisory Council Findings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the Advisory Council's findings being published to the NRS under §9.3.g, the Senate must schedule a mandatory public session. The session must occur within 90 days of publication. Advisory Council members appear before the Senate, present their findings, and respond to questions from Senators. The session is published in full to the NRS. Failure to schedule the session within 30 days is a constitutional compliance breach certified by the LI. The Commission's 90-day response period under §9.3.g runs from the date of findings publication and is not affected by the Senate session timing.</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The Republic shall maintain universally accessible healthcare insurance and social assistance systems and shall ensure free compulsory education for all children, as established in §10.1.a through §10.1.e.</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Universal Healthcare Insurance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shall maintain a universal healthcare insurance system providing every Inhabitant with access to essential medical care, preventive services, and necessary medications. The system is funded by mandatory employer, employee, and federal government contributions at rates defined by statute. The Republic is the contributor of last resort for Inhabitants without employment income — no Inhabitant may be excluded from the system by reason of inability to pay. The structure, governance, and coverage scope of the system are defined by statute; the statute must provide genuinely comprehensive coverage adequate for a dignified life. The MA certifies annually that the system is solvent and provides constitutionally required universal access. Where the MA certifies insolvency or access failure, the Legislature must respond within 90 days with a remediation plan; failure to respond is a constitutional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Social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Inhabitant cannot access the healthcare insurance system, employment income, or other means of support, the Republic provides social assistance sufficient to maintain conditions of life consistent with the §10.1 dignity standard. Eligibility, benefit levels, and delivery mechanisms are defined by statute; no statute may reduce social assistance below a level the MA certifies as consistent with the constitutional dignity standard. Social assistance is administered by the PM through the Domestic Affairs Council. The LI audits delivery annually.</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Compulsory 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in the Republic is entitled to free compulsory basic education. States deliver basic education within their territories and may establish standards above the constitutional floor. The constitutional floor requires: literacy and numeracy sufficient for full adult participation in economic and civic life; and civic education covering the structure, rights, and obligations of the Republic's constitutional framework. The Legislature establishes minimum per-pupil expenditure floors by statute. The LI audits State compliance with the constitutional education floor annually.</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Non-Discrimination in Social Systems</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the healthcare insurance system, social assistance, and compulsory education may not be conditioned on citizenship, residency status, political affiliation, or any characteristic protected under §1.9. Every Inhabitant is entitled to equal access. No statute may create tiered access or differential benefit levels based on any protected characteristic.</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Emergency Protection and Revenue Contraction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diminish access to healthcare insurance, social assistance, or compulsory education. These social state obligations are explicitly excluded from emergency powers; an executive who redirects social insurance or assistance funds during an emergency has committed a constitutional breach certified by the EI. Where the MA certifies a Severe Revenue Contraction, the National Endowment under §10.6 is automatically activated to backstop both the healthcare insurance system's solvency and social assistance appropriations below the §10.1 dignity standard — no legislative action is required for activation. Disbursements continue until the MA certifies the contraction has ended. Where the MA certifies healthcare insurance insolvency under §10.1.a and the Legislature fails to publish a remediation plan within 90 days, the National Endowment board may also authorize emergency disbursement to cover the insolvency gap for up to 6 months regardless of whether a Severe Revenue Contraction has been certified.</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social state backstop purposes under §10.1.e is established and governed under §10.6. The Legislature must fund it by appropriation in years of fiscal surplus. Failure to establish or adequately fund the Endowment within the constitutionally required period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certified by the LI,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 No deemed confirmation applies to MA board member appointments — the Senate must hold an affirmative vote.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EI; if the EI advises a potential mandate hierarchy violation exists, the Director may petition the SC for a mandate determination. Statutory timeframes for each step are defined by the Legislature and may not be set so short as to prevent effective deliberation.</w:t>
      </w:r>
    </w:p>
    <w:p>
      <w:pPr>
        <w:spacing w:after="60" w:before="200"/>
        <w:ind w:left="431"/>
        <w:jc w:val="left"/>
      </w:pPr>
      <w:r>
        <w:rPr>
          <w:rFonts w:ascii="Courier New" w:cs="Courier New" w:eastAsia="Courier New" w:hAnsi="Courier New"/>
          <w:b/>
          <w:bCs/>
          <w:color w:val="1B2A4A"/>
          <w:sz w:val="18"/>
          <w:szCs w:val="18"/>
        </w:rPr>
        <w:t xml:space="preserve">§10.4.g  </w:t>
      </w:r>
      <w:r>
        <w:rPr>
          <w:rFonts w:ascii="Garamond" w:cs="Garamond" w:eastAsia="Garamond" w:hAnsi="Garamond"/>
          <w:b/>
          <w:bCs/>
          <w:i w:val="false"/>
          <w:iCs w:val="false"/>
          <w:color w:val="1B2A4A"/>
          <w:sz w:val="22"/>
          <w:szCs w:val="22"/>
        </w:rPr>
        <w:t xml:space="preserve">MA Director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The Director is suspended from duties upon publication of a substantiated Panel finding, pending the legislative vote and any SC review. Any removal vote scheduled within 180 days of a major national election is automatically suspended pending SC review within 48 hours. Neither executive may remove the MA Director unilaterally.</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§10.1.e during periods of Severe Revenue Contraction. It operates independently of the annual budget process. The Endowment's dual mandate is: (1) maintaining the solvency of the universal healthcare insurance system where contribution revenues are insufficient; and (2) supplementing social assistance appropriations that fall below the §10.1 dignity standard. Both mandates are activated simultaneously on MA certification of Severe Revenue Contraction.</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to the Trustee Pool. Each nominee must hold demonstrable expertise in investment management, public finance, or fiduciary governance as determined by a qualifications standard published by the Legislature by statute. Each nominee must be confirmed by the Senate within 60 days of nomination by affirmative vote — no deemed confirmation applies. Unconfirmed nominees are returned without prejudice; the nominating executive may submit a replacement within 30 days. No more than two confirmed Pool members may be nominees of the same executive at any time. The Pool must maintain a minimum of ten confirmed members; if it falls below ten, both executives must nominate within 30 days and the JI publishes a notice of pool deficiency to the NRS.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social state backstop purposes under §10.1.e.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the Endowment is automatically activated under §10.1.e. The board must begin disbursements within 30 days: to the healthcare insurance system where its contribution revenues are insufficient to meet its obligations; and to social assistance where appropriations fall below the MA-certified dignity standard. The board may not withhold disbursements during a certified contraction. Disbursements continue until the MA certifies the contraction has ended and both social state systems are self-sufficient.</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accesses social state systems under §10.1, and may begin the Statehood pathway under §13.2.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is required once the audit is passed — statehood is a constitutional entitlement for any Territory that meets the criteria, not a political grant. The audit has two components: the LI audits fiscal integrity — basic sustainability and absence of structural insolvency that would require federal bailout; and the JI audits legal compliance with every Article I right. Both must pass. A Territory that fails either component receives specific published findings and may resubmit after addressing the identified failures. The Legislature defines detailed audit methodology and resubmission timelines by statute.</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one and three years, as the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 — it enters a remediation process, not automatic devolution.</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of a State's territory, the LI may — upon joint certification by all three Inspectorates — grant provisional audit status for that cycle, preserving the State's constitutional standing and social state protections under §10.1. Provisional status is unavailable where the Inspectorates jointly find that the State government materially contributed to the conditions producing conflict. The Legislature defines maximum provisional periods (not exceeding five years without fresh Inspectorate reassessment), monitoring requirements, and renewal conditions by statute.</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in a State referendum on whether to proceed to devolution or accept a two-year federal remediation commission; either path is published to the NRS. A devolved State returns to Territory status under §13.1. The following consequences apply immediately: Senate seats are vacated; existing House members complete their current terms; Article I rights and social state protections under §10.1 continue without interruption; and a federal tax exemption applies throughout the Territory period. State government elected officials continue their terms and govern under State law — the Domestic Affairs Council exercises oversight without replacing State government. Restoration to Statehood is automatic upon passing the Statehood Audit and completing the Provisional Membership Period — no additional vote required. The Legislature defines further conditions of the Territory period by statute; no consequences beyond those stated here may be imposed.</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a Senate Devolution vote, the affected State may petition the SC on the sole ground that the LI's published audit findings are factually insufficient to establish three consecutive failures under §13.3. The Court reviews only the factual basis of the audit findings — not the Senate's judgment, the policy merits of devolution, or the State's economic circumstances. The Court must rule within 14 days. Devolution is not stayed unless the Court orders it pending ruling.</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(subdivision, merger, Territory status, or independence path); and Senate approval of a negotiated restructuring agreement by 2/3 majority of full seated membership. The restructuring agreement specifies asset and liability allocation, transition timeline, constitutional status of successor jurisdictions, continuing federal obligations, and the Republic's obligations to the departing territory during the transition period. The agreement is published to the NRS and is legally binding on both parties. Social state protections under §10.1 and Article I rights continue without interruption through the transition. A successor subdivision that becomes a Territory enters the Statehood pathway immediately. The Legislature defines transition planning requirements by statute.</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or assembly by 2/3 majority, confirmed by a citizen referendum achieving simple majority on at least 50% participation; the JI's published assessment within 90 days of whether the entity systematically violates any unamendable Article I provision; and acceptance by the Legislature by 2/3 of both chambers. An accepted petition produces an incorporation agreement specifying a transition period not exceeding 48 months and the institutional adjustments required to meet §13.2.f. The incorporated entity immediately holds all Territory protections under §13.1. The Republic may not pressure any entity to initiate this process. An indigenous nation recognised under Article XIV must make a status election under §14.6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 geographically contiguous existing State. Merger requires: a referendum of the merging Territory's eligible voters achieving 60% affirmative with at least 50% participation; approval by the existing State through its own constitutional process; a joint Statehood Audit of the combined entity by the LI and JI confirming the existing State's integrity is maintained; and Senate ratification by simple majority of full seated membership. On ratification, the Territory is incorporated into the State by operation of law; the State's existing Senate seats are unchanged; House seat allocation is recalculated at the next census; and residents of the merging territory become full State citizens. Where a partial Territory merges, the remaining Territory continues under §13.1. The Legislature defines petition procedures, viability assessments for remaining Territory portions, and merger timelines by statute.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§15.4.a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§15.4.b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Digital Infrastructure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Digital Infrastructure Commission is a constitutionally independent body responsible for the operation of the National Record System and the National Voting System. It is governed by an elected Director and two panels of three administrators each — the NRS Panel and the Elections Panel. The Commission is independent of both executives and the Legislature in the exercise of its administrative and certification functions. References in this Constitution to the "Electoral Commission" and to "the EC" refer to the Elections Panel of the Digital Infrastructure Commission .</w:t>
      </w:r>
    </w:p>
    <w:p>
      <w:pPr>
        <w:spacing w:after="60" w:before="200"/>
        <w:ind w:left="431"/>
        <w:jc w:val="left"/>
      </w:pPr>
      <w:r>
        <w:rPr>
          <w:rFonts w:ascii="Courier New" w:cs="Courier New" w:eastAsia="Courier New" w:hAnsi="Courier New"/>
          <w:b/>
          <w:bCs/>
          <w:color w:val="1B2A4A"/>
          <w:sz w:val="18"/>
          <w:szCs w:val="18"/>
        </w:rPr>
        <w:t xml:space="preserve">§16.1.a  </w:t>
      </w:r>
      <w:r>
        <w:rPr>
          <w:rFonts w:ascii="Garamond" w:cs="Garamond" w:eastAsia="Garamond" w:hAnsi="Garamond"/>
          <w:b/>
          <w:bCs/>
          <w:i w:val="false"/>
          <w:iCs w:val="false"/>
          <w:color w:val="1B2A4A"/>
          <w:sz w:val="22"/>
          <w:szCs w:val="22"/>
        </w:rPr>
        <w:t xml:space="preserve">Director — Election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is elected by national ranked-choice vote on National Election Day to a single non-renewable 8-year term, staggered from the administrator appointment cycles. The Director chairs the Commission and holds one vote on all Commission decisions. No person may serve more than one term as Director. The Director may not hold concurrent service on either panel. No person who has held elected office or party membership within ten years of their election may stand as Director. Campaigns for the Director position are publicly funded in full — no private money may be spent on Director campaigns.</w:t>
      </w:r>
    </w:p>
    <w:p>
      <w:pPr>
        <w:spacing w:after="60" w:before="200"/>
        <w:ind w:left="431"/>
        <w:jc w:val="left"/>
      </w:pPr>
      <w:r>
        <w:rPr>
          <w:rFonts w:ascii="Courier New" w:cs="Courier New" w:eastAsia="Courier New" w:hAnsi="Courier New"/>
          <w:b/>
          <w:bCs/>
          <w:color w:val="1B2A4A"/>
          <w:sz w:val="18"/>
          <w:szCs w:val="18"/>
        </w:rPr>
        <w:t xml:space="preserve">§16.1.b  </w:t>
      </w:r>
      <w:r>
        <w:rPr>
          <w:rFonts w:ascii="Garamond" w:cs="Garamond" w:eastAsia="Garamond" w:hAnsi="Garamond"/>
          <w:b/>
          <w:bCs/>
          <w:i w:val="false"/>
          <w:iCs w:val="false"/>
          <w:color w:val="1B2A4A"/>
          <w:sz w:val="22"/>
          <w:szCs w:val="22"/>
        </w:rPr>
        <w:t xml:space="preserve">Panel Composition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consists of three administrators responsible for the operation of the National Record System. The Elections Panel consists of three administrators responsible for the operation of the National Voting System and the administration of all federal elections and referenda. Administrators serve staggered non-renewable 6-year terms. Within each panel, terms are staggered so that no more than one seat per panel turns over in any two-year window. All administrators are appointed through the pool process under §16.1.c.</w:t>
      </w:r>
    </w:p>
    <w:p>
      <w:pPr>
        <w:spacing w:after="60" w:before="200"/>
        <w:ind w:left="431"/>
        <w:jc w:val="left"/>
      </w:pPr>
      <w:r>
        <w:rPr>
          <w:rFonts w:ascii="Courier New" w:cs="Courier New" w:eastAsia="Courier New" w:hAnsi="Courier New"/>
          <w:b/>
          <w:bCs/>
          <w:color w:val="1B2A4A"/>
          <w:sz w:val="18"/>
          <w:szCs w:val="18"/>
        </w:rPr>
        <w:t xml:space="preserve">§16.1.c  </w:t>
      </w:r>
      <w:r>
        <w:rPr>
          <w:rFonts w:ascii="Garamond" w:cs="Garamond" w:eastAsia="Garamond" w:hAnsi="Garamond"/>
          <w:b/>
          <w:bCs/>
          <w:i w:val="false"/>
          <w:iCs w:val="false"/>
          <w:color w:val="1B2A4A"/>
          <w:sz w:val="22"/>
          <w:szCs w:val="22"/>
        </w:rPr>
        <w:t xml:space="preserve">Digital Infrastructure Pool and 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maintains their own pool of nominees for panel appointments. Either executive may nominate any number of qualified persons to their pool at any time. The JI reviews each nominee and publishes a qualification report to the NRS within 30 days of nomination, assessing whether the nominee meets the qualification requirements established by statute for the relevant panel track — NRS track or Elections track. Pool membership is established by JI qualification certification; no Senate confirmation is required for pool entry. When a panel vacancy arises, each executive selects one JI-certified nominee from their respective pool for that panel's qualification track and transmits the name to the Director. The Director selects one of the two nominees and transmits that selection to the Senate. The Senate confirms the Director's selection within 60 days; failure to vote within 60 days is a constitutional compliance breach certified by the LI. If the Director finds neither nominee acceptable, the Director publishes the reasons to the NRS and requests new nominations from both executives; each executive must respond with a new nominee within 30 days. If the Director finds one nominee acceptable but has published reasons to the NRS that the other nominee raises an independence or qualification concern, the Director may request a replacement from that specific executive only; that executive must respond with a new nominee within 30 days. The Director may not request replacements indefinitely — after two replacement requests from the same executive for the same vacancy, the Director must select from the nominees then available. DIC panel vacancies must be filled within 90 days of opening; if either executive fails to transmit a nominee within 60 days of the vacancy, the LI publishes a notice of constitutional non-compliance to the NRS. No deemed confirmation applies to DIC panel appointments — the Senate must hold an affirmative vote.</w:t>
      </w:r>
    </w:p>
    <w:p>
      <w:pPr>
        <w:spacing w:after="60" w:before="200"/>
        <w:ind w:left="431"/>
        <w:jc w:val="left"/>
      </w:pPr>
      <w:r>
        <w:rPr>
          <w:rFonts w:ascii="Courier New" w:cs="Courier New" w:eastAsia="Courier New" w:hAnsi="Courier New"/>
          <w:b/>
          <w:bCs/>
          <w:color w:val="1B2A4A"/>
          <w:sz w:val="18"/>
          <w:szCs w:val="18"/>
        </w:rPr>
        <w:t xml:space="preserve">§16.1.d  </w:t>
      </w:r>
      <w:r>
        <w:rPr>
          <w:rFonts w:ascii="Garamond" w:cs="Garamond" w:eastAsia="Garamond" w:hAnsi="Garamond"/>
          <w:b/>
          <w:bCs/>
          <w:i w:val="false"/>
          <w:iCs w:val="false"/>
          <w:color w:val="1B2A4A"/>
          <w:sz w:val="22"/>
          <w:szCs w:val="22"/>
        </w:rPr>
        <w:t xml:space="preserve">Commission Decision-Making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Commission — Director and six administrators — decides on architecture standards, technical policy, budget, and institutional matters by simple majority of full seated membership. The Director holds one vote and is not entitled to a separate veto. For operational decisions within each system, the relevant panel of three administrators decides by majority vote; the Director may participate in panel discussions but does not vote on operational decisions. Where a panel is deadlocked 1-1-1, the Director casts a deciding vote on that operational matter only.</w:t>
      </w:r>
    </w:p>
    <w:p>
      <w:pPr>
        <w:spacing w:after="60" w:before="200"/>
        <w:ind w:left="431"/>
        <w:jc w:val="left"/>
      </w:pPr>
      <w:r>
        <w:rPr>
          <w:rFonts w:ascii="Courier New" w:cs="Courier New" w:eastAsia="Courier New" w:hAnsi="Courier New"/>
          <w:b/>
          <w:bCs/>
          <w:color w:val="1B2A4A"/>
          <w:sz w:val="18"/>
          <w:szCs w:val="18"/>
        </w:rPr>
        <w:t xml:space="preserve">§16.1.e  </w:t>
      </w:r>
      <w:r>
        <w:rPr>
          <w:rFonts w:ascii="Garamond" w:cs="Garamond" w:eastAsia="Garamond" w:hAnsi="Garamond"/>
          <w:b/>
          <w:bCs/>
          <w:i w:val="false"/>
          <w:iCs w:val="false"/>
          <w:color w:val="1B2A4A"/>
          <w:sz w:val="22"/>
          <w:szCs w:val="22"/>
        </w:rPr>
        <w:t xml:space="preserve">Operational Independence of Panels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has sole operational authority over the technical infrastructure, security, cryptographic standards, and system availability of the National Record System. What is published to the NRS is constitutionally determined — the NRS Panel may not withhold, delay, or restrict any record that is constitutionally required to be published. The Director and Elections Panel may not issue instructions to the NRS Panel regarding the technical operation of the system. The Elections Panel has sole operational authority over the conduct of elections, the administration of the National Voting System, and the certification of all electoral results. The Director and NRS Panel may not issue instructions to the Elections Panel regarding election conduct or result certification. These independence protections are absolute and may not be modified by Commission policy or Director directive.</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Administrator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Panel administrators must hold at least 12 years of professional expertise in cryptography, distributed systems, information security, or public records management, and must have no current or recent partisan affiliation. Elections Panel administrators must hold at least 12 years of professional expertise in elections administration, electoral technology, or public administration, and must have no current or recent partisan affiliation. All administrators must pass the Constitutional Logic Test. Qualifications are assessed by the JI at time of pool nomination and published to the NRS.</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Removal of Director and Administrators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and panel administrators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A Director or administrator is suspended from duties upon publication of a substantiated Panel finding, pending the legislative vote and any SC review. Any removal vote scheduled within 180 days of a major national election is automatically suspended pending SC review within 48 hours.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Digital Infrastructure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Commission's independence does not place it above accountability. The EI oversees the Director and the Commission as a whole. The LI audits NRS Panel operations and NRS integrity annually under §9.1.e. The JI audits Elections Panel operations and electoral integrity annually. All audit findings are published to the NRS and transmitted to both chambers of the Legislature.</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panel administrator seat becomes vacant mid-term, the vacancy process under §16.1.c runs immediately. The replacement serves the remainder of the vacated term only and may not subsequently be nominated to the pool for the same panel track. Where the Director seat becomes vacant, the six panel administrators jointly designate one as Acting Director by majority vote within 7 days; a special Director election must be held within 120 days. The Acting Director holds full Director authority except on full Commission decisions — they may not cast the deciding vote under §16.1.d on Commission-wide matters during the special election campaign period. Panel operational deadlocks may still be resolved by the Acting Director's deciding vote regardless of the election period, as panel decisions are operational rather than institutional in nature.</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Emergency Technical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the Commission to adopt temporary technical measures in imminent security threats or system failures, bypassing the normal majority decision threshold. The emergency power is narrowly constrained — it cannot change electoral rules, timelines, candidate eligibility, or NRS record permanence. It is a system-integrity tool only. Emergency measures expire within 72 hours unless ratified by the full Commission at a convened session.</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The National Trust Administrator is independently confirmed under the §2.2.h escalation framework.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whose independence is protected by statute.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established in §19.3.a through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social state system continuity under §10.1, public safety, and essential services. No new permanent legislation.</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NRS Panel administrators of the Digital Infrastructure Commission are appointed. Digital Infrastructure Commission Elections Panel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nominated by the PM and confirmed by the Senate under §4.2.d and §4.2.h. Electoral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NRS Panel administrators.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NRS Panel administrators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2026-05-22T04:47:27.900Z</dcterms:created>
  <dcterms:modified xsi:type="dcterms:W3CDTF">2026-05-22T04:47:27.905Z</dcterms:modified>
</cp:coreProperties>
</file>

<file path=docProps/custom.xml><?xml version="1.0" encoding="utf-8"?>
<Properties xmlns="http://schemas.openxmlformats.org/officeDocument/2006/custom-properties" xmlns:vt="http://schemas.openxmlformats.org/officeDocument/2006/docPropsVTypes"/>
</file>