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Digital Infrastructure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Its value is the independence of its assessment from the Commission it advises.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any number of qualified persons to the Digital Infrastructure Advisory Pool at any time. Nominations are submitted to the JI, which reviews each nominee and publishes a qualification report to the NRS within 30 days — assessing whether the nominee holds relevant expertise in cryptography, distributed systems, information security, election administration, or public records management, as appropriate to the scope of the decennial review. Pool membership is established by JI qualification certification; no Senate confirmation is required for pool entry. Pool nominations remain valid for ten years or until withdrawn by the nominating State. The pool is a public NRS record, enabling citizens to review the qualifications of potential Advisory Council members and hold their State governments accountable for their nominations. No more than three certified pool members may be nominees of the same State at the time of any given decennial draw.</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an Advisory Council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Senate session provides public accountability for the Advisory Council's work — the Senate represents the States that nominated the Council members, completing the accountability chain from nomination through finding to public scrutiny.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reportable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 — ensuring the insurance system's obligations are met while the Legislature's constitutional obligation is enforced.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social state protections under §10.1.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Social state systems — healthcare insurance, social assistance, and compulsory education under §10.1 continue without interruption to Territory residents;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social state protection under §10.1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unless the context requires otherwise.</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A nominee whose qualifications have not been JI-certified may not be selected for panel appointment.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from both executives; each executive must respond with a new nominee within 30 days. If the Director finds one nominee acceptable but has published reasons to the NRS that the other nominee raises an independence or qualification concern, the Director may request a replacement from that specific executive only; that executive must respond with a new nominee within 30 days. The Director may not request replacements indefinitely — after two replacement requests from the same executive for the same vacancy, the Director must select from the nominees then available. DIC panel vacancies must be filled within 90 days of opening; if either executive fails to transmit a nominee within 60 days of the vacancy, the LI publishes a notice of constitutional non-compliance to the NRS. No deemed confirmation applies to DIC panel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subject to active removal proceedings is suspended from duties pending the legislative vote.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the deciding-vote power under §16.1.d.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2026-05-22T02:10:54.321Z</dcterms:created>
  <dcterms:modified xsi:type="dcterms:W3CDTF">2026-05-22T02:10:54.331Z</dcterms:modified>
</cp:coreProperties>
</file>

<file path=docProps/custom.xml><?xml version="1.0" encoding="utf-8"?>
<Properties xmlns="http://schemas.openxmlformats.org/officeDocument/2006/custom-properties" xmlns:vt="http://schemas.openxmlformats.org/officeDocument/2006/docPropsVTypes"/>
</file>