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 xml:space="preserve">Indigenous nations with sovereignty recognized under this Article may elect their constitutional status relationship with the Republic at the time of ratification and at any subsequent time through their own democratic or traditional governance process. No election requires Republic consent or approval — the Republic's role is to receive the election, recognize its consequences, and fulfill its obligations under the elected framework. The Republic may not prefer, discourage, or offer inducements toward any status option. It may provide factual information about each status upon a nation's request.
Four status options are available:
(a) Indigenous Compact (default): Continued participation in the Article XIV government-to-government relationship. No election is required — this status continues unless affirmatively changed. All Article XIV rights, land protections, and FPIC requirements remain in full force indefinitely.
(b)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
(c)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
(d)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
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Status elections are not permanent — a nation may elect a different status at any subsequent time through its own governance process, subject to the requirements of the relevant framework. The Republic must facilitate transitions between statuses in good faith and without delay.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