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has a minimum of one seat per State and a floor of one seat per 750,000 citizens, with final allocation determined by the LI formula following each census. The LI publishes the updated seat allocation to the NRS within 30 days of census completion. Where a reapportionment event reduces a State's seats, the reduction takes effect at the next general election — no sitting member's term is cut short by reapportionment.</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formula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2026-05-19T14:21:25.847Z</dcterms:created>
  <dcterms:modified xsi:type="dcterms:W3CDTF">2026-05-19T14:21:25.848Z</dcterms:modified>
</cp:coreProperties>
</file>

<file path=docProps/custom.xml><?xml version="1.0" encoding="utf-8"?>
<Properties xmlns="http://schemas.openxmlformats.org/officeDocument/2006/custom-properties" xmlns:vt="http://schemas.openxmlformats.org/officeDocument/2006/docPropsVTypes"/>
</file>