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2130AAFA" w:rsidR="00AF3D56" w:rsidRDefault="00000000">
      <w:pPr>
        <w:spacing w:before="240"/>
        <w:jc w:val="center"/>
      </w:pPr>
      <w:r>
        <w:rPr>
          <w:rFonts w:ascii="Garamond" w:eastAsia="Garamond" w:hAnsi="Garamond" w:cs="Garamond"/>
          <w:i/>
          <w:iCs/>
          <w:color w:val="7A7060"/>
          <w:sz w:val="22"/>
          <w:szCs w:val="22"/>
        </w:rPr>
        <w:t>16</w:t>
      </w:r>
      <w:r w:rsidR="00A60115">
        <w:rPr>
          <w:rFonts w:ascii="Garamond" w:eastAsia="Garamond" w:hAnsi="Garamond" w:cs="Garamond"/>
          <w:i/>
          <w:iCs/>
          <w:color w:val="7A7060"/>
          <w:sz w:val="22"/>
          <w:szCs w:val="22"/>
        </w:rPr>
        <w:t>2</w:t>
      </w:r>
      <w:r>
        <w:rPr>
          <w:rFonts w:ascii="Garamond" w:eastAsia="Garamond" w:hAnsi="Garamond" w:cs="Garamond"/>
          <w:i/>
          <w:iCs/>
          <w:color w:val="7A7060"/>
          <w:sz w:val="22"/>
          <w:szCs w:val="22"/>
        </w:rPr>
        <w:t xml:space="preserve">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§1.19.b.</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r>
      <w:r>
        <w:rPr>
          <w:rFonts w:ascii="Garamond" w:eastAsia="Garamond" w:hAnsi="Garamond" w:cs="Garamond"/>
          <w:color w:val="2A2A2A"/>
          <w:sz w:val="22"/>
          <w:szCs w:val="22"/>
        </w:rPr>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§1.19.e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w:t>
      </w:r>
      <w:r>
        <w:rPr>
          <w:rFonts w:ascii="Garamond" w:eastAsia="Garamond" w:hAnsi="Garamond" w:cs="Garamond"/>
          <w:color w:val="2A2A2A"/>
          <w:sz w:val="22"/>
          <w:szCs w:val="22"/>
        </w:rPr>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r>
      <w:r>
        <w:rPr>
          <w:rFonts w:ascii="Garamond" w:eastAsia="Garamond" w:hAnsi="Garamond" w:cs="Garamond"/>
          <w:color w:val="2A2A2A"/>
          <w:sz w:val="22"/>
          <w:szCs w:val="22"/>
        </w:rPr>
        <w:lastRenderedPageBreak/>
        <w:t>candidates maintained by the Elections Panel under §9.12. The Legislature defines qualifications and confirmation procedures for each office by statute; acting appointments may be made pending confirmation for the period and under the conditions the Legislature defines.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r>
      <w:r>
        <w:rPr>
          <w:rFonts w:ascii="Garamond" w:eastAsia="Garamond" w:hAnsi="Garamond" w:cs="Garamond"/>
          <w:color w:val="2A2A2A"/>
          <w:sz w:val="22"/>
          <w:szCs w:val="22"/>
        </w:rPr>
        <w:lastRenderedPageBreak/>
        <w:t>published to the NRS; this appointee holds full Civic Consul authority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r>
      <w:r>
        <w:rPr>
          <w:rFonts w:ascii="Garamond" w:eastAsia="Garamond" w:hAnsi="Garamond" w:cs="Garamond"/>
          <w:color w:val="2A2A2A"/>
          <w:sz w:val="22"/>
          <w:szCs w:val="22"/>
        </w:rPr>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r>
      <w:r>
        <w:rPr>
          <w:rFonts w:ascii="Garamond" w:eastAsia="Garamond" w:hAnsi="Garamond" w:cs="Garamond"/>
          <w:color w:val="2A2A2A"/>
          <w:sz w:val="22"/>
          <w:szCs w:val="22"/>
        </w:rPr>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 or acts the LM has assessed as constitutional breaches.</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Impeachment</w:t>
      </w:r>
    </w:p>
    <w:p w14:paraId="60136CAB" w14:textId="77777777" w:rsidR="00AF3D56" w:rsidRDefault="00000000">
      <w:pPr>
        <w:spacing w:after="120"/>
        <w:ind w:left="431"/>
        <w:jc w:val="both"/>
      </w:pPr>
      <w:r>
        <w:rPr>
          <w:rFonts w:ascii="Garamond" w:eastAsia="Garamond" w:hAnsi="Garamond" w:cs="Garamond"/>
          <w:color w:val="2A2A2A"/>
          <w:sz w:val="22"/>
          <w:szCs w:val="22"/>
        </w:rPr>
        <w:t>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w:t>
      </w:r>
      <w:r>
        <w:rPr>
          <w:rFonts w:ascii="Garamond" w:eastAsia="Garamond" w:hAnsi="Garamond" w:cs="Garamond"/>
          <w:color w:val="2A2A2A"/>
          <w:sz w:val="22"/>
          <w:szCs w:val="22"/>
        </w:rPr>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§4.3.b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r>
      <w:r>
        <w:rPr>
          <w:rFonts w:ascii="Garamond" w:eastAsia="Garamond" w:hAnsi="Garamond" w:cs="Garamond"/>
          <w:color w:val="2A2A2A"/>
          <w:sz w:val="22"/>
          <w:szCs w:val="22"/>
        </w:rPr>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r>
      <w:r>
        <w:rPr>
          <w:rFonts w:ascii="Garamond" w:eastAsia="Garamond" w:hAnsi="Garamond" w:cs="Garamond"/>
          <w:color w:val="2A2A2A"/>
          <w:sz w:val="22"/>
          <w:szCs w:val="22"/>
        </w:rPr>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r>
      <w:r>
        <w:rPr>
          <w:rFonts w:ascii="Garamond" w:eastAsia="Garamond" w:hAnsi="Garamond" w:cs="Garamond"/>
          <w:color w:val="2A2A2A"/>
          <w:sz w:val="22"/>
          <w:szCs w:val="22"/>
        </w:rPr>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§6.3.b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§7.3.a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r>
      <w:r>
        <w:rPr>
          <w:rFonts w:ascii="Garamond" w:eastAsia="Garamond" w:hAnsi="Garamond" w:cs="Garamond"/>
          <w:color w:val="2A2A2A"/>
          <w:sz w:val="22"/>
          <w:szCs w:val="22"/>
        </w:rPr>
        <w:lastRenderedPageBreak/>
        <w:t>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r>
      <w:r>
        <w:rPr>
          <w:rFonts w:ascii="Garamond" w:eastAsia="Garamond" w:hAnsi="Garamond" w:cs="Garamond"/>
          <w:color w:val="2A2A2A"/>
          <w:sz w:val="22"/>
          <w:szCs w:val="22"/>
        </w:rPr>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§9.4.b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§9.10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§9.11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§9.11.a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§9.12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§9.14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r>
      <w:r>
        <w:rPr>
          <w:rFonts w:ascii="Garamond" w:eastAsia="Garamond" w:hAnsi="Garamond" w:cs="Garamond"/>
          <w:color w:val="2A2A2A"/>
          <w:sz w:val="22"/>
          <w:szCs w:val="22"/>
        </w:rPr>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§10.3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r>
      <w:r>
        <w:rPr>
          <w:rFonts w:ascii="Garamond" w:eastAsia="Garamond" w:hAnsi="Garamond" w:cs="Garamond"/>
          <w:color w:val="2A2A2A"/>
          <w:sz w:val="22"/>
          <w:szCs w:val="22"/>
        </w:rPr>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r>
      <w:r>
        <w:rPr>
          <w:rFonts w:ascii="Garamond" w:eastAsia="Garamond" w:hAnsi="Garamond" w:cs="Garamond"/>
          <w:color w:val="2A2A2A"/>
          <w:sz w:val="22"/>
          <w:szCs w:val="22"/>
        </w:rPr>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r>
      <w:r>
        <w:rPr>
          <w:rFonts w:ascii="Garamond" w:eastAsia="Garamond" w:hAnsi="Garamond" w:cs="Garamond"/>
          <w:color w:val="2A2A2A"/>
          <w:sz w:val="22"/>
          <w:szCs w:val="22"/>
        </w:rPr>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r>
      <w:r>
        <w:rPr>
          <w:rFonts w:ascii="Garamond" w:eastAsia="Garamond" w:hAnsi="Garamond" w:cs="Garamond"/>
          <w:color w:val="2A2A2A"/>
          <w:sz w:val="22"/>
          <w:szCs w:val="22"/>
        </w:rPr>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14:paraId="46F2C47E" w14:textId="77777777" w:rsidR="00AF3D56" w:rsidRDefault="00000000">
      <w:pPr>
        <w:spacing w:after="120"/>
        <w:ind w:left="431"/>
        <w:jc w:val="both"/>
      </w:pPr>
      <w:r>
        <w:rPr>
          <w:rFonts w:ascii="Garamond" w:eastAsia="Garamond" w:hAnsi="Garamond" w:cs="Garamond"/>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w:t>
      </w:r>
      <w:r>
        <w:rPr>
          <w:rFonts w:ascii="Garamond" w:eastAsia="Garamond" w:hAnsi="Garamond" w:cs="Garamond"/>
          <w:color w:val="2A2A2A"/>
          <w:sz w:val="22"/>
          <w:szCs w:val="22"/>
        </w:rPr>
        <w:lastRenderedPageBreak/>
        <w:t>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54D1A1D2" w14:textId="77777777"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w:t>
      </w:r>
    </w:p>
    <w:p w14:paraId="0939DCD8" w14:textId="77777777" w:rsidR="00AF3D56" w:rsidRDefault="00000000">
      <w:pPr>
        <w:spacing w:after="120"/>
        <w:ind w:left="431"/>
        <w:jc w:val="both"/>
      </w:pPr>
      <w:r>
        <w:rPr>
          <w:rFonts w:ascii="Garamond" w:eastAsia="Garamond" w:hAnsi="Garamond" w:cs="Garamond"/>
          <w:color w:val="2A2A2A"/>
          <w:sz w:val="22"/>
          <w:szCs w:val="22"/>
        </w:rPr>
        <w:t>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14:paraId="0BD9FEFF" w14:textId="77777777"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Compact Formation</w:t>
      </w:r>
    </w:p>
    <w:p w14:paraId="45183CC6" w14:textId="77777777" w:rsidR="00AF3D56" w:rsidRDefault="00000000">
      <w:pPr>
        <w:spacing w:after="120"/>
        <w:ind w:left="431"/>
        <w:jc w:val="both"/>
      </w:pPr>
      <w:r>
        <w:rPr>
          <w:rFonts w:ascii="Garamond" w:eastAsia="Garamond" w:hAnsi="Garamond" w:cs="Garamond"/>
          <w:color w:val="2A2A2A"/>
          <w:sz w:val="22"/>
          <w:szCs w:val="22"/>
        </w:rPr>
        <w:t>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14:paraId="4DE0645A" w14:textId="77777777"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Rights and Governance in Compact Territories</w:t>
      </w:r>
    </w:p>
    <w:p w14:paraId="3476A42B" w14:textId="77777777" w:rsidR="00AF3D56" w:rsidRDefault="00000000">
      <w:pPr>
        <w:spacing w:after="120"/>
        <w:ind w:left="431"/>
        <w:jc w:val="both"/>
      </w:pPr>
      <w:r>
        <w:rPr>
          <w:rFonts w:ascii="Garamond" w:eastAsia="Garamond" w:hAnsi="Garamond" w:cs="Garamond"/>
          <w:color w:val="2A2A2A"/>
          <w:sz w:val="22"/>
          <w:szCs w:val="22"/>
        </w:rPr>
        <w:t>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14:paraId="4684C66F" w14:textId="77777777"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Compact Administration and Continuity</w:t>
      </w:r>
    </w:p>
    <w:p w14:paraId="6EBD6EBB" w14:textId="77777777" w:rsidR="00AF3D56" w:rsidRDefault="00000000">
      <w:pPr>
        <w:spacing w:after="120"/>
        <w:ind w:left="431"/>
        <w:jc w:val="both"/>
      </w:pPr>
      <w:r>
        <w:rPr>
          <w:rFonts w:ascii="Garamond" w:eastAsia="Garamond" w:hAnsi="Garamond" w:cs="Garamond"/>
          <w:color w:val="2A2A2A"/>
          <w:sz w:val="22"/>
          <w:szCs w:val="22"/>
        </w:rPr>
        <w:t>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14:paraId="744DF70A"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§16.5  </w:t>
      </w:r>
      <w:r>
        <w:rPr>
          <w:rFonts w:ascii="Garamond" w:eastAsia="Garamond" w:hAnsi="Garamond" w:cs="Garamond"/>
          <w:i/>
          <w:iCs/>
          <w:color w:val="1B2A4A"/>
          <w:sz w:val="22"/>
          <w:szCs w:val="22"/>
        </w:rPr>
        <w:t>Federal Obligations and Emergency Rights</w:t>
      </w:r>
    </w:p>
    <w:p w14:paraId="6E0B2541" w14:textId="77777777" w:rsidR="00AF3D56" w:rsidRDefault="00000000">
      <w:pPr>
        <w:spacing w:after="120"/>
        <w:ind w:left="431"/>
        <w:jc w:val="both"/>
      </w:pPr>
      <w:r>
        <w:rPr>
          <w:rFonts w:ascii="Garamond" w:eastAsia="Garamond" w:hAnsi="Garamond" w:cs="Garamond"/>
          <w:color w:val="2A2A2A"/>
          <w:sz w:val="22"/>
          <w:szCs w:val="22"/>
        </w:rPr>
        <w:t>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14:paraId="3CA11ABC" w14:textId="77777777" w:rsidR="00AF3D56" w:rsidRDefault="00000000">
      <w:pPr>
        <w:spacing w:before="200" w:after="60"/>
        <w:ind w:left="431"/>
      </w:pPr>
      <w:r>
        <w:rPr>
          <w:rFonts w:ascii="Courier New" w:eastAsia="Courier New" w:hAnsi="Courier New" w:cs="Courier New"/>
          <w:b/>
          <w:bCs/>
          <w:color w:val="2A2A2A"/>
          <w:sz w:val="18"/>
          <w:szCs w:val="18"/>
        </w:rPr>
        <w:t xml:space="preserve">§16.6  </w:t>
      </w:r>
      <w:r>
        <w:rPr>
          <w:rFonts w:ascii="Garamond" w:eastAsia="Garamond" w:hAnsi="Garamond" w:cs="Garamond"/>
          <w:i/>
          <w:iCs/>
          <w:color w:val="1B2A4A"/>
          <w:sz w:val="22"/>
          <w:szCs w:val="22"/>
        </w:rPr>
        <w:t>Treaty Supremacy and Continuity</w:t>
      </w:r>
    </w:p>
    <w:p w14:paraId="0B8B7C56"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14:paraId="012DA126" w14:textId="77777777" w:rsidR="00AF3D56" w:rsidRDefault="00000000">
      <w:pPr>
        <w:spacing w:before="200" w:after="60"/>
        <w:ind w:left="431"/>
      </w:pPr>
      <w:r>
        <w:rPr>
          <w:rFonts w:ascii="Courier New" w:eastAsia="Courier New" w:hAnsi="Courier New" w:cs="Courier New"/>
          <w:b/>
          <w:bCs/>
          <w:color w:val="2A2A2A"/>
          <w:sz w:val="18"/>
          <w:szCs w:val="18"/>
        </w:rPr>
        <w:t xml:space="preserve">§16.7  </w:t>
      </w:r>
      <w:r>
        <w:rPr>
          <w:rFonts w:ascii="Garamond" w:eastAsia="Garamond" w:hAnsi="Garamond" w:cs="Garamond"/>
          <w:i/>
          <w:iCs/>
          <w:color w:val="1B2A4A"/>
          <w:sz w:val="22"/>
          <w:szCs w:val="22"/>
        </w:rPr>
        <w:t>Indigenous Nation Status Elections</w:t>
      </w:r>
    </w:p>
    <w:p w14:paraId="4E8BE13B" w14:textId="77777777" w:rsidR="00AF3D56" w:rsidRDefault="00000000">
      <w:pPr>
        <w:spacing w:after="120"/>
        <w:ind w:left="431"/>
        <w:jc w:val="both"/>
      </w:pPr>
      <w:r>
        <w:rPr>
          <w:rFonts w:ascii="Garamond" w:eastAsia="Garamond" w:hAnsi="Garamond" w:cs="Garamond"/>
          <w:color w:val="2A2A2A"/>
          <w:sz w:val="22"/>
          <w:szCs w:val="22"/>
        </w:rPr>
        <w:t>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14:paraId="674C77A3" w14:textId="77777777" w:rsidR="00AF3D56" w:rsidRDefault="00000000">
      <w:pPr>
        <w:spacing w:before="200" w:after="60"/>
        <w:ind w:left="431"/>
      </w:pPr>
      <w:r>
        <w:rPr>
          <w:rFonts w:ascii="Courier New" w:eastAsia="Courier New" w:hAnsi="Courier New" w:cs="Courier New"/>
          <w:b/>
          <w:bCs/>
          <w:color w:val="2A2A2A"/>
          <w:sz w:val="18"/>
          <w:szCs w:val="18"/>
        </w:rPr>
        <w:t xml:space="preserve">§16.7.a  </w:t>
      </w:r>
      <w:r>
        <w:rPr>
          <w:rFonts w:ascii="Garamond" w:eastAsia="Garamond" w:hAnsi="Garamond" w:cs="Garamond"/>
          <w:i/>
          <w:iCs/>
          <w:color w:val="1B2A4A"/>
          <w:sz w:val="22"/>
          <w:szCs w:val="22"/>
        </w:rPr>
        <w:t>Status Election Process</w:t>
      </w:r>
    </w:p>
    <w:p w14:paraId="7B96A066" w14:textId="77777777" w:rsidR="00AF3D56" w:rsidRDefault="00000000">
      <w:pPr>
        <w:spacing w:after="120"/>
        <w:ind w:left="431"/>
        <w:jc w:val="both"/>
      </w:pPr>
      <w:r>
        <w:rPr>
          <w:rFonts w:ascii="Garamond" w:eastAsia="Garamond" w:hAnsi="Garamond" w:cs="Garamond"/>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w:t>
      </w:r>
      <w:r>
        <w:rPr>
          <w:rFonts w:ascii="Garamond" w:eastAsia="Garamond" w:hAnsi="Garamond" w:cs="Garamond"/>
          <w:color w:val="2A2A2A"/>
          <w:sz w:val="22"/>
          <w:szCs w:val="22"/>
        </w:rPr>
        <w:lastRenderedPageBreak/>
        <w:t>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r>
      <w:r>
        <w:rPr>
          <w:rFonts w:ascii="Garamond" w:eastAsia="Garamond" w:hAnsi="Garamond" w:cs="Garamond"/>
          <w:color w:val="2A2A2A"/>
          <w:sz w:val="22"/>
          <w:szCs w:val="22"/>
        </w:rPr>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60115"/>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