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2516D4" w14:textId="77777777" w:rsidR="00AF3D56" w:rsidRDefault="00000000">
      <w:pPr>
        <w:spacing w:before="1440" w:after="120"/>
        <w:jc w:val="center"/>
      </w:pPr>
      <w:r>
        <w:rPr>
          <w:rFonts w:ascii="Garamond" w:eastAsia="Garamond" w:hAnsi="Garamond" w:cs="Garamond"/>
          <w:color w:val="1B2A4A"/>
          <w:sz w:val="52"/>
          <w:szCs w:val="52"/>
        </w:rPr>
        <w:t>THE FEDERATED REPUBLIC</w:t>
      </w:r>
    </w:p>
    <w:p w14:paraId="13E9BE20" w14:textId="77777777" w:rsidR="00AF3D56" w:rsidRDefault="00000000">
      <w:pPr>
        <w:pBdr>
          <w:bottom w:val="single" w:sz="4" w:space="8" w:color="C9A84C"/>
        </w:pBdr>
        <w:spacing w:after="120"/>
        <w:jc w:val="center"/>
      </w:pPr>
      <w:r>
        <w:rPr>
          <w:rFonts w:ascii="Garamond" w:eastAsia="Garamond" w:hAnsi="Garamond" w:cs="Garamond"/>
          <w:color w:val="C9A84C"/>
          <w:sz w:val="36"/>
          <w:szCs w:val="36"/>
        </w:rPr>
        <w:t>CONSTITUTION</w:t>
      </w:r>
    </w:p>
    <w:p w14:paraId="092F95E3" w14:textId="30E152CC" w:rsidR="00AF3D56" w:rsidRDefault="00000000">
      <w:pPr>
        <w:spacing w:before="240"/>
        <w:jc w:val="center"/>
      </w:pPr>
      <w:r>
        <w:rPr>
          <w:rFonts w:ascii="Garamond" w:eastAsia="Garamond" w:hAnsi="Garamond" w:cs="Garamond"/>
          <w:i/>
          <w:iCs/>
          <w:color w:val="7A7060"/>
          <w:sz w:val="22"/>
          <w:szCs w:val="22"/>
        </w:rPr>
        <w:t xml:space="preserve">162 Provisions · 20 Articles</w:t>
      </w:r>
    </w:p>
    <w:p w14:paraId="0195EB27" w14:textId="77777777" w:rsidR="00AF3D56" w:rsidRDefault="00000000">
      <w:pPr>
        <w:spacing w:before="60"/>
        <w:jc w:val="center"/>
      </w:pPr>
      <w:r>
        <w:rPr>
          <w:rFonts w:ascii="Garamond" w:eastAsia="Garamond" w:hAnsi="Garamond" w:cs="Garamond"/>
          <w:color w:val="7A7060"/>
          <w:sz w:val="18"/>
          <w:szCs w:val="18"/>
        </w:rPr>
        <w:t>thefederatedrepublic.org</w:t>
      </w:r>
    </w:p>
    <w:p w14:paraId="6F6AE7CB"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 — Individual Sovereignty and Rights</w:t>
      </w:r>
    </w:p>
    <w:p w14:paraId="734B5287" w14:textId="77777777" w:rsidR="00AF3D56" w:rsidRDefault="00000000">
      <w:pPr>
        <w:spacing w:before="200" w:after="60"/>
        <w:ind w:left="431"/>
      </w:pPr>
      <w:r>
        <w:rPr>
          <w:rFonts w:ascii="Courier New" w:eastAsia="Courier New" w:hAnsi="Courier New" w:cs="Courier New"/>
          <w:b/>
          <w:bCs/>
          <w:color w:val="2A2A2A"/>
          <w:sz w:val="18"/>
          <w:szCs w:val="18"/>
        </w:rPr>
        <w:t xml:space="preserve">§1.1  </w:t>
      </w:r>
      <w:r>
        <w:rPr>
          <w:rFonts w:ascii="Garamond" w:eastAsia="Garamond" w:hAnsi="Garamond" w:cs="Garamond"/>
          <w:i/>
          <w:iCs/>
          <w:color w:val="1B2A4A"/>
          <w:sz w:val="22"/>
          <w:szCs w:val="22"/>
        </w:rPr>
        <w:t>Right to Courts and Legal Remedy</w:t>
      </w:r>
    </w:p>
    <w:p w14:paraId="2BA9ED1F" w14:textId="77777777" w:rsidR="00AF3D56" w:rsidRDefault="00000000">
      <w:pPr>
        <w:spacing w:after="120"/>
        <w:ind w:left="431"/>
        <w:jc w:val="both"/>
      </w:pPr>
      <w:r>
        <w:rPr>
          <w:rFonts w:ascii="Garamond" w:eastAsia="Garamond" w:hAnsi="Garamond" w:cs="Garamond"/>
          <w:color w:val="2A2A2A"/>
          <w:sz w:val="22"/>
          <w:szCs w:val="22"/>
        </w:rPr>
        <w:t>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14:paraId="30FA7D47" w14:textId="77777777" w:rsidR="00AF3D56" w:rsidRDefault="00000000">
      <w:pPr>
        <w:spacing w:before="200" w:after="60"/>
        <w:ind w:left="431"/>
      </w:pPr>
      <w:r>
        <w:rPr>
          <w:rFonts w:ascii="Courier New" w:eastAsia="Courier New" w:hAnsi="Courier New" w:cs="Courier New"/>
          <w:b/>
          <w:bCs/>
          <w:color w:val="2A2A2A"/>
          <w:sz w:val="18"/>
          <w:szCs w:val="18"/>
        </w:rPr>
        <w:t xml:space="preserve">§1.2  </w:t>
      </w:r>
      <w:r>
        <w:rPr>
          <w:rFonts w:ascii="Garamond" w:eastAsia="Garamond" w:hAnsi="Garamond" w:cs="Garamond"/>
          <w:i/>
          <w:iCs/>
          <w:color w:val="1B2A4A"/>
          <w:sz w:val="22"/>
          <w:szCs w:val="22"/>
        </w:rPr>
        <w:t>Individual Sovereignty Floor</w:t>
      </w:r>
    </w:p>
    <w:p w14:paraId="14A4DD6B" w14:textId="77777777" w:rsidR="00AF3D56" w:rsidRDefault="00000000">
      <w:pPr>
        <w:spacing w:after="120"/>
        <w:ind w:left="431"/>
        <w:jc w:val="both"/>
      </w:pPr>
      <w:r>
        <w:rPr>
          <w:rFonts w:ascii="Garamond" w:eastAsia="Garamond" w:hAnsi="Garamond" w:cs="Garamond"/>
          <w:color w:val="2A2A2A"/>
          <w:sz w:val="22"/>
          <w:szCs w:val="22"/>
        </w:rPr>
        <w:t>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14:paraId="13CF166F" w14:textId="77777777" w:rsidR="00AF3D56" w:rsidRDefault="00000000">
      <w:pPr>
        <w:spacing w:before="200" w:after="60"/>
        <w:ind w:left="431"/>
      </w:pPr>
      <w:r>
        <w:rPr>
          <w:rFonts w:ascii="Courier New" w:eastAsia="Courier New" w:hAnsi="Courier New" w:cs="Courier New"/>
          <w:b/>
          <w:bCs/>
          <w:color w:val="2A2A2A"/>
          <w:sz w:val="18"/>
          <w:szCs w:val="18"/>
        </w:rPr>
        <w:t xml:space="preserve">§1.3  </w:t>
      </w:r>
      <w:r>
        <w:rPr>
          <w:rFonts w:ascii="Garamond" w:eastAsia="Garamond" w:hAnsi="Garamond" w:cs="Garamond"/>
          <w:i/>
          <w:iCs/>
          <w:color w:val="1B2A4A"/>
          <w:sz w:val="22"/>
          <w:szCs w:val="22"/>
        </w:rPr>
        <w:t>Prohibition of Torture and Cruel Treatment</w:t>
      </w:r>
    </w:p>
    <w:p w14:paraId="0A9C5B85" w14:textId="77777777" w:rsidR="00AF3D56" w:rsidRDefault="00000000">
      <w:pPr>
        <w:spacing w:after="120"/>
        <w:ind w:left="431"/>
        <w:jc w:val="both"/>
      </w:pPr>
      <w:r>
        <w:rPr>
          <w:rFonts w:ascii="Garamond" w:eastAsia="Garamond" w:hAnsi="Garamond" w:cs="Garamond"/>
          <w:color w:val="2A2A2A"/>
          <w:sz w:val="22"/>
          <w:szCs w:val="22"/>
        </w:rPr>
        <w:t>Torture and cruel, inhuman, or degrading treatment are absolutely prohibited. No person within the Republic's jurisdiction may be subjected to any such treatment. This right is non-derogable under §1.19.b.</w:t>
      </w:r>
    </w:p>
    <w:p w14:paraId="2B6FC3D3" w14:textId="77777777" w:rsidR="00AF3D56" w:rsidRDefault="00000000">
      <w:pPr>
        <w:spacing w:before="200" w:after="60"/>
        <w:ind w:left="431"/>
      </w:pPr>
      <w:r>
        <w:rPr>
          <w:rFonts w:ascii="Courier New" w:eastAsia="Courier New" w:hAnsi="Courier New" w:cs="Courier New"/>
          <w:b/>
          <w:bCs/>
          <w:color w:val="2A2A2A"/>
          <w:sz w:val="18"/>
          <w:szCs w:val="18"/>
        </w:rPr>
        <w:t xml:space="preserve">§1.4  </w:t>
      </w:r>
      <w:r>
        <w:rPr>
          <w:rFonts w:ascii="Garamond" w:eastAsia="Garamond" w:hAnsi="Garamond" w:cs="Garamond"/>
          <w:i/>
          <w:iCs/>
          <w:color w:val="1B2A4A"/>
          <w:sz w:val="22"/>
          <w:szCs w:val="22"/>
        </w:rPr>
        <w:t>Prohibition of Slavery and Forced Labor</w:t>
      </w:r>
    </w:p>
    <w:p w14:paraId="79B84C91" w14:textId="77777777" w:rsidR="00AF3D56" w:rsidRDefault="00000000">
      <w:pPr>
        <w:spacing w:after="120"/>
        <w:ind w:left="431"/>
        <w:jc w:val="both"/>
      </w:pPr>
      <w:r>
        <w:rPr>
          <w:rFonts w:ascii="Garamond" w:eastAsia="Garamond" w:hAnsi="Garamond" w:cs="Garamond"/>
          <w:color w:val="2A2A2A"/>
          <w:sz w:val="22"/>
          <w:szCs w:val="22"/>
        </w:rPr>
        <w:t>Slavery, involuntary servitude, and forced labor are absolutely prohibited. Prison labor authorized by statute and civic obligations lawfully required of citizens by the Legislature — including jury service, military conscription, and civil emergency duties — do not constitute forced labor under this provision. This right is non-derogable under §1.19.b.</w:t>
      </w:r>
    </w:p>
    <w:p w14:paraId="2E5E4B7E" w14:textId="77777777" w:rsidR="00AF3D56" w:rsidRDefault="00000000">
      <w:pPr>
        <w:spacing w:before="200" w:after="60"/>
        <w:ind w:left="431"/>
      </w:pPr>
      <w:r>
        <w:rPr>
          <w:rFonts w:ascii="Courier New" w:eastAsia="Courier New" w:hAnsi="Courier New" w:cs="Courier New"/>
          <w:b/>
          <w:bCs/>
          <w:color w:val="2A2A2A"/>
          <w:sz w:val="18"/>
          <w:szCs w:val="18"/>
        </w:rPr>
        <w:t xml:space="preserve">§1.5  </w:t>
      </w:r>
      <w:r>
        <w:rPr>
          <w:rFonts w:ascii="Garamond" w:eastAsia="Garamond" w:hAnsi="Garamond" w:cs="Garamond"/>
          <w:i/>
          <w:iCs/>
          <w:color w:val="1B2A4A"/>
          <w:sz w:val="22"/>
          <w:szCs w:val="22"/>
        </w:rPr>
        <w:t>Civil and Political Liberties</w:t>
      </w:r>
    </w:p>
    <w:p w14:paraId="7282DB24" w14:textId="77777777" w:rsidR="00AF3D56" w:rsidRDefault="00000000">
      <w:pPr>
        <w:spacing w:after="120"/>
        <w:ind w:left="431"/>
        <w:jc w:val="both"/>
      </w:pPr>
      <w:r>
        <w:rPr>
          <w:rFonts w:ascii="Garamond" w:eastAsia="Garamond" w:hAnsi="Garamond" w:cs="Garamond"/>
          <w:color w:val="2A2A2A"/>
          <w:sz w:val="22"/>
          <w:szCs w:val="22"/>
        </w:rPr>
        <w:t>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14:paraId="211DE107" w14:textId="77777777" w:rsidR="00AF3D56" w:rsidRDefault="00000000">
      <w:pPr>
        <w:spacing w:before="200" w:after="60"/>
        <w:ind w:left="431"/>
      </w:pPr>
      <w:r>
        <w:rPr>
          <w:rFonts w:ascii="Courier New" w:eastAsia="Courier New" w:hAnsi="Courier New" w:cs="Courier New"/>
          <w:b/>
          <w:bCs/>
          <w:color w:val="2A2A2A"/>
          <w:sz w:val="18"/>
          <w:szCs w:val="18"/>
        </w:rPr>
        <w:t xml:space="preserve">§1.6  </w:t>
      </w:r>
      <w:r>
        <w:rPr>
          <w:rFonts w:ascii="Garamond" w:eastAsia="Garamond" w:hAnsi="Garamond" w:cs="Garamond"/>
          <w:i/>
          <w:iCs/>
          <w:color w:val="1B2A4A"/>
          <w:sz w:val="22"/>
          <w:szCs w:val="22"/>
        </w:rPr>
        <w:t>Equality and Non-Discrimination</w:t>
      </w:r>
    </w:p>
    <w:p w14:paraId="124E8111" w14:textId="77777777" w:rsidR="00AF3D56" w:rsidRDefault="00000000">
      <w:pPr>
        <w:spacing w:after="120"/>
        <w:ind w:left="431"/>
        <w:jc w:val="both"/>
      </w:pPr>
      <w:r>
        <w:rPr>
          <w:rFonts w:ascii="Garamond" w:eastAsia="Garamond" w:hAnsi="Garamond" w:cs="Garamond"/>
          <w:color w:val="2A2A2A"/>
          <w:sz w:val="22"/>
          <w:szCs w:val="22"/>
        </w:rPr>
        <w:t>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14:paraId="68BA3381" w14:textId="77777777" w:rsidR="00AF3D56" w:rsidRDefault="00000000">
      <w:pPr>
        <w:spacing w:before="200" w:after="60"/>
        <w:ind w:left="431"/>
      </w:pPr>
      <w:r>
        <w:rPr>
          <w:rFonts w:ascii="Courier New" w:eastAsia="Courier New" w:hAnsi="Courier New" w:cs="Courier New"/>
          <w:b/>
          <w:bCs/>
          <w:color w:val="2A2A2A"/>
          <w:sz w:val="18"/>
          <w:szCs w:val="18"/>
        </w:rPr>
        <w:t xml:space="preserve">§1.7  </w:t>
      </w:r>
      <w:r>
        <w:rPr>
          <w:rFonts w:ascii="Garamond" w:eastAsia="Garamond" w:hAnsi="Garamond" w:cs="Garamond"/>
          <w:i/>
          <w:iCs/>
          <w:color w:val="1B2A4A"/>
          <w:sz w:val="22"/>
          <w:szCs w:val="22"/>
        </w:rPr>
        <w:t>Bodily Sovereignty and Privacy</w:t>
      </w:r>
    </w:p>
    <w:p w14:paraId="4A56BCE5" w14:textId="77777777" w:rsidR="00AF3D56" w:rsidRDefault="00000000">
      <w:pPr>
        <w:spacing w:after="120"/>
        <w:ind w:left="431"/>
        <w:jc w:val="both"/>
      </w:pPr>
      <w:r>
        <w:rPr>
          <w:rFonts w:ascii="Garamond" w:eastAsia="Garamond" w:hAnsi="Garamond" w:cs="Garamond"/>
          <w:color w:val="2A2A2A"/>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w:t>
        <w:lastRenderedPageBreak/>
        <w:t>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14:paraId="7C997FA5" w14:textId="77777777" w:rsidR="00AF3D56" w:rsidRDefault="00000000">
      <w:pPr>
        <w:spacing w:before="200" w:after="60"/>
        <w:ind w:left="431"/>
      </w:pPr>
      <w:r>
        <w:rPr>
          <w:rFonts w:ascii="Courier New" w:eastAsia="Courier New" w:hAnsi="Courier New" w:cs="Courier New"/>
          <w:b/>
          <w:bCs/>
          <w:color w:val="2A2A2A"/>
          <w:sz w:val="18"/>
          <w:szCs w:val="18"/>
        </w:rPr>
        <w:t xml:space="preserve">§1.8  </w:t>
      </w:r>
      <w:r>
        <w:rPr>
          <w:rFonts w:ascii="Garamond" w:eastAsia="Garamond" w:hAnsi="Garamond" w:cs="Garamond"/>
          <w:i/>
          <w:iCs/>
          <w:color w:val="1B2A4A"/>
          <w:sz w:val="22"/>
          <w:szCs w:val="22"/>
        </w:rPr>
        <w:t>Property and Security of the Home</w:t>
      </w:r>
    </w:p>
    <w:p w14:paraId="27C2D0B5" w14:textId="77777777" w:rsidR="00AF3D56" w:rsidRDefault="00000000">
      <w:pPr>
        <w:spacing w:after="120"/>
        <w:ind w:left="431"/>
        <w:jc w:val="both"/>
      </w:pPr>
      <w:r>
        <w:rPr>
          <w:rFonts w:ascii="Garamond" w:eastAsia="Garamond" w:hAnsi="Garamond" w:cs="Garamond"/>
          <w:color w:val="2A2A2A"/>
          <w:sz w:val="22"/>
          <w:szCs w:val="22"/>
        </w:rPr>
        <w:t>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14:paraId="77CD7BA7" w14:textId="77777777" w:rsidR="00AF3D56" w:rsidRDefault="00000000">
      <w:pPr>
        <w:spacing w:before="200" w:after="60"/>
        <w:ind w:left="431"/>
      </w:pPr>
      <w:r>
        <w:rPr>
          <w:rFonts w:ascii="Courier New" w:eastAsia="Courier New" w:hAnsi="Courier New" w:cs="Courier New"/>
          <w:b/>
          <w:bCs/>
          <w:color w:val="2A2A2A"/>
          <w:sz w:val="18"/>
          <w:szCs w:val="18"/>
        </w:rPr>
        <w:t xml:space="preserve">§1.9  </w:t>
      </w:r>
      <w:r>
        <w:rPr>
          <w:rFonts w:ascii="Garamond" w:eastAsia="Garamond" w:hAnsi="Garamond" w:cs="Garamond"/>
          <w:i/>
          <w:iCs/>
          <w:color w:val="1B2A4A"/>
          <w:sz w:val="22"/>
          <w:szCs w:val="22"/>
        </w:rPr>
        <w:t>Democratic Participation and Family</w:t>
      </w:r>
    </w:p>
    <w:p w14:paraId="210DB5F3" w14:textId="77777777" w:rsidR="00AF3D56" w:rsidRDefault="00000000">
      <w:pPr>
        <w:spacing w:after="120"/>
        <w:ind w:left="431"/>
        <w:jc w:val="both"/>
      </w:pPr>
      <w:r>
        <w:rPr>
          <w:rFonts w:ascii="Garamond" w:eastAsia="Garamond" w:hAnsi="Garamond" w:cs="Garamond"/>
          <w:color w:val="2A2A2A"/>
          <w:sz w:val="22"/>
          <w:szCs w:val="22"/>
        </w:rPr>
        <w:t>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14:paraId="2609DD8E" w14:textId="77777777" w:rsidR="00AF3D56" w:rsidRDefault="00000000">
      <w:pPr>
        <w:spacing w:before="200" w:after="60"/>
        <w:ind w:left="431"/>
      </w:pPr>
      <w:r>
        <w:rPr>
          <w:rFonts w:ascii="Courier New" w:eastAsia="Courier New" w:hAnsi="Courier New" w:cs="Courier New"/>
          <w:b/>
          <w:bCs/>
          <w:color w:val="2A2A2A"/>
          <w:sz w:val="18"/>
          <w:szCs w:val="18"/>
        </w:rPr>
        <w:t xml:space="preserve">§1.10  </w:t>
      </w:r>
      <w:r>
        <w:rPr>
          <w:rFonts w:ascii="Garamond" w:eastAsia="Garamond" w:hAnsi="Garamond" w:cs="Garamond"/>
          <w:i/>
          <w:iCs/>
          <w:color w:val="1B2A4A"/>
          <w:sz w:val="22"/>
          <w:szCs w:val="22"/>
        </w:rPr>
        <w:t>Right to Bear Arms</w:t>
      </w:r>
    </w:p>
    <w:p w14:paraId="638565DA" w14:textId="77777777" w:rsidR="00AF3D56" w:rsidRDefault="00000000">
      <w:pPr>
        <w:spacing w:after="120"/>
        <w:ind w:left="431"/>
        <w:jc w:val="both"/>
      </w:pPr>
      <w:r>
        <w:rPr>
          <w:rFonts w:ascii="Garamond" w:eastAsia="Garamond" w:hAnsi="Garamond" w:cs="Garamond"/>
          <w:color w:val="2A2A2A"/>
          <w:sz w:val="22"/>
          <w:szCs w:val="22"/>
        </w:rPr>
        <w:t>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14:paraId="0FA15129"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Habeas Corpus</w:t>
      </w:r>
    </w:p>
    <w:p w14:paraId="3AB35A20" w14:textId="77777777" w:rsidR="00AF3D56" w:rsidRDefault="00000000">
      <w:pPr>
        <w:spacing w:after="120"/>
        <w:ind w:left="431"/>
        <w:jc w:val="both"/>
      </w:pPr>
      <w:r>
        <w:rPr>
          <w:rFonts w:ascii="Garamond" w:eastAsia="Garamond" w:hAnsi="Garamond" w:cs="Garamond"/>
          <w:color w:val="2A2A2A"/>
          <w:sz w:val="22"/>
          <w:szCs w:val="22"/>
        </w:rPr>
        <w:t>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§1.19.b.</w:t>
      </w:r>
    </w:p>
    <w:p w14:paraId="0D955B5D"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Rights of the Accused and Fair Trial</w:t>
      </w:r>
    </w:p>
    <w:p w14:paraId="35DEBB2E"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14:paraId="3CBF969F"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Right to a Public Trial</w:t>
      </w:r>
    </w:p>
    <w:p w14:paraId="1D023378"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§1.19.b.</w:t>
      </w:r>
    </w:p>
    <w:p w14:paraId="787D5709" w14:textId="77777777" w:rsidR="00AF3D56" w:rsidRDefault="00000000">
      <w:pPr>
        <w:spacing w:before="200" w:after="60"/>
        <w:ind w:left="431"/>
      </w:pPr>
      <w:r>
        <w:rPr>
          <w:rFonts w:ascii="Courier New" w:eastAsia="Courier New" w:hAnsi="Courier New" w:cs="Courier New"/>
          <w:b/>
          <w:bCs/>
          <w:color w:val="2A2A2A"/>
          <w:sz w:val="18"/>
          <w:szCs w:val="18"/>
        </w:rPr>
        <w:t xml:space="preserve">§1.14  </w:t>
      </w:r>
      <w:r>
        <w:rPr>
          <w:rFonts w:ascii="Garamond" w:eastAsia="Garamond" w:hAnsi="Garamond" w:cs="Garamond"/>
          <w:i/>
          <w:iCs/>
          <w:color w:val="1B2A4A"/>
          <w:sz w:val="22"/>
          <w:szCs w:val="22"/>
        </w:rPr>
        <w:t>Freedom from Retroactive Criminal Law</w:t>
      </w:r>
    </w:p>
    <w:p w14:paraId="7B80E94E" w14:textId="77777777" w:rsidR="00AF3D56" w:rsidRDefault="00000000">
      <w:pPr>
        <w:spacing w:after="120"/>
        <w:ind w:left="431"/>
        <w:jc w:val="both"/>
      </w:pPr>
      <w:r>
        <w:rPr>
          <w:rFonts w:ascii="Garamond" w:eastAsia="Garamond" w:hAnsi="Garamond" w:cs="Garamond"/>
          <w:color w:val="2A2A2A"/>
          <w:sz w:val="22"/>
          <w:szCs w:val="22"/>
        </w:rPr>
        <w:t>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§1.19.b.</w:t>
      </w:r>
    </w:p>
    <w:p w14:paraId="1B834AE7" w14:textId="77777777" w:rsidR="00AF3D56" w:rsidRDefault="00000000">
      <w:pPr>
        <w:spacing w:before="200" w:after="60"/>
        <w:ind w:left="431"/>
      </w:pPr>
      <w:r>
        <w:rPr>
          <w:rFonts w:ascii="Courier New" w:eastAsia="Courier New" w:hAnsi="Courier New" w:cs="Courier New"/>
          <w:b/>
          <w:bCs/>
          <w:color w:val="2A2A2A"/>
          <w:sz w:val="18"/>
          <w:szCs w:val="18"/>
        </w:rPr>
        <w:t xml:space="preserve">§1.15  </w:t>
      </w:r>
      <w:r>
        <w:rPr>
          <w:rFonts w:ascii="Garamond" w:eastAsia="Garamond" w:hAnsi="Garamond" w:cs="Garamond"/>
          <w:i/>
          <w:iCs/>
          <w:color w:val="1B2A4A"/>
          <w:sz w:val="22"/>
          <w:szCs w:val="22"/>
        </w:rPr>
        <w:t>Double Jeopardy</w:t>
      </w:r>
    </w:p>
    <w:p w14:paraId="16DD333F" w14:textId="77777777" w:rsidR="00AF3D56" w:rsidRDefault="00000000">
      <w:pPr>
        <w:spacing w:after="120"/>
        <w:ind w:left="431"/>
        <w:jc w:val="both"/>
      </w:pPr>
      <w:r>
        <w:rPr>
          <w:rFonts w:ascii="Garamond" w:eastAsia="Garamond" w:hAnsi="Garamond" w:cs="Garamond"/>
          <w:color w:val="2A2A2A"/>
          <w:sz w:val="22"/>
          <w:szCs w:val="22"/>
        </w:rPr>
        <w:lastRenderedPageBreak/>
        <w:t>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14:paraId="3F03BB9F" w14:textId="77777777" w:rsidR="00AF3D56" w:rsidRDefault="00000000">
      <w:pPr>
        <w:spacing w:before="200" w:after="60"/>
        <w:ind w:left="431"/>
      </w:pPr>
      <w:r>
        <w:rPr>
          <w:rFonts w:ascii="Courier New" w:eastAsia="Courier New" w:hAnsi="Courier New" w:cs="Courier New"/>
          <w:b/>
          <w:bCs/>
          <w:color w:val="2A2A2A"/>
          <w:sz w:val="18"/>
          <w:szCs w:val="18"/>
        </w:rPr>
        <w:t xml:space="preserve">§1.16  </w:t>
      </w:r>
      <w:r>
        <w:rPr>
          <w:rFonts w:ascii="Garamond" w:eastAsia="Garamond" w:hAnsi="Garamond" w:cs="Garamond"/>
          <w:i/>
          <w:iCs/>
          <w:color w:val="1B2A4A"/>
          <w:sz w:val="22"/>
          <w:szCs w:val="22"/>
        </w:rPr>
        <w:t>Social Assistance Floor</w:t>
      </w:r>
    </w:p>
    <w:p w14:paraId="0D41A466" w14:textId="77777777" w:rsidR="00AF3D56" w:rsidRDefault="00000000">
      <w:pPr>
        <w:spacing w:after="120"/>
        <w:ind w:left="431"/>
        <w:jc w:val="both"/>
      </w:pPr>
      <w:r>
        <w:rPr>
          <w:rFonts w:ascii="Garamond" w:eastAsia="Garamond" w:hAnsi="Garamond" w:cs="Garamond"/>
          <w:color w:val="2A2A2A"/>
          <w:sz w:val="22"/>
          <w:szCs w:val="22"/>
        </w:rPr>
        <w:t>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fulfilment of this right; no reduction in the adequacy standard below the established level is constitutionally valid absent a certified fiscal emergency under §12.2.</w:t>
      </w:r>
    </w:p>
    <w:p w14:paraId="2A4C842B" w14:textId="77777777" w:rsidR="00AF3D56" w:rsidRDefault="00000000">
      <w:pPr>
        <w:spacing w:before="200" w:after="60"/>
        <w:ind w:left="431"/>
      </w:pPr>
      <w:r>
        <w:rPr>
          <w:rFonts w:ascii="Courier New" w:eastAsia="Courier New" w:hAnsi="Courier New" w:cs="Courier New"/>
          <w:b/>
          <w:bCs/>
          <w:color w:val="2A2A2A"/>
          <w:sz w:val="18"/>
          <w:szCs w:val="18"/>
        </w:rPr>
        <w:t xml:space="preserve">§1.17  </w:t>
      </w:r>
      <w:r>
        <w:rPr>
          <w:rFonts w:ascii="Garamond" w:eastAsia="Garamond" w:hAnsi="Garamond" w:cs="Garamond"/>
          <w:i/>
          <w:iCs/>
          <w:color w:val="1B2A4A"/>
          <w:sz w:val="22"/>
          <w:szCs w:val="22"/>
        </w:rPr>
        <w:t>Education</w:t>
      </w:r>
    </w:p>
    <w:p w14:paraId="5477386A" w14:textId="77777777" w:rsidR="00AF3D56" w:rsidRDefault="00000000">
      <w:pPr>
        <w:spacing w:after="120"/>
        <w:ind w:left="431"/>
        <w:jc w:val="both"/>
      </w:pPr>
      <w:r>
        <w:rPr>
          <w:rFonts w:ascii="Garamond" w:eastAsia="Garamond" w:hAnsi="Garamond" w:cs="Garamond"/>
          <w:color w:val="2A2A2A"/>
          <w:sz w:val="22"/>
          <w:szCs w:val="22"/>
        </w:rPr>
        <w:t>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fulfilment of this right; no reduction in the adequacy standard below the established level is constitutionally valid absent a certified fiscal emergency under §12.2.</w:t>
      </w:r>
    </w:p>
    <w:p w14:paraId="7CBC2FB1" w14:textId="77777777" w:rsidR="00AF3D56" w:rsidRDefault="00000000">
      <w:pPr>
        <w:spacing w:before="200" w:after="60"/>
        <w:ind w:left="431"/>
      </w:pPr>
      <w:r>
        <w:rPr>
          <w:rFonts w:ascii="Courier New" w:eastAsia="Courier New" w:hAnsi="Courier New" w:cs="Courier New"/>
          <w:b/>
          <w:bCs/>
          <w:color w:val="2A2A2A"/>
          <w:sz w:val="18"/>
          <w:szCs w:val="18"/>
        </w:rPr>
        <w:t xml:space="preserve">§1.18  </w:t>
      </w:r>
      <w:r>
        <w:rPr>
          <w:rFonts w:ascii="Garamond" w:eastAsia="Garamond" w:hAnsi="Garamond" w:cs="Garamond"/>
          <w:i/>
          <w:iCs/>
          <w:color w:val="1B2A4A"/>
          <w:sz w:val="22"/>
          <w:szCs w:val="22"/>
        </w:rPr>
        <w:t>Environmental Obligations</w:t>
      </w:r>
    </w:p>
    <w:p w14:paraId="5A7E9CCC" w14:textId="77777777" w:rsidR="00AF3D56" w:rsidRDefault="00000000">
      <w:pPr>
        <w:spacing w:after="120"/>
        <w:ind w:left="431"/>
        <w:jc w:val="both"/>
      </w:pPr>
      <w:r>
        <w:rPr>
          <w:rFonts w:ascii="Garamond" w:eastAsia="Garamond" w:hAnsi="Garamond" w:cs="Garamond"/>
          <w:color w:val="2A2A2A"/>
          <w:sz w:val="22"/>
          <w:szCs w:val="22"/>
        </w:rPr>
        <w:t>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14:paraId="465235EB" w14:textId="77777777" w:rsidR="00AF3D56" w:rsidRDefault="00000000">
      <w:pPr>
        <w:spacing w:before="200" w:after="60"/>
        <w:ind w:left="431"/>
      </w:pPr>
      <w:r>
        <w:rPr>
          <w:rFonts w:ascii="Courier New" w:eastAsia="Courier New" w:hAnsi="Courier New" w:cs="Courier New"/>
          <w:b/>
          <w:bCs/>
          <w:color w:val="2A2A2A"/>
          <w:sz w:val="18"/>
          <w:szCs w:val="18"/>
        </w:rPr>
        <w:t xml:space="preserve">§1.19  </w:t>
      </w:r>
      <w:r>
        <w:rPr>
          <w:rFonts w:ascii="Garamond" w:eastAsia="Garamond" w:hAnsi="Garamond" w:cs="Garamond"/>
          <w:i/>
          <w:iCs/>
          <w:color w:val="1B2A4A"/>
          <w:sz w:val="22"/>
          <w:szCs w:val="22"/>
        </w:rPr>
        <w:t>Emergency Derogation</w:t>
      </w:r>
    </w:p>
    <w:p w14:paraId="5AEB6338" w14:textId="77777777" w:rsidR="00AF3D56" w:rsidRDefault="00000000">
      <w:pPr>
        <w:spacing w:after="120"/>
        <w:ind w:left="431"/>
        <w:jc w:val="both"/>
      </w:pPr>
      <w:r>
        <w:rPr>
          <w:rFonts w:ascii="Garamond" w:eastAsia="Garamond" w:hAnsi="Garamond" w:cs="Garamond"/>
          <w:color w:val="2A2A2A"/>
          <w:sz w:val="22"/>
          <w:szCs w:val="22"/>
        </w:rPr>
        <w:t>No emergency — however severe — suspends the Individual Sovereignty Floor in full. Temporary derogation of certain rights is permitted only under the strict conditions of this section; the rights enumerated in §1.19.b may not be derogated. The three Monitors continue to operate with full constitutional authority throughout any emergency — they cannot be suspended or have their mandate reduced by emergency declaration. Emergency derogation of Article I rights requires a declaration specifying the nature of the emergency, which rights are limited, the geographic scope, and the duration; blanket declarations are constitutionally invalid. The declaration is published to the NRS immediately.</w:t>
      </w:r>
    </w:p>
    <w:p w14:paraId="134A35EF" w14:textId="77777777" w:rsidR="00AF3D56" w:rsidRDefault="00000000">
      <w:pPr>
        <w:spacing w:before="200" w:after="60"/>
        <w:ind w:left="431"/>
      </w:pPr>
      <w:r>
        <w:rPr>
          <w:rFonts w:ascii="Courier New" w:eastAsia="Courier New" w:hAnsi="Courier New" w:cs="Courier New"/>
          <w:b/>
          <w:bCs/>
          <w:color w:val="2A2A2A"/>
          <w:sz w:val="18"/>
          <w:szCs w:val="18"/>
        </w:rPr>
        <w:t xml:space="preserve">§1.19.b  </w:t>
      </w:r>
      <w:r>
        <w:rPr>
          <w:rFonts w:ascii="Garamond" w:eastAsia="Garamond" w:hAnsi="Garamond" w:cs="Garamond"/>
          <w:i/>
          <w:iCs/>
          <w:color w:val="1B2A4A"/>
          <w:sz w:val="22"/>
          <w:szCs w:val="22"/>
        </w:rPr>
        <w:t>Non-Derogable Rights</w:t>
      </w:r>
    </w:p>
    <w:p w14:paraId="2103DC74" w14:textId="77777777" w:rsidR="00AF3D56" w:rsidRDefault="00000000">
      <w:pPr>
        <w:spacing w:after="120"/>
        <w:ind w:left="431"/>
        <w:jc w:val="both"/>
      </w:pPr>
      <w:r>
        <w:rPr>
          <w:rFonts w:ascii="Garamond" w:eastAsia="Garamond" w:hAnsi="Garamond" w:cs="Garamond"/>
          <w:color w:val="2A2A2A"/>
          <w:sz w:val="22"/>
          <w:szCs w:val="22"/>
        </w:rPr>
        <w:t>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14:paraId="2C2D24AF" w14:textId="77777777" w:rsidR="00AF3D56" w:rsidRDefault="00000000">
      <w:pPr>
        <w:spacing w:before="200" w:after="60"/>
        <w:ind w:left="431"/>
      </w:pPr>
      <w:r>
        <w:rPr>
          <w:rFonts w:ascii="Courier New" w:eastAsia="Courier New" w:hAnsi="Courier New" w:cs="Courier New"/>
          <w:b/>
          <w:bCs/>
          <w:color w:val="2A2A2A"/>
          <w:sz w:val="18"/>
          <w:szCs w:val="18"/>
        </w:rPr>
        <w:t xml:space="preserve">§1.19.e  </w:t>
      </w:r>
      <w:r>
        <w:rPr>
          <w:rFonts w:ascii="Garamond" w:eastAsia="Garamond" w:hAnsi="Garamond" w:cs="Garamond"/>
          <w:i/>
          <w:iCs/>
          <w:color w:val="1B2A4A"/>
          <w:sz w:val="22"/>
          <w:szCs w:val="22"/>
        </w:rPr>
        <w:t>Emergency Declaration Lifecycle</w:t>
      </w:r>
    </w:p>
    <w:p w14:paraId="5AE51F8B" w14:textId="77777777" w:rsidR="00AF3D56" w:rsidRDefault="00000000">
      <w:pPr>
        <w:spacing w:after="120"/>
        <w:ind w:left="431"/>
        <w:jc w:val="both"/>
      </w:pPr>
      <w:r>
        <w:rPr>
          <w:rFonts w:ascii="Garamond" w:eastAsia="Garamond" w:hAnsi="Garamond" w:cs="Garamond"/>
          <w:color w:val="2A2A2A"/>
          <w:sz w:val="22"/>
          <w:szCs w:val="22"/>
        </w:rPr>
        <w:t xml:space="preserve">Emergency measures lapse automatically at the expiry of the Declaration. The Legislature may, before a Declaration expires, extend it for one additional period not to exceed 60 days by 2/3 of both chambers in a concurrent vote; the extension is published immediately to the NRS and no further extension is available under this provision. Judicial review of any emergency measure is available to any citizen at any time, and </w:t>
        <w:lastRenderedPageBreak/>
        <w:t>courts may rule during the emergency that a specific measure is unconstitutional. No emergency measure may be made permanent by legislative act; any measure not re-enacted through the ordinary legislative process lapses automatically at the expiry of the Declaration.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14:paraId="22F80CC3" w14:textId="77777777" w:rsidR="00AF3D56" w:rsidRDefault="00000000">
      <w:pPr>
        <w:spacing w:before="200" w:after="60"/>
        <w:ind w:left="431"/>
      </w:pPr>
      <w:r>
        <w:rPr>
          <w:rFonts w:ascii="Courier New" w:eastAsia="Courier New" w:hAnsi="Courier New" w:cs="Courier New"/>
          <w:b/>
          <w:bCs/>
          <w:color w:val="2A2A2A"/>
          <w:sz w:val="18"/>
          <w:szCs w:val="18"/>
        </w:rPr>
        <w:t xml:space="preserve">§1.20  </w:t>
      </w:r>
      <w:r>
        <w:rPr>
          <w:rFonts w:ascii="Garamond" w:eastAsia="Garamond" w:hAnsi="Garamond" w:cs="Garamond"/>
          <w:i/>
          <w:iCs/>
          <w:color w:val="1B2A4A"/>
          <w:sz w:val="22"/>
          <w:szCs w:val="22"/>
        </w:rPr>
        <w:t>Right to Seek Asylum</w:t>
      </w:r>
    </w:p>
    <w:p w14:paraId="210E5295" w14:textId="77777777" w:rsidR="00AF3D56" w:rsidRDefault="00000000">
      <w:pPr>
        <w:spacing w:after="120"/>
        <w:ind w:left="431"/>
        <w:jc w:val="both"/>
      </w:pPr>
      <w:r>
        <w:rPr>
          <w:rFonts w:ascii="Garamond" w:eastAsia="Garamond" w:hAnsi="Garamond" w:cs="Garamond"/>
          <w:color w:val="2A2A2A"/>
          <w:sz w:val="22"/>
          <w:szCs w:val="22"/>
        </w:rPr>
        <w:t>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14:paraId="3D82EB6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Non-Refoulement</w:t>
      </w:r>
    </w:p>
    <w:p w14:paraId="628CCC7E"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§1.19.b.</w:t>
      </w:r>
    </w:p>
    <w:p w14:paraId="432EEB6F" w14:textId="77777777" w:rsidR="00CD141D" w:rsidRDefault="00CD141D">
      <w:pPr>
        <w:spacing w:after="120"/>
        <w:ind w:left="431"/>
        <w:jc w:val="both"/>
        <w:rPr>
          <w:rFonts w:ascii="Garamond" w:eastAsia="Garamond" w:hAnsi="Garamond" w:cs="Garamond"/>
          <w:color w:val="2A2A2A"/>
          <w:sz w:val="22"/>
          <w:szCs w:val="22"/>
        </w:rPr>
      </w:pPr>
    </w:p>
    <w:p w14:paraId="5325A9D2" w14:textId="7B95FAC9" w:rsidR="00CD141D" w:rsidRDefault="00CD141D" w:rsidP="00CD141D">
      <w:pPr>
        <w:spacing w:before="200" w:after="60"/>
        <w:ind w:left="431"/>
        <w:rPr>
          <w:rFonts w:ascii="Garamond" w:eastAsia="Garamond" w:hAnsi="Garamond" w:cs="Garamond"/>
          <w:i/>
          <w:iCs/>
          <w:color w:val="1B2A4A"/>
          <w:sz w:val="22"/>
          <w:szCs w:val="22"/>
        </w:rPr>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Official Capacity Protection</w:t>
      </w:r>
    </w:p>
    <w:p w14:paraId="64C4F280" w14:textId="5859EFED" w:rsidR="00CD141D" w:rsidRPr="00CD141D" w:rsidRDefault="00CD141D" w:rsidP="00CD141D">
      <w:pPr>
        <w:spacing w:before="200" w:after="60"/>
        <w:ind w:left="431"/>
        <w:jc w:val="both"/>
      </w:pPr>
      <w:r>
        <w:rPr>
          <w:rFonts w:ascii="Garamond" w:eastAsia="Garamond" w:hAnsi="Garamond" w:cs="Garamond"/>
          <w:color w:val="2A2A2A"/>
          <w:sz w:val="22"/>
          <w:szCs w:val="22"/>
        </w:rPr>
        <w:t>Constitutional officers and persons acting within the authority of a constitutional office in the performance of official functions hold protection from civil proceedings arising from those official acts. This protection does not extend to criminal conduct, acts performed outside official capacity or authority, or acts that violate any provision of this constitution. Nothing in this provision bars legal remedies otherwise available under this constitution or statute.</w:t>
      </w:r>
    </w:p>
    <w:p w14:paraId="285F4CDF" w14:textId="77777777" w:rsidR="00CD141D" w:rsidRDefault="00CD141D" w:rsidP="00CD141D">
      <w:pPr>
        <w:spacing w:before="200" w:after="60"/>
        <w:ind w:left="431"/>
      </w:pPr>
    </w:p>
    <w:p w14:paraId="0E0AE5FC" w14:textId="77777777" w:rsidR="00CD141D" w:rsidRDefault="00CD141D">
      <w:pPr>
        <w:spacing w:after="120"/>
        <w:ind w:left="431"/>
        <w:jc w:val="both"/>
      </w:pPr>
    </w:p>
    <w:p w14:paraId="4E8DD8F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 — The Dual Executive</w:t>
      </w:r>
    </w:p>
    <w:p w14:paraId="32C93161" w14:textId="77777777" w:rsidR="00AF3D56" w:rsidRDefault="00000000">
      <w:pPr>
        <w:spacing w:before="200" w:after="60"/>
        <w:ind w:left="431"/>
      </w:pPr>
      <w:r>
        <w:rPr>
          <w:rFonts w:ascii="Courier New" w:eastAsia="Courier New" w:hAnsi="Courier New" w:cs="Courier New"/>
          <w:b/>
          <w:bCs/>
          <w:color w:val="2A2A2A"/>
          <w:sz w:val="18"/>
          <w:szCs w:val="18"/>
        </w:rPr>
        <w:t xml:space="preserve">§2.1  </w:t>
      </w:r>
      <w:r>
        <w:rPr>
          <w:rFonts w:ascii="Garamond" w:eastAsia="Garamond" w:hAnsi="Garamond" w:cs="Garamond"/>
          <w:i/>
          <w:iCs/>
          <w:color w:val="1B2A4A"/>
          <w:sz w:val="22"/>
          <w:szCs w:val="22"/>
        </w:rPr>
        <w:t>The Legat Consul — Domain and Term</w:t>
      </w:r>
    </w:p>
    <w:p w14:paraId="6B78322C" w14:textId="77777777" w:rsidR="00AF3D56" w:rsidRDefault="00000000">
      <w:pPr>
        <w:spacing w:after="120"/>
        <w:ind w:left="431"/>
        <w:jc w:val="both"/>
      </w:pPr>
      <w:r>
        <w:rPr>
          <w:rFonts w:ascii="Garamond" w:eastAsia="Garamond" w:hAnsi="Garamond" w:cs="Garamond"/>
          <w:color w:val="2A2A2A"/>
          <w:sz w:val="22"/>
          <w:szCs w:val="22"/>
        </w:rPr>
        <w:t>To hold the office of Legat Consul, a person must have been a citizen for at least 7 years at the time of taking office and must hold no federal felony conviction.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compact relationships with recognized indigenous nations under Article XVI;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the specific action giving rise to the dispute is suspended. Either executive may petition the SC under its original jurisdiction in §4.5 for domain determination. During active military operations, the Legat Consul’s domain governs operational decisions.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time of transfer.</w:t>
      </w:r>
    </w:p>
    <w:p w14:paraId="7D29BD50" w14:textId="77777777" w:rsidR="00AF3D56" w:rsidRDefault="00000000">
      <w:pPr>
        <w:spacing w:before="200" w:after="60"/>
        <w:ind w:left="431"/>
      </w:pPr>
      <w:r>
        <w:rPr>
          <w:rFonts w:ascii="Courier New" w:eastAsia="Courier New" w:hAnsi="Courier New" w:cs="Courier New"/>
          <w:b/>
          <w:bCs/>
          <w:color w:val="2A2A2A"/>
          <w:sz w:val="18"/>
          <w:szCs w:val="18"/>
        </w:rPr>
        <w:t xml:space="preserve">§2.2  </w:t>
      </w:r>
      <w:r>
        <w:rPr>
          <w:rFonts w:ascii="Garamond" w:eastAsia="Garamond" w:hAnsi="Garamond" w:cs="Garamond"/>
          <w:i/>
          <w:iCs/>
          <w:color w:val="1B2A4A"/>
          <w:sz w:val="22"/>
          <w:szCs w:val="22"/>
        </w:rPr>
        <w:t>Military Authorization Framework</w:t>
      </w:r>
    </w:p>
    <w:p w14:paraId="4550A584" w14:textId="77777777" w:rsidR="00AF3D56" w:rsidRDefault="00000000">
      <w:pPr>
        <w:spacing w:after="120"/>
        <w:ind w:left="431"/>
        <w:jc w:val="both"/>
      </w:pPr>
      <w:r>
        <w:rPr>
          <w:rFonts w:ascii="Garamond" w:eastAsia="Garamond" w:hAnsi="Garamond" w:cs="Garamond"/>
          <w:color w:val="2A2A2A"/>
          <w:sz w:val="22"/>
          <w:szCs w:val="22"/>
        </w:rPr>
        <w:t>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is governed by §14.2. All military operations must state and be consistent with an authorized purpose under §14.1.</w:t>
      </w:r>
    </w:p>
    <w:p w14:paraId="41EA91BE" w14:textId="77777777" w:rsidR="00AF3D56" w:rsidRDefault="00000000">
      <w:pPr>
        <w:spacing w:before="200" w:after="60"/>
        <w:ind w:left="431"/>
      </w:pPr>
      <w:r>
        <w:rPr>
          <w:rFonts w:ascii="Courier New" w:eastAsia="Courier New" w:hAnsi="Courier New" w:cs="Courier New"/>
          <w:b/>
          <w:bCs/>
          <w:color w:val="2A2A2A"/>
          <w:sz w:val="18"/>
          <w:szCs w:val="18"/>
        </w:rPr>
        <w:t xml:space="preserve">§2.3  </w:t>
      </w:r>
      <w:r>
        <w:rPr>
          <w:rFonts w:ascii="Garamond" w:eastAsia="Garamond" w:hAnsi="Garamond" w:cs="Garamond"/>
          <w:i/>
          <w:iCs/>
          <w:color w:val="1B2A4A"/>
          <w:sz w:val="22"/>
          <w:szCs w:val="22"/>
        </w:rPr>
        <w:t>Consular Intelligence and Veto</w:t>
      </w:r>
    </w:p>
    <w:p w14:paraId="5EE6093A" w14:textId="77777777" w:rsidR="00AF3D56" w:rsidRDefault="00000000">
      <w:pPr>
        <w:spacing w:after="120"/>
        <w:ind w:left="431"/>
        <w:jc w:val="both"/>
      </w:pPr>
      <w:r>
        <w:rPr>
          <w:rFonts w:ascii="Garamond" w:eastAsia="Garamond" w:hAnsi="Garamond" w:cs="Garamond"/>
          <w:color w:val="2A2A2A"/>
          <w:sz w:val="22"/>
          <w:szCs w:val="22"/>
        </w:rPr>
        <w:t>The Legat Consul directs foreign intelligence. No intelligence operation may be conducted against Republic citizens within Republic territory on the Legat Consul's authority; such operations require independent judicial authorization.</w:t>
      </w:r>
    </w:p>
    <w:p w14:paraId="39FCE2CB" w14:textId="77777777" w:rsidR="00AF3D56" w:rsidRDefault="00000000">
      <w:pPr>
        <w:spacing w:before="200" w:after="60"/>
        <w:ind w:left="431"/>
      </w:pPr>
      <w:r>
        <w:rPr>
          <w:rFonts w:ascii="Courier New" w:eastAsia="Courier New" w:hAnsi="Courier New" w:cs="Courier New"/>
          <w:b/>
          <w:bCs/>
          <w:color w:val="2A2A2A"/>
          <w:sz w:val="18"/>
          <w:szCs w:val="18"/>
        </w:rPr>
        <w:t xml:space="preserve">§2.3.a  </w:t>
      </w:r>
      <w:r>
        <w:rPr>
          <w:rFonts w:ascii="Garamond" w:eastAsia="Garamond" w:hAnsi="Garamond" w:cs="Garamond"/>
          <w:i/>
          <w:iCs/>
          <w:color w:val="1B2A4A"/>
          <w:sz w:val="22"/>
          <w:szCs w:val="22"/>
        </w:rPr>
        <w:t>Legat Consul Legislative Veto</w:t>
      </w:r>
    </w:p>
    <w:p w14:paraId="35954EBA" w14:textId="77777777" w:rsidR="00AF3D56" w:rsidRDefault="00000000">
      <w:pPr>
        <w:spacing w:after="120"/>
        <w:ind w:left="431"/>
        <w:jc w:val="both"/>
      </w:pPr>
      <w:r>
        <w:rPr>
          <w:rFonts w:ascii="Garamond" w:eastAsia="Garamond" w:hAnsi="Garamond" w:cs="Garamond"/>
          <w:color w:val="2A2A2A"/>
          <w:sz w:val="22"/>
          <w:szCs w:val="22"/>
        </w:rPr>
        <w:t>The Legat Consul may veto legislation that raises a genuine constitutional concern within the Legat Consul’s security domain — military operations, intelligence, treaty obligations, or border security — by returning the bill within 10 business days of final passage with a written statement of grounds, published to the NRS. A general or speculative security connection is insufficient. If the Legat Consul neither acts nor objects within 10 business days of final passage, the bill is enacted by operation of law. The Legat Consul’s veto may be used only once on any bill; a bill reintroduced and passed by both chambers in a subsequent session proceeds without Legat Consul interference. Under §9.1, either Speaker may request an EM assessment of the domain question. The Senate may override by 2/3 supermajority at any time during that session; where no override occurs, the bill lapses for that session.</w:t>
      </w:r>
    </w:p>
    <w:p w14:paraId="3BFA0C43" w14:textId="77777777" w:rsidR="00AF3D56" w:rsidRDefault="00000000">
      <w:pPr>
        <w:spacing w:before="200" w:after="60"/>
        <w:ind w:left="431"/>
      </w:pPr>
      <w:r>
        <w:rPr>
          <w:rFonts w:ascii="Courier New" w:eastAsia="Courier New" w:hAnsi="Courier New" w:cs="Courier New"/>
          <w:b/>
          <w:bCs/>
          <w:color w:val="2A2A2A"/>
          <w:sz w:val="18"/>
          <w:szCs w:val="18"/>
        </w:rPr>
        <w:t xml:space="preserve">§2.4  </w:t>
      </w:r>
      <w:r>
        <w:rPr>
          <w:rFonts w:ascii="Garamond" w:eastAsia="Garamond" w:hAnsi="Garamond" w:cs="Garamond"/>
          <w:i/>
          <w:iCs/>
          <w:color w:val="1B2A4A"/>
          <w:sz w:val="22"/>
          <w:szCs w:val="22"/>
        </w:rPr>
        <w:t>Legat Consul International Agreements</w:t>
      </w:r>
    </w:p>
    <w:p w14:paraId="02B54641" w14:textId="77777777" w:rsidR="00AF3D56" w:rsidRDefault="00000000">
      <w:pPr>
        <w:spacing w:after="120"/>
        <w:ind w:left="431"/>
        <w:jc w:val="both"/>
      </w:pPr>
      <w:r>
        <w:rPr>
          <w:rFonts w:ascii="Garamond" w:eastAsia="Garamond" w:hAnsi="Garamond" w:cs="Garamond"/>
          <w:color w:val="2A2A2A"/>
          <w:sz w:val="22"/>
          <w:szCs w:val="22"/>
        </w:rPr>
        <w:t xml:space="preserve">The Legat Consul negotiates and concludes treaties and trade agreements. Treaties are subject to ratification under §3.6. Trade agreements are subject to legislative approval under §3.6. During negotiation of any trade agreement, the Legat Consul must consult the Civic Consul on its domestic implications; the Civic Consul's response is published to the NRS. The Legat Consul nominates senior domain officers — Director of Intelligence, Director of Foreign Affairs, Director of Defense — from a pool of qualified </w:t>
        <w:lastRenderedPageBreak/>
        <w:t>candidates maintained by the Elections Panel under §9.12. The Legislature defines qualifications and confirmation procedures for each office by statute; acting appointments may be made pending confirmation for the period and under the conditions the Legislature defines.</w:t>
      </w:r>
    </w:p>
    <w:p w14:paraId="7F54CBE7" w14:textId="77777777" w:rsidR="00AF3D56" w:rsidRDefault="00000000">
      <w:pPr>
        <w:spacing w:before="200" w:after="60"/>
        <w:ind w:left="431"/>
      </w:pPr>
      <w:r>
        <w:rPr>
          <w:rFonts w:ascii="Courier New" w:eastAsia="Courier New" w:hAnsi="Courier New" w:cs="Courier New"/>
          <w:b/>
          <w:bCs/>
          <w:color w:val="2A2A2A"/>
          <w:sz w:val="18"/>
          <w:szCs w:val="18"/>
        </w:rPr>
        <w:t xml:space="preserve">§2.5  </w:t>
      </w:r>
      <w:r>
        <w:rPr>
          <w:rFonts w:ascii="Garamond" w:eastAsia="Garamond" w:hAnsi="Garamond" w:cs="Garamond"/>
          <w:i/>
          <w:iCs/>
          <w:color w:val="1B2A4A"/>
          <w:sz w:val="22"/>
          <w:szCs w:val="22"/>
        </w:rPr>
        <w:t>The Civic Consul — Domain and Term</w:t>
      </w:r>
    </w:p>
    <w:p w14:paraId="731F6822" w14:textId="77777777" w:rsidR="00AF3D56" w:rsidRDefault="00000000">
      <w:pPr>
        <w:spacing w:after="120"/>
        <w:ind w:left="431"/>
        <w:jc w:val="both"/>
      </w:pPr>
      <w:r>
        <w:rPr>
          <w:rFonts w:ascii="Garamond" w:eastAsia="Garamond" w:hAnsi="Garamond" w:cs="Garamond"/>
          <w:color w:val="2A2A2A"/>
          <w:sz w:val="22"/>
          <w:szCs w:val="22"/>
        </w:rPr>
        <w:t>The Civic Consul holds residual executive authority over all functions not enumerated to the Legat Consul. To hold the office of Civic Consul, a person must have been a citizen for at least 7 years at the time of taking office and must hold no federal felony conviction. No other eligibility requirement applies. The Civic Consul serves at the confidence of the Assembly, subject to removal under §2.6. No person may serve more than 8 years in total as Civic Consul across all periods of service; this limit is cumulative and permanent regardless of interruption. The Civic Consul's domestic authority includes: all domestic policy and regulatory frameworks; preparation of a proposed budget for the civic domain, submitted to the Assembly under §12.2; the civil service; and administration of the social state under Article XII. The Civic Consul may declare a domestic emergency in response to natural disaster, public health crisis, or infrastructure failure, subject to the constraints of Article I and renewable Assembly approval at intervals defined by statute; in the absence of a statutory interval, the constitutional default is 30 days. The Legat Consul has no role in domestic emergencies.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compact negotiations under Article XVI; the Civic Consul’s response is advisory. Where the Civic Consul is temporarily unable to exercise authority, the Civic Consul’s designated Acting Civic Consul, who must meet the eligibility requirements for the office of Civic Consul under this section, serves with authority limited to maintaining existing policy and emergency functions; where no such designation exists or the designated Acting Civic Consul is unavailable, the Assembly Speaker serves as Acting Civic Consul with the same authority limitation. Acting status ends when the Civic Consul resumes their duties or a new Civic Consul is confirmed by the Assembly.</w:t>
      </w:r>
    </w:p>
    <w:p w14:paraId="16EAE3DB" w14:textId="77777777" w:rsidR="00AF3D56" w:rsidRDefault="00000000">
      <w:pPr>
        <w:spacing w:before="200" w:after="60"/>
        <w:ind w:left="431"/>
      </w:pPr>
      <w:r>
        <w:rPr>
          <w:rFonts w:ascii="Courier New" w:eastAsia="Courier New" w:hAnsi="Courier New" w:cs="Courier New"/>
          <w:b/>
          <w:bCs/>
          <w:color w:val="2A2A2A"/>
          <w:sz w:val="18"/>
          <w:szCs w:val="18"/>
        </w:rPr>
        <w:t xml:space="preserve">§2.6  </w:t>
      </w:r>
      <w:r>
        <w:rPr>
          <w:rFonts w:ascii="Garamond" w:eastAsia="Garamond" w:hAnsi="Garamond" w:cs="Garamond"/>
          <w:i/>
          <w:iCs/>
          <w:color w:val="1B2A4A"/>
          <w:sz w:val="22"/>
          <w:szCs w:val="22"/>
        </w:rPr>
        <w:t>Constructive Vote of No Confidence</w:t>
      </w:r>
    </w:p>
    <w:p w14:paraId="4C33F3A4" w14:textId="77777777" w:rsidR="00AF3D56" w:rsidRDefault="00000000">
      <w:pPr>
        <w:spacing w:after="120"/>
        <w:ind w:left="431"/>
        <w:jc w:val="both"/>
      </w:pPr>
      <w:r>
        <w:rPr>
          <w:rFonts w:ascii="Garamond" w:eastAsia="Garamond" w:hAnsi="Garamond" w:cs="Garamond"/>
          <w:color w:val="2A2A2A"/>
          <w:sz w:val="22"/>
          <w:szCs w:val="22"/>
        </w:rPr>
        <w:t>The Civic Consul is accountable to the Assembly. The Assembly may remove the Civic Consul only through a constructive vote of no confidence: a single vote that simultaneously removes the sitting Civic Consul and installs a named replacement, by 60 percent of full seated Assembly membership. A confidence vote that does not name and elect a successor has no constitutional effect. The Civic Consul must be and remain a serving member of the Assembly throughout their tenure; removal or resignation as Civic Consul does not affect Assembly membership, and a former Civic Consul who remains a member of the Assembly reverts to that role. The Civic Consul is subject to all Assembly membership rules, including term limits and the cooling-off period under §3.2.</w:t>
      </w:r>
    </w:p>
    <w:p w14:paraId="0016C56E" w14:textId="77777777" w:rsidR="00AF3D56" w:rsidRDefault="00000000">
      <w:pPr>
        <w:spacing w:before="200" w:after="60"/>
        <w:ind w:left="431"/>
      </w:pPr>
      <w:r>
        <w:rPr>
          <w:rFonts w:ascii="Courier New" w:eastAsia="Courier New" w:hAnsi="Courier New" w:cs="Courier New"/>
          <w:b/>
          <w:bCs/>
          <w:color w:val="2A2A2A"/>
          <w:sz w:val="18"/>
          <w:szCs w:val="18"/>
        </w:rPr>
        <w:t xml:space="preserve">§2.6.a  </w:t>
      </w:r>
      <w:r>
        <w:rPr>
          <w:rFonts w:ascii="Garamond" w:eastAsia="Garamond" w:hAnsi="Garamond" w:cs="Garamond"/>
          <w:i/>
          <w:iCs/>
          <w:color w:val="1B2A4A"/>
          <w:sz w:val="22"/>
          <w:szCs w:val="22"/>
        </w:rPr>
        <w:t>Government Formation</w:t>
      </w:r>
    </w:p>
    <w:p w14:paraId="04A0C131" w14:textId="77777777" w:rsidR="00AF3D56" w:rsidRDefault="00000000">
      <w:pPr>
        <w:spacing w:after="120"/>
        <w:ind w:left="431"/>
        <w:jc w:val="both"/>
      </w:pPr>
      <w:r>
        <w:rPr>
          <w:rFonts w:ascii="Garamond" w:eastAsia="Garamond" w:hAnsi="Garamond" w:cs="Garamond"/>
          <w:color w:val="2A2A2A"/>
          <w:sz w:val="22"/>
          <w:szCs w:val="22"/>
        </w:rPr>
        <w:t xml:space="preserve">The Assembly elects the Civic Consul by absolute majority within the period defined by statute following any general election or vacancy; where no statutory period has been established, the constitutional default is 21 days. If the Assembly does not elect a Civic Consul within that period, the Civic Consul designates an Acting Civic Consul from the confirmed ministers. Where no ministers have been confirmed, the designation falls to a serving Assembly member. The designation is published to the NRS. The Senate may, by 2/3 supermajority, designate a serving Assembly member as Civic Consul if the Assembly has failed to elect one within the statutory period; Assembly election of a Civic Consul by absolute majority terminates any Senate designation. Where no Civic Consul has been elected and the Senate has not designated one within 45 days of the Assembly failing to elect, the Legat Consul nominates a serving Assembly member as Civic Consul within 21 days, published to the NRS; the Senate confirms by simple majority within 21 days of nomination; the confirmed appointee holds full Civic Consul authority and is subject to removal under §2.6. Where the Legat Consul does not nominate within 21 days or the Senate does not confirm within 21 days of nomination, the most senior Assembly member by continuous service who otherwise meets the requirements for Civic Consul assumes the role by constitutional operation, </w:t>
        <w:lastRenderedPageBreak/>
        <w:t>published to the NRS; this appointee holds full Civic Consul authority and is subject to removal under §2.6. Where two or more Assembly members have equal continuous service, the tiebreaker is determined by statute.</w:t>
      </w:r>
    </w:p>
    <w:p w14:paraId="26201912" w14:textId="77777777" w:rsidR="00AF3D56" w:rsidRDefault="00000000">
      <w:pPr>
        <w:spacing w:before="200" w:after="60"/>
        <w:ind w:left="431"/>
      </w:pPr>
      <w:r>
        <w:rPr>
          <w:rFonts w:ascii="Courier New" w:eastAsia="Courier New" w:hAnsi="Courier New" w:cs="Courier New"/>
          <w:b/>
          <w:bCs/>
          <w:color w:val="2A2A2A"/>
          <w:sz w:val="18"/>
          <w:szCs w:val="18"/>
        </w:rPr>
        <w:t xml:space="preserve">§2.7  </w:t>
      </w:r>
      <w:r>
        <w:rPr>
          <w:rFonts w:ascii="Garamond" w:eastAsia="Garamond" w:hAnsi="Garamond" w:cs="Garamond"/>
          <w:i/>
          <w:iCs/>
          <w:color w:val="1B2A4A"/>
          <w:sz w:val="22"/>
          <w:szCs w:val="22"/>
        </w:rPr>
        <w:t>Civic Consul Legislative Instruments</w:t>
      </w:r>
    </w:p>
    <w:p w14:paraId="386E8560" w14:textId="77777777" w:rsidR="00AF3D56" w:rsidRDefault="00000000">
      <w:pPr>
        <w:spacing w:after="120"/>
        <w:ind w:left="431"/>
        <w:jc w:val="both"/>
      </w:pPr>
      <w:r>
        <w:rPr>
          <w:rFonts w:ascii="Garamond" w:eastAsia="Garamond" w:hAnsi="Garamond" w:cs="Garamond"/>
          <w:color w:val="2A2A2A"/>
          <w:sz w:val="22"/>
          <w:szCs w:val="22"/>
        </w:rPr>
        <w:t>The Civic Consul may withhold assent by returning a bill within 10 business days of final passage with written grounds published to the NRS; the bill is tabled for one month regardless of any change in CC office. The Senate may override by 2/3 supermajority during that month; failing override, the bill returns to the Legislature and must pass both chambers again before returning to the Civic Consul, who may not exercise the suspensive veto on that bill again, including where that bill lapses and is reintroduced in a subsequent session. The Civic Consul may also issue a fiscal notice — a written NRS statement that a bill would cause or materially worsen a structural deficit — at any point within the 10-business-day review window; a fiscal notice does not block enactment but entitles the Assembly Speaker to recall the bill for reconsideration within the remaining window; both instruments may be used on the same bill. Where the Civic Consul neither returns the bill nor issues a fiscal notice within 10 business days of final passage, the bill is enacted by operation of law. The suspensive veto may not be used on the annual budget, bills implementing a constitutional obligation, or emergency legislation. Both executives review concurrently from final passage.</w:t>
      </w:r>
    </w:p>
    <w:p w14:paraId="02FF8045" w14:textId="77777777" w:rsidR="00AF3D56" w:rsidRDefault="00000000">
      <w:pPr>
        <w:spacing w:before="200" w:after="60"/>
        <w:ind w:left="431"/>
      </w:pPr>
      <w:r>
        <w:rPr>
          <w:rFonts w:ascii="Courier New" w:eastAsia="Courier New" w:hAnsi="Courier New" w:cs="Courier New"/>
          <w:b/>
          <w:bCs/>
          <w:color w:val="2A2A2A"/>
          <w:sz w:val="18"/>
          <w:szCs w:val="18"/>
        </w:rPr>
        <w:t xml:space="preserve">§2.8  </w:t>
      </w:r>
      <w:r>
        <w:rPr>
          <w:rFonts w:ascii="Garamond" w:eastAsia="Garamond" w:hAnsi="Garamond" w:cs="Garamond"/>
          <w:i/>
          <w:iCs/>
          <w:color w:val="1B2A4A"/>
          <w:sz w:val="22"/>
          <w:szCs w:val="22"/>
        </w:rPr>
        <w:t>Duty of Refusal</w:t>
      </w:r>
    </w:p>
    <w:p w14:paraId="1EE87E68" w14:textId="77777777" w:rsidR="00AF3D56" w:rsidRDefault="00000000">
      <w:pPr>
        <w:spacing w:after="120"/>
        <w:ind w:left="431"/>
        <w:jc w:val="both"/>
      </w:pPr>
      <w:r>
        <w:rPr>
          <w:rFonts w:ascii="Garamond" w:eastAsia="Garamond" w:hAnsi="Garamond" w:cs="Garamond"/>
          <w:color w:val="2A2A2A"/>
          <w:sz w:val="22"/>
          <w:szCs w:val="22"/>
        </w:rPr>
        <w:t>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14:paraId="58461D1F" w14:textId="77777777" w:rsidR="00AF3D56" w:rsidRDefault="00000000">
      <w:pPr>
        <w:spacing w:before="200" w:after="60"/>
        <w:ind w:left="431"/>
      </w:pPr>
      <w:r>
        <w:rPr>
          <w:rFonts w:ascii="Courier New" w:eastAsia="Courier New" w:hAnsi="Courier New" w:cs="Courier New"/>
          <w:b/>
          <w:bCs/>
          <w:color w:val="2A2A2A"/>
          <w:sz w:val="18"/>
          <w:szCs w:val="18"/>
        </w:rPr>
        <w:t xml:space="preserve">§2.9  </w:t>
      </w:r>
      <w:r>
        <w:rPr>
          <w:rFonts w:ascii="Garamond" w:eastAsia="Garamond" w:hAnsi="Garamond" w:cs="Garamond"/>
          <w:i/>
          <w:iCs/>
          <w:color w:val="1B2A4A"/>
          <w:sz w:val="22"/>
          <w:szCs w:val="22"/>
        </w:rPr>
        <w:t>Legat Consul Succession and Incapacity</w:t>
      </w:r>
    </w:p>
    <w:p w14:paraId="14D807BB" w14:textId="77777777" w:rsidR="00AF3D56" w:rsidRDefault="00000000">
      <w:pPr>
        <w:spacing w:after="120"/>
        <w:ind w:left="431"/>
        <w:jc w:val="both"/>
      </w:pPr>
      <w:r>
        <w:rPr>
          <w:rFonts w:ascii="Garamond" w:eastAsia="Garamond" w:hAnsi="Garamond" w:cs="Garamond"/>
          <w:color w:val="2A2A2A"/>
          <w:sz w:val="22"/>
          <w:szCs w:val="22"/>
        </w:rPr>
        <w:t>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a majority of the JMC assesses capacity and, on joint assessment published to the NRS, Acting Legat Consul authority transfers to the Senate Speaker without vacating the Speaker's Senate seat by constitutional operation from that moment. Acting authority ends when the Legat Consul publishes a restoration declaration to the NRS.</w:t>
      </w:r>
    </w:p>
    <w:p w14:paraId="3EAD3FC4" w14:textId="77777777" w:rsidR="00AF3D56" w:rsidRDefault="00000000">
      <w:pPr>
        <w:spacing w:before="200" w:after="60"/>
        <w:ind w:left="431"/>
      </w:pPr>
      <w:r>
        <w:rPr>
          <w:rFonts w:ascii="Courier New" w:eastAsia="Courier New" w:hAnsi="Courier New" w:cs="Courier New"/>
          <w:b/>
          <w:bCs/>
          <w:color w:val="2A2A2A"/>
          <w:sz w:val="18"/>
          <w:szCs w:val="18"/>
        </w:rPr>
        <w:t xml:space="preserve">§2.10  </w:t>
      </w:r>
      <w:r>
        <w:rPr>
          <w:rFonts w:ascii="Garamond" w:eastAsia="Garamond" w:hAnsi="Garamond" w:cs="Garamond"/>
          <w:i/>
          <w:iCs/>
          <w:color w:val="1B2A4A"/>
          <w:sz w:val="22"/>
          <w:szCs w:val="22"/>
        </w:rPr>
        <w:t>Executive Transparency</w:t>
      </w:r>
    </w:p>
    <w:p w14:paraId="177409D6" w14:textId="77777777" w:rsidR="00AF3D56" w:rsidRDefault="00000000">
      <w:pPr>
        <w:spacing w:after="120"/>
        <w:ind w:left="431"/>
        <w:jc w:val="both"/>
      </w:pPr>
      <w:r>
        <w:rPr>
          <w:rFonts w:ascii="Garamond" w:eastAsia="Garamond" w:hAnsi="Garamond" w:cs="Garamond"/>
          <w:color w:val="2A2A2A"/>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w:t>
        <w:lastRenderedPageBreak/>
        <w:t>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14:paraId="59AA2318" w14:textId="77777777" w:rsidR="00AF3D56" w:rsidRDefault="00000000">
      <w:pPr>
        <w:spacing w:before="200" w:after="60"/>
        <w:ind w:left="431"/>
      </w:pPr>
      <w:r>
        <w:rPr>
          <w:rFonts w:ascii="Courier New" w:eastAsia="Courier New" w:hAnsi="Courier New" w:cs="Courier New"/>
          <w:b/>
          <w:bCs/>
          <w:color w:val="2A2A2A"/>
          <w:sz w:val="18"/>
          <w:szCs w:val="18"/>
        </w:rPr>
        <w:t xml:space="preserve">§2.11  </w:t>
      </w:r>
      <w:r>
        <w:rPr>
          <w:rFonts w:ascii="Garamond" w:eastAsia="Garamond" w:hAnsi="Garamond" w:cs="Garamond"/>
          <w:i/>
          <w:iCs/>
          <w:color w:val="1B2A4A"/>
          <w:sz w:val="22"/>
          <w:szCs w:val="22"/>
        </w:rPr>
        <w:t>Emergency Governance</w:t>
      </w:r>
    </w:p>
    <w:p w14:paraId="6F112D14" w14:textId="77777777" w:rsidR="00AF3D56" w:rsidRDefault="00000000">
      <w:pPr>
        <w:spacing w:after="120"/>
        <w:ind w:left="431"/>
        <w:jc w:val="both"/>
      </w:pPr>
      <w:r>
        <w:rPr>
          <w:rFonts w:ascii="Garamond" w:eastAsia="Garamond" w:hAnsi="Garamond" w:cs="Garamond"/>
          <w:color w:val="2A2A2A"/>
          <w:sz w:val="22"/>
          <w:szCs w:val="22"/>
        </w:rPr>
        <w:t>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14:paraId="00FB3E8C" w14:textId="77777777" w:rsidR="00AF3D56" w:rsidRDefault="00000000">
      <w:pPr>
        <w:spacing w:before="200" w:after="60"/>
        <w:ind w:left="431"/>
      </w:pPr>
      <w:r>
        <w:rPr>
          <w:rFonts w:ascii="Courier New" w:eastAsia="Courier New" w:hAnsi="Courier New" w:cs="Courier New"/>
          <w:b/>
          <w:bCs/>
          <w:color w:val="2A2A2A"/>
          <w:sz w:val="18"/>
          <w:szCs w:val="18"/>
        </w:rPr>
        <w:t xml:space="preserve">§2.12  </w:t>
      </w:r>
      <w:r>
        <w:rPr>
          <w:rFonts w:ascii="Garamond" w:eastAsia="Garamond" w:hAnsi="Garamond" w:cs="Garamond"/>
          <w:i/>
          <w:iCs/>
          <w:color w:val="1B2A4A"/>
          <w:sz w:val="22"/>
          <w:szCs w:val="22"/>
        </w:rPr>
        <w:t>Clemency</w:t>
      </w:r>
    </w:p>
    <w:p w14:paraId="419B3216" w14:textId="77777777" w:rsidR="00AF3D56" w:rsidRDefault="00000000">
      <w:pPr>
        <w:spacing w:after="120"/>
        <w:ind w:left="431"/>
        <w:jc w:val="both"/>
      </w:pPr>
      <w:r>
        <w:rPr>
          <w:rFonts w:ascii="Garamond" w:eastAsia="Garamond" w:hAnsi="Garamond" w:cs="Garamond"/>
          <w:color w:val="2A2A2A"/>
          <w:sz w:val="22"/>
          <w:szCs w:val="22"/>
        </w:rPr>
        <w:t>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Every grant is subject to cross-chamber transparency review. Group amnesty requires legislative action; no executive may grant group amnesty.</w:t>
      </w:r>
    </w:p>
    <w:p w14:paraId="79DD5CCB" w14:textId="77777777" w:rsidR="00AF3D56" w:rsidRDefault="00000000">
      <w:pPr>
        <w:spacing w:before="200" w:after="60"/>
        <w:ind w:left="431"/>
      </w:pPr>
      <w:r>
        <w:rPr>
          <w:rFonts w:ascii="Courier New" w:eastAsia="Courier New" w:hAnsi="Courier New" w:cs="Courier New"/>
          <w:b/>
          <w:bCs/>
          <w:color w:val="2A2A2A"/>
          <w:sz w:val="18"/>
          <w:szCs w:val="18"/>
        </w:rPr>
        <w:t xml:space="preserve">§2.13  </w:t>
      </w:r>
      <w:r>
        <w:rPr>
          <w:rFonts w:ascii="Garamond" w:eastAsia="Garamond" w:hAnsi="Garamond" w:cs="Garamond"/>
          <w:i/>
          <w:iCs/>
          <w:color w:val="1B2A4A"/>
          <w:sz w:val="22"/>
          <w:szCs w:val="22"/>
        </w:rPr>
        <w:t>Consular Removal</w:t>
      </w:r>
    </w:p>
    <w:p w14:paraId="3C3DC524" w14:textId="77777777" w:rsidR="00AF3D56" w:rsidRDefault="00000000">
      <w:pPr>
        <w:spacing w:after="120"/>
        <w:ind w:left="431"/>
        <w:jc w:val="both"/>
      </w:pPr>
      <w:r>
        <w:rPr>
          <w:rFonts w:ascii="Garamond" w:eastAsia="Garamond" w:hAnsi="Garamond" w:cs="Garamond"/>
          <w:color w:val="2A2A2A"/>
          <w:sz w:val="22"/>
          <w:szCs w:val="22"/>
        </w:rPr>
        <w:t>The Legat Consul may be removed on two independent tracks. Under the legislative track,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§7.4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14:paraId="28C0D769" w14:textId="77777777" w:rsidR="00AF3D56" w:rsidRDefault="00000000">
      <w:pPr>
        <w:spacing w:before="200" w:after="60"/>
        <w:ind w:left="431"/>
      </w:pPr>
      <w:r>
        <w:rPr>
          <w:rFonts w:ascii="Courier New" w:eastAsia="Courier New" w:hAnsi="Courier New" w:cs="Courier New"/>
          <w:b/>
          <w:bCs/>
          <w:color w:val="2A2A2A"/>
          <w:sz w:val="18"/>
          <w:szCs w:val="18"/>
        </w:rPr>
        <w:t xml:space="preserve">§2.14  </w:t>
      </w:r>
      <w:r>
        <w:rPr>
          <w:rFonts w:ascii="Garamond" w:eastAsia="Garamond" w:hAnsi="Garamond" w:cs="Garamond"/>
          <w:i/>
          <w:iCs/>
          <w:color w:val="1B2A4A"/>
          <w:sz w:val="22"/>
          <w:szCs w:val="22"/>
        </w:rPr>
        <w:t>Council of Ministers</w:t>
      </w:r>
    </w:p>
    <w:p w14:paraId="0914AF1D" w14:textId="77777777" w:rsidR="00AF3D56" w:rsidRDefault="00000000">
      <w:pPr>
        <w:spacing w:after="120"/>
        <w:ind w:left="431"/>
        <w:jc w:val="both"/>
      </w:pPr>
      <w:r>
        <w:rPr>
          <w:rFonts w:ascii="Garamond" w:eastAsia="Garamond" w:hAnsi="Garamond" w:cs="Garamond"/>
          <w:color w:val="2A2A2A"/>
          <w:sz w:val="22"/>
          <w:szCs w:val="22"/>
        </w:rPr>
        <w:t>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w:t>
      </w:r>
    </w:p>
    <w:p w14:paraId="798EA873" w14:textId="77777777" w:rsidR="00AF3D56" w:rsidRDefault="00000000">
      <w:pPr>
        <w:spacing w:before="200" w:after="60"/>
        <w:ind w:left="431"/>
      </w:pPr>
      <w:r>
        <w:rPr>
          <w:rFonts w:ascii="Courier New" w:eastAsia="Courier New" w:hAnsi="Courier New" w:cs="Courier New"/>
          <w:b/>
          <w:bCs/>
          <w:color w:val="2A2A2A"/>
          <w:sz w:val="18"/>
          <w:szCs w:val="18"/>
        </w:rPr>
        <w:t xml:space="preserve">§2.14.a  </w:t>
      </w:r>
      <w:r>
        <w:rPr>
          <w:rFonts w:ascii="Garamond" w:eastAsia="Garamond" w:hAnsi="Garamond" w:cs="Garamond"/>
          <w:i/>
          <w:iCs/>
          <w:color w:val="1B2A4A"/>
          <w:sz w:val="22"/>
          <w:szCs w:val="22"/>
        </w:rPr>
        <w:t>Cross-Domain Emergency Lead</w:t>
      </w:r>
    </w:p>
    <w:p w14:paraId="70E13777" w14:textId="77777777" w:rsidR="00AF3D56" w:rsidRDefault="00000000">
      <w:pPr>
        <w:spacing w:after="120"/>
        <w:ind w:left="431"/>
        <w:jc w:val="both"/>
      </w:pPr>
      <w:r>
        <w:rPr>
          <w:rFonts w:ascii="Garamond" w:eastAsia="Garamond" w:hAnsi="Garamond" w:cs="Garamond"/>
          <w:color w:val="2A2A2A"/>
          <w:sz w:val="22"/>
          <w:szCs w:val="22"/>
        </w:rPr>
        <w:lastRenderedPageBreak/>
        <w:t>In a cross-domain emergency requiring unified operational authority, either executive may propose a temporary operational lead designation. Concurrence of both executives makes it effective and is published to the NRS. Where the executives cannot agree, either may petition the SC for expedited resolution under §4.5. A lead designation assigns operational coordination only and does not affect either executive’s constitutional domain authority.</w:t>
      </w:r>
    </w:p>
    <w:p w14:paraId="0B19BB75" w14:textId="77777777" w:rsidR="00AF3D56" w:rsidRDefault="00000000">
      <w:pPr>
        <w:spacing w:before="200" w:after="60"/>
        <w:ind w:left="431"/>
      </w:pPr>
      <w:r>
        <w:rPr>
          <w:rFonts w:ascii="Courier New" w:eastAsia="Courier New" w:hAnsi="Courier New" w:cs="Courier New"/>
          <w:b/>
          <w:bCs/>
          <w:color w:val="2A2A2A"/>
          <w:sz w:val="18"/>
          <w:szCs w:val="18"/>
        </w:rPr>
        <w:t xml:space="preserve">§2.16  </w:t>
      </w:r>
      <w:r>
        <w:rPr>
          <w:rFonts w:ascii="Garamond" w:eastAsia="Garamond" w:hAnsi="Garamond" w:cs="Garamond"/>
          <w:i/>
          <w:iCs/>
          <w:color w:val="1B2A4A"/>
          <w:sz w:val="22"/>
          <w:szCs w:val="22"/>
        </w:rPr>
        <w:t>Federal Prosecution</w:t>
      </w:r>
    </w:p>
    <w:p w14:paraId="75392848" w14:textId="77777777" w:rsidR="00AF3D56" w:rsidRDefault="00000000">
      <w:pPr>
        <w:spacing w:after="120"/>
        <w:ind w:left="431"/>
        <w:jc w:val="both"/>
      </w:pPr>
      <w:r>
        <w:rPr>
          <w:rFonts w:ascii="Garamond" w:eastAsia="Garamond" w:hAnsi="Garamond" w:cs="Garamond"/>
          <w:color w:val="2A2A2A"/>
          <w:sz w:val="22"/>
          <w:szCs w:val="22"/>
        </w:rPr>
        <w:t>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14:paraId="2CCB358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III — The Legislature</w:t>
      </w:r>
    </w:p>
    <w:p w14:paraId="0AD0B6E3" w14:textId="77777777" w:rsidR="00AF3D56" w:rsidRDefault="00000000">
      <w:pPr>
        <w:spacing w:before="200" w:after="60"/>
        <w:ind w:left="431"/>
      </w:pPr>
      <w:r>
        <w:rPr>
          <w:rFonts w:ascii="Courier New" w:eastAsia="Courier New" w:hAnsi="Courier New" w:cs="Courier New"/>
          <w:b/>
          <w:bCs/>
          <w:color w:val="2A2A2A"/>
          <w:sz w:val="18"/>
          <w:szCs w:val="18"/>
        </w:rPr>
        <w:t xml:space="preserve">§3.1  </w:t>
      </w:r>
      <w:r>
        <w:rPr>
          <w:rFonts w:ascii="Garamond" w:eastAsia="Garamond" w:hAnsi="Garamond" w:cs="Garamond"/>
          <w:i/>
          <w:iCs/>
          <w:color w:val="1B2A4A"/>
          <w:sz w:val="22"/>
          <w:szCs w:val="22"/>
        </w:rPr>
        <w:t>The Legislature</w:t>
      </w:r>
    </w:p>
    <w:p w14:paraId="0404E335" w14:textId="77777777" w:rsidR="00AF3D56" w:rsidRDefault="00000000">
      <w:pPr>
        <w:spacing w:after="120"/>
        <w:ind w:left="431"/>
        <w:jc w:val="both"/>
      </w:pPr>
      <w:r>
        <w:rPr>
          <w:rFonts w:ascii="Garamond" w:eastAsia="Garamond" w:hAnsi="Garamond" w:cs="Garamond"/>
          <w:color w:val="2A2A2A"/>
          <w:sz w:val="22"/>
          <w:szCs w:val="22"/>
        </w:rPr>
        <w:t>The Legislature comprises two chambers: the Assembly and the Senate. All legislation originates in the Assembly. The Senate reviews, may amend within the subject matter of the bill, and must act on every Assembly-passed bill within the period defined by statute, not to exceed 90 days — inaction triggers automatic deemed approval. In the absence of a statutory period, the Senate must act within 90 days of receipt. The Senate may, by majority of full seated membership, extend the review period for any bill by one additional period not to exceed 30 days, with stated cause published to the NRS; no further extension is available and deemed approval applies at expiry. Neither chamber may indefinitely delay business assigned to it by this constitution.</w:t>
      </w:r>
    </w:p>
    <w:p w14:paraId="4A8D1955" w14:textId="77777777" w:rsidR="00AF3D56" w:rsidRDefault="00000000">
      <w:pPr>
        <w:spacing w:before="200" w:after="60"/>
        <w:ind w:left="431"/>
      </w:pPr>
      <w:r>
        <w:rPr>
          <w:rFonts w:ascii="Courier New" w:eastAsia="Courier New" w:hAnsi="Courier New" w:cs="Courier New"/>
          <w:b/>
          <w:bCs/>
          <w:color w:val="2A2A2A"/>
          <w:sz w:val="18"/>
          <w:szCs w:val="18"/>
        </w:rPr>
        <w:t xml:space="preserve">§3.2  </w:t>
      </w:r>
      <w:r>
        <w:rPr>
          <w:rFonts w:ascii="Garamond" w:eastAsia="Garamond" w:hAnsi="Garamond" w:cs="Garamond"/>
          <w:i/>
          <w:iCs/>
          <w:color w:val="1B2A4A"/>
          <w:sz w:val="22"/>
          <w:szCs w:val="22"/>
        </w:rPr>
        <w:t>The Assembly</w:t>
      </w:r>
    </w:p>
    <w:p w14:paraId="2211AABF" w14:textId="77777777" w:rsidR="00AF3D56" w:rsidRDefault="00000000">
      <w:pPr>
        <w:spacing w:after="120"/>
        <w:ind w:left="431"/>
        <w:jc w:val="both"/>
      </w:pPr>
      <w:r>
        <w:rPr>
          <w:rFonts w:ascii="Garamond" w:eastAsia="Garamond" w:hAnsi="Garamond" w:cs="Garamond"/>
          <w:color w:val="2A2A2A"/>
          <w:sz w:val="22"/>
          <w:szCs w:val="22"/>
        </w:rPr>
        <w:t>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Speaker is elected by the Assembly from its own members by absolute majority.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Any Assembly member who resigns, is expelled, or is removed by state recall at any point during a term shall be deemed to have served that full term for purposes of the consecutive-term limit.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 A State may establish by law a recall mechanism for its Assembly members; any such mechanism must operate as a punitive or political process, must not violate this Constitution, and must place the final recall decision with the State legislature or the State’s eligible voters; no recall may proceed on the decision of an executive officer, administrative body, or court alone; where an Assembly member is recalled the seat is treated as vacant under this Constitution.</w:t>
      </w:r>
    </w:p>
    <w:p w14:paraId="1AD02533" w14:textId="77777777" w:rsidR="00AF3D56" w:rsidRDefault="00000000">
      <w:pPr>
        <w:spacing w:before="200" w:after="60"/>
        <w:ind w:left="431"/>
      </w:pPr>
      <w:r>
        <w:rPr>
          <w:rFonts w:ascii="Courier New" w:eastAsia="Courier New" w:hAnsi="Courier New" w:cs="Courier New"/>
          <w:b/>
          <w:bCs/>
          <w:color w:val="2A2A2A"/>
          <w:sz w:val="18"/>
          <w:szCs w:val="18"/>
        </w:rPr>
        <w:t xml:space="preserve">§3.3  </w:t>
      </w:r>
      <w:r>
        <w:rPr>
          <w:rFonts w:ascii="Garamond" w:eastAsia="Garamond" w:hAnsi="Garamond" w:cs="Garamond"/>
          <w:i/>
          <w:iCs/>
          <w:color w:val="1B2A4A"/>
          <w:sz w:val="22"/>
          <w:szCs w:val="22"/>
        </w:rPr>
        <w:t>Electoral Districts</w:t>
      </w:r>
    </w:p>
    <w:p w14:paraId="3E2FD7C4" w14:textId="77777777" w:rsidR="00AF3D56" w:rsidRDefault="00000000">
      <w:pPr>
        <w:spacing w:after="120"/>
        <w:ind w:left="431"/>
        <w:jc w:val="both"/>
      </w:pPr>
      <w:r>
        <w:rPr>
          <w:rFonts w:ascii="Garamond" w:eastAsia="Garamond" w:hAnsi="Garamond" w:cs="Garamond"/>
          <w:color w:val="2A2A2A"/>
          <w:sz w:val="22"/>
          <w:szCs w:val="22"/>
        </w:rPr>
        <w:t>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primary criteria.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14:paraId="4C75438F" w14:textId="77777777" w:rsidR="00AF3D56" w:rsidRDefault="00000000">
      <w:pPr>
        <w:spacing w:before="200" w:after="60"/>
        <w:ind w:left="431"/>
      </w:pPr>
      <w:r>
        <w:rPr>
          <w:rFonts w:ascii="Courier New" w:eastAsia="Courier New" w:hAnsi="Courier New" w:cs="Courier New"/>
          <w:b/>
          <w:bCs/>
          <w:color w:val="2A2A2A"/>
          <w:sz w:val="18"/>
          <w:szCs w:val="18"/>
        </w:rPr>
        <w:t xml:space="preserve">§3.4  </w:t>
      </w:r>
      <w:r>
        <w:rPr>
          <w:rFonts w:ascii="Garamond" w:eastAsia="Garamond" w:hAnsi="Garamond" w:cs="Garamond"/>
          <w:i/>
          <w:iCs/>
          <w:color w:val="1B2A4A"/>
          <w:sz w:val="22"/>
          <w:szCs w:val="22"/>
        </w:rPr>
        <w:t>Legislative Standards</w:t>
      </w:r>
    </w:p>
    <w:p w14:paraId="49AD981F" w14:textId="77777777" w:rsidR="00AF3D56" w:rsidRDefault="00000000">
      <w:pPr>
        <w:spacing w:after="120"/>
        <w:ind w:left="431"/>
        <w:jc w:val="both"/>
      </w:pPr>
      <w:r>
        <w:rPr>
          <w:rFonts w:ascii="Garamond" w:eastAsia="Garamond" w:hAnsi="Garamond" w:cs="Garamond"/>
          <w:color w:val="2A2A2A"/>
          <w:sz w:val="22"/>
          <w:szCs w:val="22"/>
        </w:rPr>
        <w:t xml:space="preserve">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The Legislature must establish a joint ethics committee with authority to </w:t>
        <w:lastRenderedPageBreak/>
        <w:t>sanction and refer members; removal requires 2/3 of the relevant chamber; under §9.1, the chamber may request an EM assessment to inform the proceeding.</w:t>
      </w:r>
    </w:p>
    <w:p w14:paraId="23B1A891" w14:textId="77777777" w:rsidR="00AF3D56" w:rsidRDefault="00000000">
      <w:pPr>
        <w:spacing w:before="200" w:after="60"/>
        <w:ind w:left="431"/>
      </w:pPr>
      <w:r>
        <w:rPr>
          <w:rFonts w:ascii="Courier New" w:eastAsia="Courier New" w:hAnsi="Courier New" w:cs="Courier New"/>
          <w:b/>
          <w:bCs/>
          <w:color w:val="2A2A2A"/>
          <w:sz w:val="18"/>
          <w:szCs w:val="18"/>
        </w:rPr>
        <w:t xml:space="preserve">§3.5  </w:t>
      </w:r>
      <w:r>
        <w:rPr>
          <w:rFonts w:ascii="Garamond" w:eastAsia="Garamond" w:hAnsi="Garamond" w:cs="Garamond"/>
          <w:i/>
          <w:iCs/>
          <w:color w:val="1B2A4A"/>
          <w:sz w:val="22"/>
          <w:szCs w:val="22"/>
        </w:rPr>
        <w:t>The Senate</w:t>
      </w:r>
    </w:p>
    <w:p w14:paraId="719C8B34" w14:textId="77777777" w:rsidR="00AF3D56" w:rsidRDefault="00000000">
      <w:pPr>
        <w:spacing w:after="120"/>
        <w:ind w:left="431"/>
        <w:jc w:val="both"/>
      </w:pPr>
      <w:r>
        <w:rPr>
          <w:rFonts w:ascii="Garamond" w:eastAsia="Garamond" w:hAnsi="Garamond" w:cs="Garamond"/>
          <w:color w:val="2A2A2A"/>
          <w:sz w:val="22"/>
          <w:szCs w:val="22"/>
        </w:rPr>
        <w:t>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Any senator who resigns, is expelled, or is removed by state recall at any point during a term shall be deemed to have served that full term for purposes of the consecutive-term limit.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law a recall mechanism for its senators; any such mechanism must operate as a punitive or political process, must not violate this Constitution, and must place the final recall decision with the State legislature or the State’s eligible voters; no recall may proceed on the decision of an executive officer, administrative body, or court alone; where a senator is recalled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14:paraId="1D954380" w14:textId="77777777" w:rsidR="00AF3D56" w:rsidRDefault="00000000">
      <w:pPr>
        <w:spacing w:before="200" w:after="60"/>
        <w:ind w:left="431"/>
      </w:pPr>
      <w:r>
        <w:rPr>
          <w:rFonts w:ascii="Courier New" w:eastAsia="Courier New" w:hAnsi="Courier New" w:cs="Courier New"/>
          <w:b/>
          <w:bCs/>
          <w:color w:val="2A2A2A"/>
          <w:sz w:val="18"/>
          <w:szCs w:val="18"/>
        </w:rPr>
        <w:t xml:space="preserve">§3.6  </w:t>
      </w:r>
      <w:r>
        <w:rPr>
          <w:rFonts w:ascii="Garamond" w:eastAsia="Garamond" w:hAnsi="Garamond" w:cs="Garamond"/>
          <w:i/>
          <w:iCs/>
          <w:color w:val="1B2A4A"/>
          <w:sz w:val="22"/>
          <w:szCs w:val="22"/>
        </w:rPr>
        <w:t>Treaty and Trade Agreement Ratification</w:t>
      </w:r>
    </w:p>
    <w:p w14:paraId="024B57DA" w14:textId="77777777" w:rsidR="00AF3D56" w:rsidRDefault="00000000">
      <w:pPr>
        <w:spacing w:after="120"/>
        <w:ind w:left="431"/>
        <w:jc w:val="both"/>
      </w:pPr>
      <w:r>
        <w:rPr>
          <w:rFonts w:ascii="Garamond" w:eastAsia="Garamond" w:hAnsi="Garamond" w:cs="Garamond"/>
          <w:color w:val="2A2A2A"/>
          <w:sz w:val="22"/>
          <w:szCs w:val="22"/>
        </w:rPr>
        <w:t>Treaty and compact agreement ratification requires 2/3 of the full seated Senate. Trade agreements concluded by the Legat Consul take effect upon approval by simple majority of both chambers; neither chamber may amend the terms of a concluded agreement.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The Senate must affirm withdrawal by 2/3 of its full seated membership within the period defined by statute, not to exceed 90 days; where the Senate does not affirm within that period, the notice is void and the Legat Consul must resubmit. Indigenous treaties under Article XVI may not be unilaterally withdrawn.</w:t>
      </w:r>
    </w:p>
    <w:p w14:paraId="1F75EB36" w14:textId="77777777" w:rsidR="00AF3D56" w:rsidRDefault="00000000">
      <w:pPr>
        <w:spacing w:before="200" w:after="60"/>
        <w:ind w:left="431"/>
      </w:pPr>
      <w:r>
        <w:rPr>
          <w:rFonts w:ascii="Courier New" w:eastAsia="Courier New" w:hAnsi="Courier New" w:cs="Courier New"/>
          <w:b/>
          <w:bCs/>
          <w:color w:val="2A2A2A"/>
          <w:sz w:val="18"/>
          <w:szCs w:val="18"/>
        </w:rPr>
        <w:t xml:space="preserve">§3.6.a  </w:t>
      </w:r>
      <w:r>
        <w:rPr>
          <w:rFonts w:ascii="Garamond" w:eastAsia="Garamond" w:hAnsi="Garamond" w:cs="Garamond"/>
          <w:i/>
          <w:iCs/>
          <w:color w:val="1B2A4A"/>
          <w:sz w:val="22"/>
          <w:szCs w:val="22"/>
        </w:rPr>
        <w:t>Classification and Dispute Resolution</w:t>
      </w:r>
    </w:p>
    <w:p w14:paraId="09CD461F" w14:textId="77777777" w:rsidR="00AF3D56" w:rsidRDefault="00000000">
      <w:pPr>
        <w:spacing w:after="120"/>
        <w:ind w:left="431"/>
        <w:jc w:val="both"/>
      </w:pPr>
      <w:r>
        <w:rPr>
          <w:rFonts w:ascii="Garamond" w:eastAsia="Garamond" w:hAnsi="Garamond" w:cs="Garamond"/>
          <w:color w:val="2A2A2A"/>
          <w:sz w:val="22"/>
          <w:szCs w:val="22"/>
        </w:rPr>
        <w:t>Where the Senate disputes the Legat Consul's classification of an international instrument as a trade agreement, the instrument is treated as a treaty pending resolution. Either party may seek expedited judicial determination of the classification; the applicable court and process are defined by statute.</w:t>
      </w:r>
    </w:p>
    <w:p w14:paraId="2307D307" w14:textId="77777777" w:rsidR="00AF3D56" w:rsidRDefault="00000000">
      <w:pPr>
        <w:spacing w:before="200" w:after="60"/>
        <w:ind w:left="431"/>
      </w:pPr>
      <w:r>
        <w:rPr>
          <w:rFonts w:ascii="Courier New" w:eastAsia="Courier New" w:hAnsi="Courier New" w:cs="Courier New"/>
          <w:b/>
          <w:bCs/>
          <w:color w:val="2A2A2A"/>
          <w:sz w:val="18"/>
          <w:szCs w:val="18"/>
        </w:rPr>
        <w:t xml:space="preserve">§3.7  </w:t>
      </w:r>
      <w:r>
        <w:rPr>
          <w:rFonts w:ascii="Garamond" w:eastAsia="Garamond" w:hAnsi="Garamond" w:cs="Garamond"/>
          <w:i/>
          <w:iCs/>
          <w:color w:val="1B2A4A"/>
          <w:sz w:val="22"/>
          <w:szCs w:val="22"/>
        </w:rPr>
        <w:t>Legislative Process and Passage</w:t>
      </w:r>
    </w:p>
    <w:p w14:paraId="7E377D1E" w14:textId="77777777" w:rsidR="00AF3D56" w:rsidRDefault="00000000">
      <w:pPr>
        <w:spacing w:after="120"/>
        <w:ind w:left="431"/>
        <w:jc w:val="both"/>
      </w:pPr>
      <w:r>
        <w:rPr>
          <w:rFonts w:ascii="Garamond" w:eastAsia="Garamond" w:hAnsi="Garamond" w:cs="Garamond"/>
          <w:color w:val="2A2A2A"/>
          <w:sz w:val="22"/>
          <w:szCs w:val="22"/>
        </w:rPr>
        <w:t>Bills pass by absolute majority of the full seated membership of both chambers. Higher thresholds apply to constitutional amendments, veto overrides, removal proceedings, and other matters specified in this constitution; where a higher threshold is specified for a vote of a single chamber, it applies to the full seated membership of that chamber.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non-fulfilment directly impairs the exercise of a right guaranteed in Article I, affected parties may bring direct constitutional claims.</w:t>
      </w:r>
    </w:p>
    <w:p w14:paraId="31C7F657"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§3.8  </w:t>
      </w:r>
      <w:r>
        <w:rPr>
          <w:rFonts w:ascii="Garamond" w:eastAsia="Garamond" w:hAnsi="Garamond" w:cs="Garamond"/>
          <w:i/>
          <w:iCs/>
          <w:color w:val="1B2A4A"/>
          <w:sz w:val="22"/>
          <w:szCs w:val="22"/>
        </w:rPr>
        <w:t>Legislative Oversight</w:t>
      </w:r>
    </w:p>
    <w:p w14:paraId="45413DAD" w14:textId="77777777" w:rsidR="0088569E" w:rsidRDefault="00000000" w:rsidP="0088569E">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consistent with §1.22; it does not extend to criminal conduct or acts the LM has assessed as constitutional breaches.</w:t>
      </w:r>
    </w:p>
    <w:p w14:paraId="07D07263" w14:textId="0CB2DFD2" w:rsidR="00AF3D56" w:rsidRDefault="00000000" w:rsidP="0088569E">
      <w:pPr>
        <w:spacing w:after="120"/>
        <w:ind w:left="431"/>
        <w:jc w:val="both"/>
      </w:pPr>
      <w:r>
        <w:rPr>
          <w:rFonts w:ascii="Courier New" w:eastAsia="Courier New" w:hAnsi="Courier New" w:cs="Courier New"/>
          <w:b/>
          <w:bCs/>
          <w:color w:val="2A2A2A"/>
          <w:sz w:val="18"/>
          <w:szCs w:val="18"/>
        </w:rPr>
        <w:t xml:space="preserve">§3.9  </w:t>
      </w:r>
      <w:r>
        <w:rPr>
          <w:rFonts w:ascii="Garamond" w:eastAsia="Garamond" w:hAnsi="Garamond" w:cs="Garamond"/>
          <w:i/>
          <w:iCs/>
          <w:color w:val="1B2A4A"/>
          <w:sz w:val="22"/>
          <w:szCs w:val="22"/>
        </w:rPr>
        <w:t>Independent Statutory Agencies</w:t>
      </w:r>
    </w:p>
    <w:p w14:paraId="62C10486" w14:textId="77777777" w:rsidR="00AF3D56" w:rsidRDefault="00000000">
      <w:pPr>
        <w:spacing w:after="120"/>
        <w:ind w:left="431"/>
        <w:jc w:val="both"/>
      </w:pPr>
      <w:r>
        <w:rPr>
          <w:rFonts w:ascii="Garamond" w:eastAsia="Garamond" w:hAnsi="Garamond" w:cs="Garamond"/>
          <w:color w:val="2A2A2A"/>
          <w:sz w:val="22"/>
          <w:szCs w:val="22"/>
        </w:rPr>
        <w:t>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 Qualification standards established by statute for appointment to a constitutionally mandated independent agency must be facially neutral and may not be designed to exclude otherwise qualified candidates on the basis of policy view, party affiliation, or prior public criticism of the Legislature or either executive.</w:t>
      </w:r>
    </w:p>
    <w:p w14:paraId="21D76A3D" w14:textId="77777777" w:rsidR="00AF3D56" w:rsidRDefault="00000000">
      <w:pPr>
        <w:spacing w:before="200" w:after="60"/>
        <w:ind w:left="431"/>
      </w:pPr>
      <w:r>
        <w:rPr>
          <w:rFonts w:ascii="Courier New" w:eastAsia="Courier New" w:hAnsi="Courier New" w:cs="Courier New"/>
          <w:b/>
          <w:bCs/>
          <w:color w:val="2A2A2A"/>
          <w:sz w:val="18"/>
          <w:szCs w:val="18"/>
        </w:rPr>
        <w:t xml:space="preserve">§3.10  </w:t>
      </w:r>
      <w:r>
        <w:rPr>
          <w:rFonts w:ascii="Garamond" w:eastAsia="Garamond" w:hAnsi="Garamond" w:cs="Garamond"/>
          <w:i/>
          <w:iCs/>
          <w:color w:val="1B2A4A"/>
          <w:sz w:val="22"/>
          <w:szCs w:val="22"/>
        </w:rPr>
        <w:t>Impeachment</w:t>
      </w:r>
    </w:p>
    <w:p w14:paraId="60136CAB" w14:textId="77777777" w:rsidR="00AF3D56" w:rsidRDefault="00000000">
      <w:pPr>
        <w:spacing w:after="120"/>
        <w:ind w:left="431"/>
        <w:jc w:val="both"/>
      </w:pPr>
      <w:r>
        <w:rPr>
          <w:rFonts w:ascii="Garamond" w:eastAsia="Garamond" w:hAnsi="Garamond" w:cs="Garamond"/>
          <w:color w:val="2A2A2A"/>
          <w:sz w:val="22"/>
          <w:szCs w:val="22"/>
        </w:rPr>
        <w:t>The Assembly may impeach officers serving in the Legat Consular domain and inferior court judges. The Legat Consul is removed exclusively under §2.13; the Civic Consul under §2.6; SC justices under §4.3.b; legislative members by their own chamber. A 1/3 Assembly minority may open an inquiry; full impeachment requires absolute majority of full seated membership. Articles of Impeachment are published permanently to the NRS and transmitted immediately to the Senate. The subject official continues in office pending the Senate trial, relieved of executive functions from the date of Assembly passage; the applicable succession and acting mechanisms under this constitution govern the exercise of any suspended functions. The Senate trial is public and recorded on the NRS. Conviction and removal requires 2/3 of full seated Senate membership; the Senate may additionally bar the convicted from future federal office by simple majority. Acquittal is final on the same conduct. Criminal liability remains separately pursuable.</w:t>
      </w:r>
    </w:p>
    <w:p w14:paraId="643CB309" w14:textId="77777777" w:rsidR="00AF3D56" w:rsidRDefault="00000000">
      <w:pPr>
        <w:spacing w:before="200" w:after="60"/>
        <w:ind w:left="431"/>
      </w:pPr>
      <w:r>
        <w:rPr>
          <w:rFonts w:ascii="Courier New" w:eastAsia="Courier New" w:hAnsi="Courier New" w:cs="Courier New"/>
          <w:b/>
          <w:bCs/>
          <w:color w:val="2A2A2A"/>
          <w:sz w:val="18"/>
          <w:szCs w:val="18"/>
        </w:rPr>
        <w:t xml:space="preserve">§3.11  </w:t>
      </w:r>
      <w:r>
        <w:rPr>
          <w:rFonts w:ascii="Garamond" w:eastAsia="Garamond" w:hAnsi="Garamond" w:cs="Garamond"/>
          <w:i/>
          <w:iCs/>
          <w:color w:val="1B2A4A"/>
          <w:sz w:val="22"/>
          <w:szCs w:val="22"/>
        </w:rPr>
        <w:t>Inviolability of Electoral Mandates</w:t>
      </w:r>
    </w:p>
    <w:p w14:paraId="07AD5516" w14:textId="77777777" w:rsidR="00AF3D56" w:rsidRDefault="00000000">
      <w:pPr>
        <w:spacing w:after="120"/>
        <w:ind w:left="431"/>
        <w:jc w:val="both"/>
      </w:pPr>
      <w:r>
        <w:rPr>
          <w:rFonts w:ascii="Garamond" w:eastAsia="Garamond" w:hAnsi="Garamond" w:cs="Garamond"/>
          <w:color w:val="2A2A2A"/>
          <w:sz w:val="22"/>
          <w:szCs w:val="22"/>
        </w:rPr>
        <w:t>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§3.2 or §3.5; and impeachment and removal under §3.10. Any mechanism enabling the people themselves to shorten an elected mandate not already provided in this Constitution requires a constitutional amendment under Article XVII and may not be established by ordinary statute. Expulsion, recall, and removal under any provision of this Constitution are civil and political processes; they do not constitute criminal or civil legal proceedings and do not protect the removed officer from criminal prosecution or civil liability for underlying conduct.</w:t>
      </w:r>
    </w:p>
    <w:p w14:paraId="1FA5E74A" w14:textId="77777777" w:rsidR="00AF3D56" w:rsidRDefault="00000000">
      <w:pPr>
        <w:spacing w:before="200" w:after="60"/>
        <w:ind w:left="431"/>
      </w:pPr>
      <w:r>
        <w:rPr>
          <w:rFonts w:ascii="Courier New" w:eastAsia="Courier New" w:hAnsi="Courier New" w:cs="Courier New"/>
          <w:b/>
          <w:bCs/>
          <w:color w:val="2A2A2A"/>
          <w:sz w:val="18"/>
          <w:szCs w:val="18"/>
        </w:rPr>
        <w:t xml:space="preserve">§3.12  </w:t>
      </w:r>
      <w:r>
        <w:rPr>
          <w:rFonts w:ascii="Garamond" w:eastAsia="Garamond" w:hAnsi="Garamond" w:cs="Garamond"/>
          <w:i/>
          <w:iCs/>
          <w:color w:val="1B2A4A"/>
          <w:sz w:val="22"/>
          <w:szCs w:val="22"/>
        </w:rPr>
        <w:t>Disqualifying Offense</w:t>
      </w:r>
    </w:p>
    <w:p w14:paraId="3AA6C17F" w14:textId="77777777" w:rsidR="00AF3D56" w:rsidRDefault="00000000">
      <w:pPr>
        <w:spacing w:after="120"/>
        <w:ind w:left="431"/>
        <w:jc w:val="both"/>
      </w:pPr>
      <w:r>
        <w:rPr>
          <w:rFonts w:ascii="Garamond" w:eastAsia="Garamond" w:hAnsi="Garamond" w:cs="Garamond"/>
          <w:color w:val="2A2A2A"/>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pardon granted under §2.12 does not restore constitutional eligibility unless the pardoning instrument expressly states that eligibility is restored and the EM publishes to the NRS that the pardoning instrument expressly states eligibility is restored. Where a conviction is </w:t>
        <w:lastRenderedPageBreak/>
        <w:t>under appeal at the time a relevant constitutional determination is made, the conviction stands for constitutional purposes unless and until it is reversed by a court of competent jurisdiction.</w:t>
      </w:r>
    </w:p>
    <w:p w14:paraId="2A5A0725" w14:textId="77777777" w:rsidR="00AF3D56" w:rsidRDefault="00000000">
      <w:pPr>
        <w:spacing w:before="200" w:after="60"/>
        <w:ind w:left="431"/>
      </w:pPr>
      <w:r>
        <w:rPr>
          <w:rFonts w:ascii="Courier New" w:eastAsia="Courier New" w:hAnsi="Courier New" w:cs="Courier New"/>
          <w:b/>
          <w:bCs/>
          <w:color w:val="2A2A2A"/>
          <w:sz w:val="18"/>
          <w:szCs w:val="18"/>
        </w:rPr>
        <w:t xml:space="preserve">§3.13  </w:t>
      </w:r>
      <w:r>
        <w:rPr>
          <w:rFonts w:ascii="Garamond" w:eastAsia="Garamond" w:hAnsi="Garamond" w:cs="Garamond"/>
          <w:i/>
          <w:iCs/>
          <w:color w:val="1B2A4A"/>
          <w:sz w:val="22"/>
          <w:szCs w:val="22"/>
        </w:rPr>
        <w:t>Continuity of Constitutionally Mandated Offices</w:t>
      </w:r>
    </w:p>
    <w:p w14:paraId="5AD0E065" w14:textId="77777777" w:rsidR="00AF3D56" w:rsidRDefault="00000000">
      <w:pPr>
        <w:spacing w:after="120"/>
        <w:ind w:left="431"/>
        <w:jc w:val="both"/>
      </w:pPr>
      <w:r>
        <w:rPr>
          <w:rFonts w:ascii="Garamond" w:eastAsia="Garamond" w:hAnsi="Garamond" w:cs="Garamond"/>
          <w:color w:val="2A2A2A"/>
          <w:sz w:val="22"/>
          <w:szCs w:val="22"/>
        </w:rPr>
        <w:t>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14:paraId="1A3D673F" w14:textId="77777777" w:rsidR="00AF3D56" w:rsidRDefault="00000000">
      <w:pPr>
        <w:spacing w:before="200" w:after="60"/>
        <w:ind w:left="431"/>
      </w:pPr>
      <w:r>
        <w:rPr>
          <w:rFonts w:ascii="Courier New" w:eastAsia="Courier New" w:hAnsi="Courier New" w:cs="Courier New"/>
          <w:b/>
          <w:bCs/>
          <w:color w:val="2A2A2A"/>
          <w:sz w:val="18"/>
          <w:szCs w:val="18"/>
        </w:rPr>
        <w:t xml:space="preserve">§3.14  </w:t>
      </w:r>
      <w:r>
        <w:rPr>
          <w:rFonts w:ascii="Garamond" w:eastAsia="Garamond" w:hAnsi="Garamond" w:cs="Garamond"/>
          <w:i/>
          <w:iCs/>
          <w:color w:val="1B2A4A"/>
          <w:sz w:val="22"/>
          <w:szCs w:val="22"/>
        </w:rPr>
        <w:t>Federal Legislative Competence</w:t>
      </w:r>
    </w:p>
    <w:p w14:paraId="40AEAC96" w14:textId="77777777" w:rsidR="00AF3D56" w:rsidRDefault="00000000">
      <w:pPr>
        <w:spacing w:after="120"/>
        <w:ind w:left="431"/>
        <w:jc w:val="both"/>
      </w:pPr>
      <w:r>
        <w:rPr>
          <w:rFonts w:ascii="Garamond" w:eastAsia="Garamond" w:hAnsi="Garamond" w:cs="Garamond"/>
          <w:color w:val="2A2A2A"/>
          <w:sz w:val="22"/>
          <w:szCs w:val="22"/>
        </w:rPr>
        <w:t>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 Where this Constitution directs that a function, standard, procedure, or framework be established, defined, or regulated, that obligation is fulfilled by statute unless this Constitution specifies otherwise. No executive or administrative act may substitute for legislation where this Constitution requires statutory action.</w:t>
      </w:r>
    </w:p>
    <w:p w14:paraId="081FC206" w14:textId="77777777" w:rsidR="00AF3D56" w:rsidRDefault="00000000">
      <w:pPr>
        <w:spacing w:before="200" w:after="60"/>
        <w:ind w:left="431"/>
      </w:pPr>
      <w:r>
        <w:rPr>
          <w:rFonts w:ascii="Courier New" w:eastAsia="Courier New" w:hAnsi="Courier New" w:cs="Courier New"/>
          <w:b/>
          <w:bCs/>
          <w:color w:val="2A2A2A"/>
          <w:sz w:val="18"/>
          <w:szCs w:val="18"/>
        </w:rPr>
        <w:t xml:space="preserve">§3.15  </w:t>
      </w:r>
      <w:r>
        <w:rPr>
          <w:rFonts w:ascii="Garamond" w:eastAsia="Garamond" w:hAnsi="Garamond" w:cs="Garamond"/>
          <w:i/>
          <w:iCs/>
          <w:color w:val="1B2A4A"/>
          <w:sz w:val="22"/>
          <w:szCs w:val="22"/>
        </w:rPr>
        <w:t>Delegation of Authority</w:t>
      </w:r>
    </w:p>
    <w:p w14:paraId="45631741" w14:textId="77777777" w:rsidR="00AF3D56" w:rsidRDefault="00000000">
      <w:pPr>
        <w:spacing w:after="120"/>
        <w:ind w:left="431"/>
        <w:jc w:val="both"/>
      </w:pPr>
      <w:r>
        <w:rPr>
          <w:rFonts w:ascii="Garamond" w:eastAsia="Garamond" w:hAnsi="Garamond" w:cs="Garamond"/>
          <w:color w:val="2A2A2A"/>
          <w:sz w:val="22"/>
          <w:szCs w:val="22"/>
        </w:rPr>
        <w:t>The Legislature may by statute delegate defined authorities within its legislative competence to the Legat Consul, the Civic Consul, or independent agencies established under §3.9. Any delegation must specify the exact scope of authority delegated, the conditions on its exercise, and a maximum duration not to exceed the term of the Legislature that enacted it. The Legislature may rescind any delegation by simple majority of both chambers at any time; no recipient of delegated authority may obstruct or condition rescission. No delegation creates a permanent transfer of legislative competence. Every exercise of delegated authority is published to the NRS with attribution to both the legislative grant and the recipient's act. The EM audits the exercise of all delegated executive authority annually and publishes findings to the NRS.</w:t>
      </w:r>
    </w:p>
    <w:p w14:paraId="057FDF80"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IV — The Judicial Architecture</w:t>
      </w:r>
    </w:p>
    <w:p w14:paraId="15ADDE89" w14:textId="77777777" w:rsidR="00AF3D56" w:rsidRDefault="00000000">
      <w:pPr>
        <w:spacing w:before="200" w:after="60"/>
        <w:ind w:left="431"/>
      </w:pPr>
      <w:r>
        <w:rPr>
          <w:rFonts w:ascii="Courier New" w:eastAsia="Courier New" w:hAnsi="Courier New" w:cs="Courier New"/>
          <w:b/>
          <w:bCs/>
          <w:color w:val="2A2A2A"/>
          <w:sz w:val="18"/>
          <w:szCs w:val="18"/>
        </w:rPr>
        <w:t xml:space="preserve">§4.1  </w:t>
      </w:r>
      <w:r>
        <w:rPr>
          <w:rFonts w:ascii="Garamond" w:eastAsia="Garamond" w:hAnsi="Garamond" w:cs="Garamond"/>
          <w:i/>
          <w:iCs/>
          <w:color w:val="1B2A4A"/>
          <w:sz w:val="22"/>
          <w:szCs w:val="22"/>
        </w:rPr>
        <w:t>Court Structure</w:t>
      </w:r>
    </w:p>
    <w:p w14:paraId="4A3EE79D" w14:textId="77777777" w:rsidR="00AF3D56" w:rsidRDefault="00000000">
      <w:pPr>
        <w:spacing w:after="120"/>
        <w:ind w:left="431"/>
        <w:jc w:val="both"/>
      </w:pPr>
      <w:r>
        <w:rPr>
          <w:rFonts w:ascii="Garamond" w:eastAsia="Garamond" w:hAnsi="Garamond" w:cs="Garamond"/>
          <w:color w:val="2A2A2A"/>
          <w:sz w:val="22"/>
          <w:szCs w:val="22"/>
        </w:rPr>
        <w:t>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14:paraId="6A485490" w14:textId="77777777" w:rsidR="00AF3D56" w:rsidRDefault="00000000">
      <w:pPr>
        <w:spacing w:before="200" w:after="60"/>
        <w:ind w:left="431"/>
      </w:pPr>
      <w:r>
        <w:rPr>
          <w:rFonts w:ascii="Courier New" w:eastAsia="Courier New" w:hAnsi="Courier New" w:cs="Courier New"/>
          <w:b/>
          <w:bCs/>
          <w:color w:val="2A2A2A"/>
          <w:sz w:val="18"/>
          <w:szCs w:val="18"/>
        </w:rPr>
        <w:t xml:space="preserve">§4.2  </w:t>
      </w:r>
      <w:r>
        <w:rPr>
          <w:rFonts w:ascii="Garamond" w:eastAsia="Garamond" w:hAnsi="Garamond" w:cs="Garamond"/>
          <w:i/>
          <w:iCs/>
          <w:color w:val="1B2A4A"/>
          <w:sz w:val="22"/>
          <w:szCs w:val="22"/>
        </w:rPr>
        <w:t>Judicial Appointments and Independence</w:t>
      </w:r>
    </w:p>
    <w:p w14:paraId="73E1130B" w14:textId="77777777" w:rsidR="00AF3D56" w:rsidRDefault="00000000">
      <w:pPr>
        <w:spacing w:after="120"/>
        <w:ind w:left="431"/>
        <w:jc w:val="both"/>
      </w:pPr>
      <w:r>
        <w:rPr>
          <w:rFonts w:ascii="Garamond" w:eastAsia="Garamond" w:hAnsi="Garamond" w:cs="Garamond"/>
          <w:color w:val="2A2A2A"/>
          <w:sz w:val="22"/>
          <w:szCs w:val="22"/>
        </w:rPr>
        <w:t>Any citizen meeting the eligibility criteria established in §9.4.b may apply to the Elections Panel to enter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 The Civic Consul nominates inferior court judges from the Judicial Pool maintained by the Elections Panel under §9.12. The Civic Consul must nominate within the period defined by statute following a vacancy, not to exceed 90 days where no statutory period has been defined. The Senate confirms by a 2/3 supermajority.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14:paraId="1CA47B11" w14:textId="77777777" w:rsidR="00AF3D56" w:rsidRDefault="00000000">
      <w:pPr>
        <w:spacing w:before="200" w:after="60"/>
        <w:ind w:left="431"/>
      </w:pPr>
      <w:r>
        <w:rPr>
          <w:rFonts w:ascii="Courier New" w:eastAsia="Courier New" w:hAnsi="Courier New" w:cs="Courier New"/>
          <w:b/>
          <w:bCs/>
          <w:color w:val="2A2A2A"/>
          <w:sz w:val="18"/>
          <w:szCs w:val="18"/>
        </w:rPr>
        <w:t xml:space="preserve">§4.3  </w:t>
      </w:r>
      <w:r>
        <w:rPr>
          <w:rFonts w:ascii="Garamond" w:eastAsia="Garamond" w:hAnsi="Garamond" w:cs="Garamond"/>
          <w:i/>
          <w:iCs/>
          <w:color w:val="1B2A4A"/>
          <w:sz w:val="22"/>
          <w:szCs w:val="22"/>
        </w:rPr>
        <w:t>The Supreme Court</w:t>
      </w:r>
    </w:p>
    <w:p w14:paraId="6D120E92" w14:textId="77777777" w:rsidR="00AF3D56" w:rsidRDefault="00000000">
      <w:pPr>
        <w:spacing w:after="120"/>
        <w:ind w:left="431"/>
        <w:jc w:val="both"/>
      </w:pPr>
      <w:r>
        <w:rPr>
          <w:rFonts w:ascii="Garamond" w:eastAsia="Garamond" w:hAnsi="Garamond" w:cs="Garamond"/>
          <w:color w:val="2A2A2A"/>
          <w:sz w:val="22"/>
          <w:szCs w:val="22"/>
        </w:rPr>
        <w:t>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 A majority of the SC's seated justices — including any Temporary Associate Justices — constitutes quorum for ordinary decisions. Constitutional questions require a minimum of five justices regardless of total seated membership.</w:t>
      </w:r>
    </w:p>
    <w:p w14:paraId="68C5D73F" w14:textId="77777777" w:rsidR="00AF3D56" w:rsidRDefault="00000000">
      <w:pPr>
        <w:spacing w:before="200" w:after="60"/>
        <w:ind w:left="431"/>
      </w:pPr>
      <w:r>
        <w:rPr>
          <w:rFonts w:ascii="Courier New" w:eastAsia="Courier New" w:hAnsi="Courier New" w:cs="Courier New"/>
          <w:b/>
          <w:bCs/>
          <w:color w:val="2A2A2A"/>
          <w:sz w:val="18"/>
          <w:szCs w:val="18"/>
        </w:rPr>
        <w:t xml:space="preserve">§4.3.b  </w:t>
      </w:r>
      <w:r>
        <w:rPr>
          <w:rFonts w:ascii="Garamond" w:eastAsia="Garamond" w:hAnsi="Garamond" w:cs="Garamond"/>
          <w:i/>
          <w:iCs/>
          <w:color w:val="1B2A4A"/>
          <w:sz w:val="22"/>
          <w:szCs w:val="22"/>
        </w:rPr>
        <w:t>Supreme Court Justice Removal</w:t>
      </w:r>
    </w:p>
    <w:p w14:paraId="08DF6E6C" w14:textId="77777777" w:rsidR="00AF3D56" w:rsidRDefault="00000000">
      <w:pPr>
        <w:spacing w:after="120"/>
        <w:ind w:left="431"/>
        <w:jc w:val="both"/>
      </w:pPr>
      <w:r>
        <w:rPr>
          <w:rFonts w:ascii="Garamond" w:eastAsia="Garamond" w:hAnsi="Garamond" w:cs="Garamond"/>
          <w:color w:val="2A2A2A"/>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under §4.5; the SC must rule within 48 hours of petition. Judicial disagreement — however profound — does not constitute grounds for removal; the independence </w:t>
        <w:lastRenderedPageBreak/>
        <w:t>of SC judicial judgment is absolute and may not itself be invoked as grounds for removal. Upon removal, the most senior Appellate Court judge auto-designates as Temporary Associate Justice under §4.4 until the vacancy is filled.</w:t>
      </w:r>
    </w:p>
    <w:p w14:paraId="7E9BD33D" w14:textId="77777777" w:rsidR="00AF3D56" w:rsidRDefault="00000000">
      <w:pPr>
        <w:spacing w:before="200" w:after="60"/>
        <w:ind w:left="431"/>
      </w:pPr>
      <w:r>
        <w:rPr>
          <w:rFonts w:ascii="Courier New" w:eastAsia="Courier New" w:hAnsi="Courier New" w:cs="Courier New"/>
          <w:b/>
          <w:bCs/>
          <w:color w:val="2A2A2A"/>
          <w:sz w:val="18"/>
          <w:szCs w:val="18"/>
        </w:rPr>
        <w:t xml:space="preserve">§4.4  </w:t>
      </w:r>
      <w:r>
        <w:rPr>
          <w:rFonts w:ascii="Garamond" w:eastAsia="Garamond" w:hAnsi="Garamond" w:cs="Garamond"/>
          <w:i/>
          <w:iCs/>
          <w:color w:val="1B2A4A"/>
          <w:sz w:val="22"/>
          <w:szCs w:val="22"/>
        </w:rPr>
        <w:t>Supreme Court Selection</w:t>
      </w:r>
    </w:p>
    <w:p w14:paraId="3B03B93B" w14:textId="77777777" w:rsidR="00AF3D56" w:rsidRDefault="00000000">
      <w:pPr>
        <w:spacing w:after="120"/>
        <w:ind w:left="431"/>
        <w:jc w:val="both"/>
      </w:pPr>
      <w:r>
        <w:rPr>
          <w:rFonts w:ascii="Garamond" w:eastAsia="Garamond" w:hAnsi="Garamond" w:cs="Garamond"/>
          <w:color w:val="2A2A2A"/>
          <w:sz w:val="22"/>
          <w:szCs w:val="22"/>
        </w:rPr>
        <w:t>SC justices are nominated by the Civic Consul from the Judicial Pool maintained by the Elections Panel under §9.12 — any pool member meeting the statutory qualifications for Supreme Court appointment is eligible for SC nomination.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of an LM assessment of constitutional breach under this section, the Senate may select a nominee directly from the Judicial Pool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Upon any SC vacancy, the most senior Appellate Court judge by continuous service is automatically designated Temporary Associate Justice within 5 days — without nomination or confirmation — holding full voting rights until the vacancy is filled; where two or more Appellate Court judges have equal continuous service, the oldest by age is designated. The Civic Consul may not nominate a serving Temporary Associate Justice for the seat they are temporarily filling through the ordinary appointment process under this section; this bar does not affect placement on a public confirmation ballot under §4.4.a.</w:t>
      </w:r>
    </w:p>
    <w:p w14:paraId="18E5DFD5" w14:textId="77777777" w:rsidR="00AF3D56" w:rsidRDefault="00000000">
      <w:pPr>
        <w:spacing w:before="200" w:after="60"/>
        <w:ind w:left="431"/>
      </w:pPr>
      <w:r>
        <w:rPr>
          <w:rFonts w:ascii="Courier New" w:eastAsia="Courier New" w:hAnsi="Courier New" w:cs="Courier New"/>
          <w:b/>
          <w:bCs/>
          <w:color w:val="2A2A2A"/>
          <w:sz w:val="18"/>
          <w:szCs w:val="18"/>
        </w:rPr>
        <w:t xml:space="preserve">§4.4.a  </w:t>
      </w:r>
      <w:r>
        <w:rPr>
          <w:rFonts w:ascii="Garamond" w:eastAsia="Garamond" w:hAnsi="Garamond" w:cs="Garamond"/>
          <w:i/>
          <w:iCs/>
          <w:color w:val="1B2A4A"/>
          <w:sz w:val="22"/>
          <w:szCs w:val="22"/>
        </w:rPr>
        <w:t>Senate Bypass — Public Confirmation</w:t>
      </w:r>
    </w:p>
    <w:p w14:paraId="45C8A839" w14:textId="77777777" w:rsidR="00AF3D56" w:rsidRDefault="00000000">
      <w:pPr>
        <w:spacing w:after="120"/>
        <w:ind w:left="431"/>
        <w:jc w:val="both"/>
      </w:pPr>
      <w:r>
        <w:rPr>
          <w:rFonts w:ascii="Garamond" w:eastAsia="Garamond" w:hAnsi="Garamond" w:cs="Garamond"/>
          <w:color w:val="2A2A2A"/>
          <w:sz w:val="22"/>
          <w:szCs w:val="22"/>
        </w:rPr>
        <w:t>Where the LM has assessed and reported a Senate breach under §4.4, the Civic Consul may — with 2/3 Assembly consent — place the serving Temporary Associate Justice on the next federal electoral period ballot for public confirmation. Confirmation requires 60% of votes cast under §7.4;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Judicial Pool nominee before the public vote is certified ends the bypass immediately. The Temporary Associate Justice may advocate for their own confirmation once placed on the ballot under this section. A public confirmation vote under this section is not an election; §8.1’s electoral finance framework does not apply. Rules governing advocacy conduct, contributions, and disclosure during a public confirmation vote are defined by statute, which must maintain the foreign contribution prohibition and disclosure requirements consistent with the principles of §8.1.</w:t>
      </w:r>
    </w:p>
    <w:p w14:paraId="3DEA753D" w14:textId="77777777" w:rsidR="00AF3D56" w:rsidRDefault="00000000">
      <w:pPr>
        <w:spacing w:before="200" w:after="60"/>
        <w:ind w:left="431"/>
      </w:pPr>
      <w:r>
        <w:rPr>
          <w:rFonts w:ascii="Courier New" w:eastAsia="Courier New" w:hAnsi="Courier New" w:cs="Courier New"/>
          <w:b/>
          <w:bCs/>
          <w:color w:val="2A2A2A"/>
          <w:sz w:val="18"/>
          <w:szCs w:val="18"/>
        </w:rPr>
        <w:t xml:space="preserve">§4.5  </w:t>
      </w:r>
      <w:r>
        <w:rPr>
          <w:rFonts w:ascii="Garamond" w:eastAsia="Garamond" w:hAnsi="Garamond" w:cs="Garamond"/>
          <w:i/>
          <w:iCs/>
          <w:color w:val="1B2A4A"/>
          <w:sz w:val="22"/>
          <w:szCs w:val="22"/>
        </w:rPr>
        <w:t>Judicial Review and Scope</w:t>
      </w:r>
    </w:p>
    <w:p w14:paraId="66A07987" w14:textId="77777777" w:rsidR="00AF3D56" w:rsidRDefault="00000000">
      <w:pPr>
        <w:spacing w:after="120"/>
        <w:ind w:left="431"/>
        <w:jc w:val="both"/>
      </w:pPr>
      <w:r>
        <w:rPr>
          <w:rFonts w:ascii="Garamond" w:eastAsia="Garamond" w:hAnsi="Garamond" w:cs="Garamond"/>
          <w:color w:val="2A2A2A"/>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w:t>
        <w:lastRenderedPageBreak/>
        <w:t>disputes between States, between a State and the federal government, and constitutional challenges to federal statutes; disputes between the Legat Consul and Civic Consul concerning their respective constitutional domains under §2.1; constitutional challenges involving constitutionally independent institutions where their independence protections make inferior court review structurally inappropriate; emergency rights claims brought directly under §16.5; and disputes over the consistency of ratified amendments with entrenched provisions under §17.3.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 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 Where this Constitution establishes a deadline for an SC ruling, a majority of seated justices may file an extension request within that period specifying the reason and additional time required, published to the NRS; the maximum extension is defined by statute, not to exceed 30 days per extension. The SC may issue interim protective orders of limited scope in matters within its original jurisdiction where delay would cause irreparable harm pending its full ruling, published to the NRS. The SC’s failure to rule within any constitutionally required period produces no substantive constitutional outcome by operation of that failure; the petitioning party may reinitiate under any procedure applicable to the underlying matter.</w:t>
      </w:r>
    </w:p>
    <w:p w14:paraId="35631E1D" w14:textId="77777777" w:rsidR="00AF3D56" w:rsidRDefault="00000000">
      <w:pPr>
        <w:spacing w:before="200" w:after="60"/>
        <w:ind w:left="431"/>
      </w:pPr>
      <w:r>
        <w:rPr>
          <w:rFonts w:ascii="Courier New" w:eastAsia="Courier New" w:hAnsi="Courier New" w:cs="Courier New"/>
          <w:b/>
          <w:bCs/>
          <w:color w:val="2A2A2A"/>
          <w:sz w:val="18"/>
          <w:szCs w:val="18"/>
        </w:rPr>
        <w:t xml:space="preserve">§4.6  </w:t>
      </w:r>
      <w:r>
        <w:rPr>
          <w:rFonts w:ascii="Garamond" w:eastAsia="Garamond" w:hAnsi="Garamond" w:cs="Garamond"/>
          <w:i/>
          <w:iCs/>
          <w:color w:val="1B2A4A"/>
          <w:sz w:val="22"/>
          <w:szCs w:val="22"/>
        </w:rPr>
        <w:t>Judgment Recognition</w:t>
      </w:r>
    </w:p>
    <w:p w14:paraId="368711DB" w14:textId="77777777" w:rsidR="00AF3D56" w:rsidRDefault="00000000">
      <w:pPr>
        <w:spacing w:after="120"/>
        <w:ind w:left="431"/>
        <w:jc w:val="both"/>
      </w:pPr>
      <w:r>
        <w:rPr>
          <w:rFonts w:ascii="Garamond" w:eastAsia="Garamond" w:hAnsi="Garamond" w:cs="Garamond"/>
          <w:color w:val="2A2A2A"/>
          <w:sz w:val="22"/>
          <w:szCs w:val="22"/>
        </w:rPr>
        <w:t>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14:paraId="76C4D7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 — Citizenship and National Identity</w:t>
      </w:r>
    </w:p>
    <w:p w14:paraId="789793C2" w14:textId="77777777" w:rsidR="00AF3D56" w:rsidRDefault="00000000">
      <w:pPr>
        <w:spacing w:before="200" w:after="60"/>
        <w:ind w:left="431"/>
      </w:pPr>
      <w:r>
        <w:rPr>
          <w:rFonts w:ascii="Courier New" w:eastAsia="Courier New" w:hAnsi="Courier New" w:cs="Courier New"/>
          <w:b/>
          <w:bCs/>
          <w:color w:val="2A2A2A"/>
          <w:sz w:val="18"/>
          <w:szCs w:val="18"/>
        </w:rPr>
        <w:t xml:space="preserve">§5.1  </w:t>
      </w:r>
      <w:r>
        <w:rPr>
          <w:rFonts w:ascii="Garamond" w:eastAsia="Garamond" w:hAnsi="Garamond" w:cs="Garamond"/>
          <w:i/>
          <w:iCs/>
          <w:color w:val="1B2A4A"/>
          <w:sz w:val="22"/>
          <w:szCs w:val="22"/>
        </w:rPr>
        <w:t>Citizenship</w:t>
      </w:r>
    </w:p>
    <w:p w14:paraId="6A0C73D5" w14:textId="77777777" w:rsidR="00AF3D56" w:rsidRDefault="00000000">
      <w:pPr>
        <w:spacing w:after="120"/>
        <w:ind w:left="431"/>
        <w:jc w:val="both"/>
      </w:pPr>
      <w:r>
        <w:rPr>
          <w:rFonts w:ascii="Garamond" w:eastAsia="Garamond" w:hAnsi="Garamond" w:cs="Garamond"/>
          <w:color w:val="2A2A2A"/>
          <w:sz w:val="22"/>
          <w:szCs w:val="22"/>
        </w:rPr>
        <w:t>Citizenship is acquired by birth, by parentage, or by naturalization. A child is automatically a citizen if at least one parent is a citizen or legal resident at birth. Citizens acquire their full citizenship rights, including the right to vote and stand for office, at 18. Citizenship may not be stripped from a natural-born citizen. Where a child born on Republic territory would hold no other citizenship, or would otherwise be stateless regardless of birthplace, citizenship is granted from birth. 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 A child born before a parent acquired legal residency or citizenship, who accompanies that parent to the Republic within a Legislature-defined window, receives derivative status.</w:t>
      </w:r>
    </w:p>
    <w:p w14:paraId="7AC4A40B" w14:textId="77777777" w:rsidR="00AF3D56" w:rsidRDefault="00000000">
      <w:pPr>
        <w:spacing w:before="200" w:after="60"/>
        <w:ind w:left="431"/>
      </w:pPr>
      <w:r>
        <w:rPr>
          <w:rFonts w:ascii="Courier New" w:eastAsia="Courier New" w:hAnsi="Courier New" w:cs="Courier New"/>
          <w:b/>
          <w:bCs/>
          <w:color w:val="2A2A2A"/>
          <w:sz w:val="18"/>
          <w:szCs w:val="18"/>
        </w:rPr>
        <w:t xml:space="preserve">§5.2  </w:t>
      </w:r>
      <w:r>
        <w:rPr>
          <w:rFonts w:ascii="Garamond" w:eastAsia="Garamond" w:hAnsi="Garamond" w:cs="Garamond"/>
          <w:i/>
          <w:iCs/>
          <w:color w:val="1B2A4A"/>
          <w:sz w:val="22"/>
          <w:szCs w:val="22"/>
        </w:rPr>
        <w:t>Legal Resident Rights</w:t>
      </w:r>
    </w:p>
    <w:p w14:paraId="64D628E3" w14:textId="77777777" w:rsidR="00AF3D56" w:rsidRDefault="00000000">
      <w:pPr>
        <w:spacing w:after="120"/>
        <w:ind w:left="431"/>
        <w:jc w:val="both"/>
      </w:pPr>
      <w:r>
        <w:rPr>
          <w:rFonts w:ascii="Garamond" w:eastAsia="Garamond" w:hAnsi="Garamond" w:cs="Garamond"/>
          <w:color w:val="2A2A2A"/>
          <w:sz w:val="22"/>
          <w:szCs w:val="22"/>
        </w:rPr>
        <w:t>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14:paraId="06EB8614" w14:textId="77777777" w:rsidR="00AF3D56" w:rsidRDefault="00000000">
      <w:pPr>
        <w:spacing w:before="200" w:after="60"/>
        <w:ind w:left="431"/>
      </w:pPr>
      <w:r>
        <w:rPr>
          <w:rFonts w:ascii="Courier New" w:eastAsia="Courier New" w:hAnsi="Courier New" w:cs="Courier New"/>
          <w:b/>
          <w:bCs/>
          <w:color w:val="2A2A2A"/>
          <w:sz w:val="18"/>
          <w:szCs w:val="18"/>
        </w:rPr>
        <w:t xml:space="preserve">§5.3  </w:t>
      </w:r>
      <w:r>
        <w:rPr>
          <w:rFonts w:ascii="Garamond" w:eastAsia="Garamond" w:hAnsi="Garamond" w:cs="Garamond"/>
          <w:i/>
          <w:iCs/>
          <w:color w:val="1B2A4A"/>
          <w:sz w:val="22"/>
          <w:szCs w:val="22"/>
        </w:rPr>
        <w:t>Custodial Care of Citizen Children</w:t>
      </w:r>
    </w:p>
    <w:p w14:paraId="1483592D" w14:textId="77777777" w:rsidR="00AF3D56" w:rsidRDefault="00000000">
      <w:pPr>
        <w:spacing w:after="120"/>
        <w:ind w:left="431"/>
        <w:jc w:val="both"/>
      </w:pPr>
      <w:r>
        <w:rPr>
          <w:rFonts w:ascii="Garamond" w:eastAsia="Garamond" w:hAnsi="Garamond" w:cs="Garamond"/>
          <w:color w:val="2A2A2A"/>
          <w:sz w:val="22"/>
          <w:szCs w:val="22"/>
        </w:rPr>
        <w:t>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14:paraId="0E00D7C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 — Immigration and Residency</w:t>
      </w:r>
    </w:p>
    <w:p w14:paraId="51620119" w14:textId="77777777" w:rsidR="00AF3D56" w:rsidRDefault="00000000">
      <w:pPr>
        <w:spacing w:before="200" w:after="60"/>
        <w:ind w:left="431"/>
      </w:pPr>
      <w:r>
        <w:rPr>
          <w:rFonts w:ascii="Courier New" w:eastAsia="Courier New" w:hAnsi="Courier New" w:cs="Courier New"/>
          <w:b/>
          <w:bCs/>
          <w:color w:val="2A2A2A"/>
          <w:sz w:val="18"/>
          <w:szCs w:val="18"/>
        </w:rPr>
        <w:t xml:space="preserve">§6.1  </w:t>
      </w:r>
      <w:r>
        <w:rPr>
          <w:rFonts w:ascii="Garamond" w:eastAsia="Garamond" w:hAnsi="Garamond" w:cs="Garamond"/>
          <w:i/>
          <w:iCs/>
          <w:color w:val="1B2A4A"/>
          <w:sz w:val="22"/>
          <w:szCs w:val="22"/>
        </w:rPr>
        <w:t>The Two-Stage Immigration System</w:t>
      </w:r>
    </w:p>
    <w:p w14:paraId="37D0EAD5" w14:textId="77777777" w:rsidR="00AF3D56" w:rsidRDefault="00000000">
      <w:pPr>
        <w:spacing w:after="120"/>
        <w:ind w:left="431"/>
        <w:jc w:val="both"/>
      </w:pPr>
      <w:r>
        <w:rPr>
          <w:rFonts w:ascii="Garamond" w:eastAsia="Garamond" w:hAnsi="Garamond" w:cs="Garamond"/>
          <w:color w:val="2A2A2A"/>
          <w:sz w:val="22"/>
          <w:szCs w:val="22"/>
        </w:rPr>
        <w:t>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Legat Consul must ministerially issue residency credentials; interference with credential issuance by the Legat Consul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14:paraId="64CDC38B" w14:textId="77777777" w:rsidR="00AF3D56" w:rsidRDefault="00000000">
      <w:pPr>
        <w:spacing w:before="200" w:after="60"/>
        <w:ind w:left="431"/>
      </w:pPr>
      <w:r>
        <w:rPr>
          <w:rFonts w:ascii="Courier New" w:eastAsia="Courier New" w:hAnsi="Courier New" w:cs="Courier New"/>
          <w:b/>
          <w:bCs/>
          <w:color w:val="2A2A2A"/>
          <w:sz w:val="18"/>
          <w:szCs w:val="18"/>
        </w:rPr>
        <w:t xml:space="preserve">§6.2  </w:t>
      </w:r>
      <w:r>
        <w:rPr>
          <w:rFonts w:ascii="Garamond" w:eastAsia="Garamond" w:hAnsi="Garamond" w:cs="Garamond"/>
          <w:i/>
          <w:iCs/>
          <w:color w:val="1B2A4A"/>
          <w:sz w:val="22"/>
          <w:szCs w:val="22"/>
        </w:rPr>
        <w:t>Enforcement, Removal, and Appeals</w:t>
      </w:r>
    </w:p>
    <w:p w14:paraId="44D3A75A" w14:textId="77777777" w:rsidR="00AF3D56" w:rsidRDefault="00000000">
      <w:pPr>
        <w:spacing w:after="120"/>
        <w:ind w:left="431"/>
        <w:jc w:val="both"/>
      </w:pPr>
      <w:r>
        <w:rPr>
          <w:rFonts w:ascii="Garamond" w:eastAsia="Garamond" w:hAnsi="Garamond" w:cs="Garamond"/>
          <w:color w:val="2A2A2A"/>
          <w:sz w:val="22"/>
          <w:szCs w:val="22"/>
        </w:rPr>
        <w:t>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Court decisions on State sponsorship challenges brought on §1.6 grounds are published to the NRS; personally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14:paraId="06C80B34" w14:textId="77777777" w:rsidR="00AF3D56" w:rsidRDefault="00000000">
      <w:pPr>
        <w:spacing w:before="200" w:after="60"/>
        <w:ind w:left="431"/>
      </w:pPr>
      <w:r>
        <w:rPr>
          <w:rFonts w:ascii="Courier New" w:eastAsia="Courier New" w:hAnsi="Courier New" w:cs="Courier New"/>
          <w:b/>
          <w:bCs/>
          <w:color w:val="2A2A2A"/>
          <w:sz w:val="18"/>
          <w:szCs w:val="18"/>
        </w:rPr>
        <w:t xml:space="preserve">§6.3  </w:t>
      </w:r>
      <w:r>
        <w:rPr>
          <w:rFonts w:ascii="Garamond" w:eastAsia="Garamond" w:hAnsi="Garamond" w:cs="Garamond"/>
          <w:i/>
          <w:iCs/>
          <w:color w:val="1B2A4A"/>
          <w:sz w:val="22"/>
          <w:szCs w:val="22"/>
        </w:rPr>
        <w:t>Asylum and Protection</w:t>
      </w:r>
    </w:p>
    <w:p w14:paraId="436285C2" w14:textId="77777777" w:rsidR="00AF3D56" w:rsidRDefault="00000000">
      <w:pPr>
        <w:spacing w:after="120"/>
        <w:ind w:left="431"/>
        <w:jc w:val="both"/>
      </w:pPr>
      <w:r>
        <w:rPr>
          <w:rFonts w:ascii="Garamond" w:eastAsia="Garamond" w:hAnsi="Garamond" w:cs="Garamond"/>
          <w:color w:val="2A2A2A"/>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 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 An unaccompanied minor arriving in the Republic is an </w:t>
        <w:lastRenderedPageBreak/>
        <w:t>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w:t>
      </w:r>
    </w:p>
    <w:p w14:paraId="35B24256" w14:textId="77777777" w:rsidR="00AF3D56" w:rsidRDefault="00000000">
      <w:pPr>
        <w:spacing w:before="200" w:after="60"/>
        <w:ind w:left="431"/>
      </w:pPr>
      <w:r>
        <w:rPr>
          <w:rFonts w:ascii="Courier New" w:eastAsia="Courier New" w:hAnsi="Courier New" w:cs="Courier New"/>
          <w:b/>
          <w:bCs/>
          <w:color w:val="2A2A2A"/>
          <w:sz w:val="18"/>
          <w:szCs w:val="18"/>
        </w:rPr>
        <w:t xml:space="preserve">§6.3.b  </w:t>
      </w:r>
      <w:r>
        <w:rPr>
          <w:rFonts w:ascii="Garamond" w:eastAsia="Garamond" w:hAnsi="Garamond" w:cs="Garamond"/>
          <w:i/>
          <w:iCs/>
          <w:color w:val="1B2A4A"/>
          <w:sz w:val="22"/>
          <w:szCs w:val="22"/>
        </w:rPr>
        <w:t>Unresolvable and Security Cases</w:t>
      </w:r>
    </w:p>
    <w:p w14:paraId="12A7B570" w14:textId="77777777" w:rsidR="00AF3D56" w:rsidRDefault="00000000">
      <w:pPr>
        <w:spacing w:after="120"/>
        <w:ind w:left="431"/>
        <w:jc w:val="both"/>
      </w:pPr>
      <w:r>
        <w:rPr>
          <w:rFonts w:ascii="Garamond" w:eastAsia="Garamond" w:hAnsi="Garamond" w:cs="Garamond"/>
          <w:color w:val="2A2A2A"/>
          <w:sz w:val="22"/>
          <w:szCs w:val="22"/>
        </w:rPr>
        <w:t>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no detention beyond 5 years without annual judicial review by the court with active jurisdiction over the case.</w:t>
      </w:r>
    </w:p>
    <w:p w14:paraId="46E8352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 — Elections</w:t>
      </w:r>
    </w:p>
    <w:p w14:paraId="554BB3C4" w14:textId="77777777" w:rsidR="00AF3D56" w:rsidRDefault="00000000">
      <w:pPr>
        <w:spacing w:before="200" w:after="60"/>
        <w:ind w:left="431"/>
      </w:pPr>
      <w:r>
        <w:rPr>
          <w:rFonts w:ascii="Courier New" w:eastAsia="Courier New" w:hAnsi="Courier New" w:cs="Courier New"/>
          <w:b/>
          <w:bCs/>
          <w:color w:val="2A2A2A"/>
          <w:sz w:val="18"/>
          <w:szCs w:val="18"/>
        </w:rPr>
        <w:t xml:space="preserve">§7.1  </w:t>
      </w:r>
      <w:r>
        <w:rPr>
          <w:rFonts w:ascii="Garamond" w:eastAsia="Garamond" w:hAnsi="Garamond" w:cs="Garamond"/>
          <w:i/>
          <w:iCs/>
          <w:color w:val="1B2A4A"/>
          <w:sz w:val="22"/>
          <w:szCs w:val="22"/>
        </w:rPr>
        <w:t>The Right to Vote</w:t>
      </w:r>
    </w:p>
    <w:p w14:paraId="543C528C" w14:textId="77777777" w:rsidR="00AF3D56" w:rsidRDefault="00000000">
      <w:pPr>
        <w:spacing w:after="120"/>
        <w:ind w:left="431"/>
        <w:jc w:val="both"/>
      </w:pPr>
      <w:r>
        <w:rPr>
          <w:rFonts w:ascii="Garamond" w:eastAsia="Garamond" w:hAnsi="Garamond" w:cs="Garamond"/>
          <w:color w:val="2A2A2A"/>
          <w:sz w:val="22"/>
          <w:szCs w:val="22"/>
        </w:rPr>
        <w:t>Every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14:paraId="2937B7BA" w14:textId="77777777" w:rsidR="00AF3D56" w:rsidRDefault="00000000">
      <w:pPr>
        <w:spacing w:before="200" w:after="60"/>
        <w:ind w:left="431"/>
      </w:pPr>
      <w:r>
        <w:rPr>
          <w:rFonts w:ascii="Courier New" w:eastAsia="Courier New" w:hAnsi="Courier New" w:cs="Courier New"/>
          <w:b/>
          <w:bCs/>
          <w:color w:val="2A2A2A"/>
          <w:sz w:val="18"/>
          <w:szCs w:val="18"/>
        </w:rPr>
        <w:t xml:space="preserve">§7.2  </w:t>
      </w:r>
      <w:r>
        <w:rPr>
          <w:rFonts w:ascii="Garamond" w:eastAsia="Garamond" w:hAnsi="Garamond" w:cs="Garamond"/>
          <w:i/>
          <w:iCs/>
          <w:color w:val="1B2A4A"/>
          <w:sz w:val="22"/>
          <w:szCs w:val="22"/>
        </w:rPr>
        <w:t>Consular Election System</w:t>
      </w:r>
    </w:p>
    <w:p w14:paraId="59901F81" w14:textId="77777777" w:rsidR="00AF3D56" w:rsidRDefault="00000000">
      <w:pPr>
        <w:spacing w:after="120"/>
        <w:ind w:left="431"/>
        <w:jc w:val="both"/>
      </w:pPr>
      <w:r>
        <w:rPr>
          <w:rFonts w:ascii="Garamond" w:eastAsia="Garamond" w:hAnsi="Garamond" w:cs="Garamond"/>
          <w:color w:val="2A2A2A"/>
          <w:sz w:val="22"/>
          <w:szCs w:val="22"/>
        </w:rPr>
        <w:t>The Legat Consul is elected through two concurrent requirements: a national RCV majority and a State plurality qualification. A candidate wins outright by satisfying both. Where a candidate's national RCV majority reaches or exceeds 60% of votes cast,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 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w:t>
      </w:r>
    </w:p>
    <w:p w14:paraId="091575E7" w14:textId="77777777" w:rsidR="00AF3D56" w:rsidRDefault="00000000">
      <w:pPr>
        <w:spacing w:before="200" w:after="60"/>
        <w:ind w:left="431"/>
      </w:pPr>
      <w:r>
        <w:rPr>
          <w:rFonts w:ascii="Courier New" w:eastAsia="Courier New" w:hAnsi="Courier New" w:cs="Courier New"/>
          <w:b/>
          <w:bCs/>
          <w:color w:val="2A2A2A"/>
          <w:sz w:val="18"/>
          <w:szCs w:val="18"/>
        </w:rPr>
        <w:t xml:space="preserve">§7.3  </w:t>
      </w:r>
      <w:r>
        <w:rPr>
          <w:rFonts w:ascii="Garamond" w:eastAsia="Garamond" w:hAnsi="Garamond" w:cs="Garamond"/>
          <w:i/>
          <w:iCs/>
          <w:color w:val="1B2A4A"/>
          <w:sz w:val="22"/>
          <w:szCs w:val="22"/>
        </w:rPr>
        <w:t>Federal Elections</w:t>
      </w:r>
    </w:p>
    <w:p w14:paraId="1758D0D3" w14:textId="77777777" w:rsidR="00AF3D56" w:rsidRDefault="00000000">
      <w:pPr>
        <w:spacing w:after="120"/>
        <w:ind w:left="431"/>
        <w:jc w:val="both"/>
      </w:pPr>
      <w:r>
        <w:rPr>
          <w:rFonts w:ascii="Garamond" w:eastAsia="Garamond" w:hAnsi="Garamond" w:cs="Garamond"/>
          <w:color w:val="2A2A2A"/>
          <w:sz w:val="22"/>
          <w:szCs w:val="22"/>
        </w:rPr>
        <w:t>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§7.2, which adds the State plurality requirement. The Legislature defines by statute the specific timing, duration, and structure of the federal electoral period within these constitutional floors. Federal elections are administered by the States within standards established and enforced by the Elections Panel; all state election systems must connect to and operate through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Elections Panel standards. The Republic shall provide such financial and technical assistance as is necessary to ensure every State has the capacity to procure certified equipment and meet federal election standards; the Legislature establishes the assistance mechanism and eligibility criteria by statute; the Elections Panel certifies whether assistance has been sufficient to bring each State into compliance.</w:t>
      </w:r>
    </w:p>
    <w:p w14:paraId="454FE114" w14:textId="77777777" w:rsidR="00AF3D56" w:rsidRDefault="00000000">
      <w:pPr>
        <w:spacing w:before="200" w:after="60"/>
        <w:ind w:left="431"/>
      </w:pPr>
      <w:r>
        <w:rPr>
          <w:rFonts w:ascii="Courier New" w:eastAsia="Courier New" w:hAnsi="Courier New" w:cs="Courier New"/>
          <w:b/>
          <w:bCs/>
          <w:color w:val="2A2A2A"/>
          <w:sz w:val="18"/>
          <w:szCs w:val="18"/>
        </w:rPr>
        <w:t xml:space="preserve">§7.3.a  </w:t>
      </w:r>
      <w:r>
        <w:rPr>
          <w:rFonts w:ascii="Garamond" w:eastAsia="Garamond" w:hAnsi="Garamond" w:cs="Garamond"/>
          <w:i/>
          <w:iCs/>
          <w:color w:val="1B2A4A"/>
          <w:sz w:val="22"/>
          <w:szCs w:val="22"/>
        </w:rPr>
        <w:t>Special Elections and Postponements</w:t>
      </w:r>
    </w:p>
    <w:p w14:paraId="247A9F79" w14:textId="77777777" w:rsidR="00AF3D56" w:rsidRDefault="00000000">
      <w:pPr>
        <w:spacing w:after="120"/>
        <w:ind w:left="431"/>
        <w:jc w:val="both"/>
      </w:pPr>
      <w:r>
        <w:rPr>
          <w:rFonts w:ascii="Garamond" w:eastAsia="Garamond" w:hAnsi="Garamond" w:cs="Garamond"/>
          <w:color w:val="2A2A2A"/>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w:t>
        <w:lastRenderedPageBreak/>
        <w:t>publishing the determination to the NRS; the mandates of sitting members extend automatically for that period only. The Elections Panel publishes a finding when conditions have normalized sufficiently for elections to proceed; elections must be held within 30 days of that publication. Either chamber may petition the SC seeking expedited judicial review of the Elections Panel’s finding; the applicable court and expedited process are defined by statute. No further postponement may be granted without a new Elections Panel finding of impossibility and a new 2/3 legislative determination.</w:t>
      </w:r>
    </w:p>
    <w:p w14:paraId="0F44AB5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VIII — Electoral Finance and Campaign Conduct</w:t>
      </w:r>
    </w:p>
    <w:p w14:paraId="586D0B68" w14:textId="77777777" w:rsidR="00AF3D56" w:rsidRDefault="00000000">
      <w:pPr>
        <w:spacing w:before="200" w:after="60"/>
        <w:ind w:left="431"/>
      </w:pPr>
      <w:r>
        <w:rPr>
          <w:rFonts w:ascii="Courier New" w:eastAsia="Courier New" w:hAnsi="Courier New" w:cs="Courier New"/>
          <w:b/>
          <w:bCs/>
          <w:color w:val="2A2A2A"/>
          <w:sz w:val="18"/>
          <w:szCs w:val="18"/>
        </w:rPr>
        <w:t xml:space="preserve">§8.1  </w:t>
      </w:r>
      <w:r>
        <w:rPr>
          <w:rFonts w:ascii="Garamond" w:eastAsia="Garamond" w:hAnsi="Garamond" w:cs="Garamond"/>
          <w:i/>
          <w:iCs/>
          <w:color w:val="1B2A4A"/>
          <w:sz w:val="22"/>
          <w:szCs w:val="22"/>
        </w:rPr>
        <w:t>Electoral Finance</w:t>
      </w:r>
    </w:p>
    <w:p w14:paraId="6A5B6B79" w14:textId="77777777" w:rsidR="00AF3D56" w:rsidRDefault="00000000">
      <w:pPr>
        <w:spacing w:after="120"/>
        <w:ind w:left="431"/>
        <w:jc w:val="both"/>
      </w:pPr>
      <w:r>
        <w:rPr>
          <w:rFonts w:ascii="Garamond" w:eastAsia="Garamond" w:hAnsi="Garamond" w:cs="Garamond"/>
          <w:color w:val="2A2A2A"/>
          <w:sz w:val="22"/>
          <w:szCs w:val="22"/>
        </w:rPr>
        <w:t>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14:paraId="5036E0DD" w14:textId="77777777" w:rsidR="00AF3D56" w:rsidRDefault="00000000">
      <w:pPr>
        <w:spacing w:before="200" w:after="60"/>
        <w:ind w:left="431"/>
      </w:pPr>
      <w:r>
        <w:rPr>
          <w:rFonts w:ascii="Courier New" w:eastAsia="Courier New" w:hAnsi="Courier New" w:cs="Courier New"/>
          <w:b/>
          <w:bCs/>
          <w:color w:val="2A2A2A"/>
          <w:sz w:val="18"/>
          <w:szCs w:val="18"/>
        </w:rPr>
        <w:t xml:space="preserve">§8.2  </w:t>
      </w:r>
      <w:r>
        <w:rPr>
          <w:rFonts w:ascii="Garamond" w:eastAsia="Garamond" w:hAnsi="Garamond" w:cs="Garamond"/>
          <w:i/>
          <w:iCs/>
          <w:color w:val="1B2A4A"/>
          <w:sz w:val="22"/>
          <w:szCs w:val="22"/>
        </w:rPr>
        <w:t>Campaign Conduct</w:t>
      </w:r>
    </w:p>
    <w:p w14:paraId="645D6B4E" w14:textId="7E70F6F4" w:rsidR="00AF3D56" w:rsidRDefault="00000000">
      <w:pPr>
        <w:spacing w:after="120"/>
        <w:ind w:left="431"/>
        <w:jc w:val="both"/>
      </w:pPr>
      <w:r>
        <w:rPr>
          <w:rFonts w:ascii="Garamond" w:eastAsia="Garamond" w:hAnsi="Garamond" w:cs="Garamond"/>
          <w:color w:val="2A2A2A"/>
          <w:sz w:val="22"/>
          <w:szCs w:val="22"/>
        </w:rPr>
        <w:t>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Campaign communications must clearly identify their sponsor. This constitution does not bar private civil litigation arising from campaign communications.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 The Elections Panel publishes findings of violation of the prohibitions enumerated in this section to the NRS; the Legislature shall define sanctions for such violations by statute. This enforcement authority does not extend to the truthfulness or content of campaign communications, which remain subject only to private civil litigation as provided above.</w:t>
      </w:r>
    </w:p>
    <w:p w14:paraId="6EEA7430" w14:textId="77777777" w:rsidR="00AF3D56" w:rsidRDefault="00000000">
      <w:pPr>
        <w:spacing w:before="200" w:after="60"/>
        <w:ind w:left="431"/>
      </w:pPr>
      <w:r>
        <w:rPr>
          <w:rFonts w:ascii="Courier New" w:eastAsia="Courier New" w:hAnsi="Courier New" w:cs="Courier New"/>
          <w:b/>
          <w:bCs/>
          <w:color w:val="2A2A2A"/>
          <w:sz w:val="18"/>
          <w:szCs w:val="18"/>
        </w:rPr>
        <w:t xml:space="preserve">§8.3  </w:t>
      </w:r>
      <w:r>
        <w:rPr>
          <w:rFonts w:ascii="Garamond" w:eastAsia="Garamond" w:hAnsi="Garamond" w:cs="Garamond"/>
          <w:i/>
          <w:iCs/>
          <w:color w:val="1B2A4A"/>
          <w:sz w:val="22"/>
          <w:szCs w:val="22"/>
        </w:rPr>
        <w:t>Public Spectrum Access for Campaigns</w:t>
      </w:r>
    </w:p>
    <w:p w14:paraId="33784202"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Licensees operating on public broadcast spectrum — including television, radio, and licensed carriers of automated political communications — shall provide equal free access to qualified candidates during the federal electoral period. The terms and quantity of access are defined by statute. The Elections Panel certifies compliance and publishes findings to the NRS.</w:t>
      </w:r>
    </w:p>
    <w:p w14:paraId="0261D33F" w14:textId="30F2C8E5" w:rsidR="00F645C1" w:rsidRDefault="00F645C1" w:rsidP="00F645C1">
      <w:pPr>
        <w:spacing w:before="200" w:after="60"/>
        <w:ind w:left="431"/>
      </w:pPr>
      <w:r>
        <w:rPr>
          <w:rFonts w:ascii="Courier New" w:eastAsia="Courier New" w:hAnsi="Courier New" w:cs="Courier New"/>
          <w:b/>
          <w:bCs/>
          <w:color w:val="2A2A2A"/>
          <w:sz w:val="18"/>
          <w:szCs w:val="18"/>
        </w:rPr>
        <w:t xml:space="preserve">§8.4  </w:t>
      </w:r>
      <w:r>
        <w:rPr>
          <w:rFonts w:ascii="Garamond" w:eastAsia="Garamond" w:hAnsi="Garamond" w:cs="Garamond"/>
          <w:i/>
          <w:iCs/>
          <w:color w:val="1B2A4A"/>
          <w:sz w:val="22"/>
          <w:szCs w:val="22"/>
        </w:rPr>
        <w:t>Public Campaign Financing</w:t>
      </w:r>
    </w:p>
    <w:p w14:paraId="76F049D1" w14:textId="2C6B9380" w:rsidR="00F645C1" w:rsidRDefault="00F645C1">
      <w:pPr>
        <w:spacing w:after="120"/>
        <w:ind w:left="431"/>
        <w:jc w:val="both"/>
      </w:pPr>
      <w:r>
        <w:rPr>
          <w:rFonts w:ascii="Garamond" w:eastAsia="Garamond" w:hAnsi="Garamond" w:cs="Garamond"/>
          <w:color w:val="2A2A2A"/>
          <w:sz w:val="22"/>
          <w:szCs w:val="22"/>
        </w:rPr>
        <w:t>The Legislature shall by statute establish a public campaign financing system available to all qualified candidates for federal office on equal terms. The system must provide a genuine alternative to private fundraising; no candidate may be structurally disadvantaged by choosing to participate. Funding for the system must be set at no less than the average total campaign expenditure recorded in the National Record System for that office — or, where no prior cycle exists, a comparable office — across the preceding election cycle. The Elections Panel administers the system and publishes annual compliance findings to the NRS.</w:t>
      </w:r>
    </w:p>
    <w:p w14:paraId="2789283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IX — The Monitors</w:t>
      </w:r>
    </w:p>
    <w:p w14:paraId="53D85F28" w14:textId="77777777" w:rsidR="00AF3D56" w:rsidRDefault="00000000">
      <w:pPr>
        <w:spacing w:before="200" w:after="60"/>
        <w:ind w:left="431"/>
      </w:pPr>
      <w:r>
        <w:rPr>
          <w:rFonts w:ascii="Courier New" w:eastAsia="Courier New" w:hAnsi="Courier New" w:cs="Courier New"/>
          <w:b/>
          <w:bCs/>
          <w:color w:val="2A2A2A"/>
          <w:sz w:val="18"/>
          <w:szCs w:val="18"/>
        </w:rPr>
        <w:t xml:space="preserve">§9.1  </w:t>
      </w:r>
      <w:r>
        <w:rPr>
          <w:rFonts w:ascii="Garamond" w:eastAsia="Garamond" w:hAnsi="Garamond" w:cs="Garamond"/>
          <w:i/>
          <w:iCs/>
          <w:color w:val="1B2A4A"/>
          <w:sz w:val="22"/>
          <w:szCs w:val="22"/>
        </w:rPr>
        <w:t>Three Monitors</w:t>
      </w:r>
    </w:p>
    <w:p w14:paraId="2EC75C92" w14:textId="77777777" w:rsidR="00AF3D56" w:rsidRDefault="00000000">
      <w:pPr>
        <w:spacing w:after="120"/>
        <w:ind w:left="431"/>
        <w:jc w:val="both"/>
      </w:pPr>
      <w:r>
        <w:rPr>
          <w:rFonts w:ascii="Garamond" w:eastAsia="Garamond" w:hAnsi="Garamond" w:cs="Garamond"/>
          <w:color w:val="2A2A2A"/>
          <w:sz w:val="22"/>
          <w:szCs w:val="22"/>
        </w:rPr>
        <w:t>The Republic maintains three constitutionally independent Monitors — Legislative (LM), Executive (EM), and Judicial (JM) — each selected by bodies other than those it oversees. Monitors hold an information-only mandate: they observe constitutional processes, verify compliance, and publish findings to the NRS. Findings are not binding on any constitutional actor and are not a prerequisite for any legal proceeding or governmental function. Each Monitor General serves a 10-year non-renewable term with a constitutionally protected funding floor. Failure of a Monitor to act does not extinguish constitutional authority or suspend any constitutional obligation. Any constitutional officer, chamber, or body may request a focused assessment from any Monitor within that Monitor’s mandate; the Monitor publishes the assessment by the requested date where practicable; a requesting party may proceed whether or not the assessment has been published. Persistent non-responsiveness to reasonable requests may be published by the other two Monitors as a non-responsiveness finding to the NRS.</w:t>
      </w:r>
    </w:p>
    <w:p w14:paraId="31371B1E" w14:textId="77777777" w:rsidR="00AF3D56" w:rsidRDefault="00000000">
      <w:pPr>
        <w:spacing w:before="200" w:after="60"/>
        <w:ind w:left="431"/>
      </w:pPr>
      <w:r>
        <w:rPr>
          <w:rFonts w:ascii="Courier New" w:eastAsia="Courier New" w:hAnsi="Courier New" w:cs="Courier New"/>
          <w:b/>
          <w:bCs/>
          <w:color w:val="2A2A2A"/>
          <w:sz w:val="18"/>
          <w:szCs w:val="18"/>
        </w:rPr>
        <w:t xml:space="preserve">§9.1.a  </w:t>
      </w:r>
      <w:r>
        <w:rPr>
          <w:rFonts w:ascii="Garamond" w:eastAsia="Garamond" w:hAnsi="Garamond" w:cs="Garamond"/>
          <w:i/>
          <w:iCs/>
          <w:color w:val="1B2A4A"/>
          <w:sz w:val="22"/>
          <w:szCs w:val="22"/>
        </w:rPr>
        <w:t>The Legislative Monitor</w:t>
      </w:r>
    </w:p>
    <w:p w14:paraId="2A180BB7" w14:textId="77777777" w:rsidR="00AF3D56" w:rsidRDefault="00000000">
      <w:pPr>
        <w:spacing w:after="120"/>
        <w:ind w:left="431"/>
        <w:jc w:val="both"/>
      </w:pPr>
      <w:r>
        <w:rPr>
          <w:rFonts w:ascii="Garamond" w:eastAsia="Garamond" w:hAnsi="Garamond" w:cs="Garamond"/>
          <w:color w:val="2A2A2A"/>
          <w:sz w:val="22"/>
          <w:szCs w:val="22"/>
        </w:rPr>
        <w:t>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14:paraId="77863FB2" w14:textId="77777777" w:rsidR="00AF3D56" w:rsidRDefault="00000000">
      <w:pPr>
        <w:spacing w:before="200" w:after="60"/>
        <w:ind w:left="431"/>
      </w:pPr>
      <w:r>
        <w:rPr>
          <w:rFonts w:ascii="Courier New" w:eastAsia="Courier New" w:hAnsi="Courier New" w:cs="Courier New"/>
          <w:b/>
          <w:bCs/>
          <w:color w:val="2A2A2A"/>
          <w:sz w:val="18"/>
          <w:szCs w:val="18"/>
        </w:rPr>
        <w:t xml:space="preserve">§9.1.b  </w:t>
      </w:r>
      <w:r>
        <w:rPr>
          <w:rFonts w:ascii="Garamond" w:eastAsia="Garamond" w:hAnsi="Garamond" w:cs="Garamond"/>
          <w:i/>
          <w:iCs/>
          <w:color w:val="1B2A4A"/>
          <w:sz w:val="22"/>
          <w:szCs w:val="22"/>
        </w:rPr>
        <w:t>The Executive Monitor</w:t>
      </w:r>
    </w:p>
    <w:p w14:paraId="74469628" w14:textId="77777777" w:rsidR="00AF3D56" w:rsidRDefault="00000000">
      <w:pPr>
        <w:spacing w:after="120"/>
        <w:ind w:left="431"/>
        <w:jc w:val="both"/>
      </w:pPr>
      <w:r>
        <w:rPr>
          <w:rFonts w:ascii="Garamond" w:eastAsia="Garamond" w:hAnsi="Garamond" w:cs="Garamond"/>
          <w:color w:val="2A2A2A"/>
          <w:sz w:val="22"/>
          <w:szCs w:val="22"/>
        </w:rPr>
        <w:t>The EM audits both executives and the Monetary Authority. Annual responsibilities include: military compliance assessment covering whether military force was used for an authorized purpose under §14.1, whether legislative authorization and allocation requirements under §14.2 were observed, whether the §2.3 intelligence warrant requirement was maintained,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14:paraId="52FB7E88" w14:textId="77777777" w:rsidR="00AF3D56" w:rsidRDefault="00000000">
      <w:pPr>
        <w:spacing w:before="200" w:after="60"/>
        <w:ind w:left="431"/>
      </w:pPr>
      <w:r>
        <w:rPr>
          <w:rFonts w:ascii="Courier New" w:eastAsia="Courier New" w:hAnsi="Courier New" w:cs="Courier New"/>
          <w:b/>
          <w:bCs/>
          <w:color w:val="2A2A2A"/>
          <w:sz w:val="18"/>
          <w:szCs w:val="18"/>
        </w:rPr>
        <w:t xml:space="preserve">§9.1.c  </w:t>
      </w:r>
      <w:r>
        <w:rPr>
          <w:rFonts w:ascii="Garamond" w:eastAsia="Garamond" w:hAnsi="Garamond" w:cs="Garamond"/>
          <w:i/>
          <w:iCs/>
          <w:color w:val="1B2A4A"/>
          <w:sz w:val="22"/>
          <w:szCs w:val="22"/>
        </w:rPr>
        <w:t>The Judicial Monitor</w:t>
      </w:r>
    </w:p>
    <w:p w14:paraId="153206F1" w14:textId="77777777" w:rsidR="00AF3D56" w:rsidRDefault="00000000">
      <w:pPr>
        <w:spacing w:after="120"/>
        <w:ind w:left="431"/>
        <w:jc w:val="both"/>
      </w:pPr>
      <w:r>
        <w:rPr>
          <w:rFonts w:ascii="Garamond" w:eastAsia="Garamond" w:hAnsi="Garamond" w:cs="Garamond"/>
          <w:color w:val="2A2A2A"/>
          <w:sz w:val="22"/>
          <w:szCs w:val="22"/>
        </w:rPr>
        <w:t>The JM audits the courts for judicial scope and independence, and conducts annual audits of the Elections Panel for electoral integrity compliance, including the administration of the Judicial Pool and all constitutional pools. The JM reviews compliance with compact agreements under Article XVI and Associated Community compact agreements under Article XX. The JM administers all constitutional lottery draws and candidate certification functions.</w:t>
      </w:r>
    </w:p>
    <w:p w14:paraId="3B4115BB" w14:textId="77777777" w:rsidR="00AF3D56" w:rsidRDefault="00000000">
      <w:pPr>
        <w:spacing w:before="200" w:after="60"/>
        <w:ind w:left="431"/>
      </w:pPr>
      <w:r>
        <w:rPr>
          <w:rFonts w:ascii="Courier New" w:eastAsia="Courier New" w:hAnsi="Courier New" w:cs="Courier New"/>
          <w:b/>
          <w:bCs/>
          <w:color w:val="2A2A2A"/>
          <w:sz w:val="18"/>
          <w:szCs w:val="18"/>
        </w:rPr>
        <w:t xml:space="preserve">§9.1.d  </w:t>
      </w:r>
      <w:r>
        <w:rPr>
          <w:rFonts w:ascii="Garamond" w:eastAsia="Garamond" w:hAnsi="Garamond" w:cs="Garamond"/>
          <w:i/>
          <w:iCs/>
          <w:color w:val="1B2A4A"/>
          <w:sz w:val="22"/>
          <w:szCs w:val="22"/>
        </w:rPr>
        <w:t>Monitor General Term Expiry and Incapacity</w:t>
      </w:r>
    </w:p>
    <w:p w14:paraId="4AEB7A07" w14:textId="77777777" w:rsidR="00AF3D56" w:rsidRDefault="00000000">
      <w:pPr>
        <w:spacing w:after="120"/>
        <w:ind w:left="431"/>
        <w:jc w:val="both"/>
      </w:pPr>
      <w:r>
        <w:rPr>
          <w:rFonts w:ascii="Garamond" w:eastAsia="Garamond" w:hAnsi="Garamond" w:cs="Garamond"/>
          <w:color w:val="2A2A2A"/>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where two or more pool members have equal continuous pool tenure, the tiebreaker is defined by statute. The Acting Monitor General holds full constitutional authority of the office. The Acting Monitor General is not eligible for permanent appointment to the position in which they serve; upon </w:t>
        <w:lastRenderedPageBreak/>
        <w:t>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14:paraId="46B5493E" w14:textId="77777777" w:rsidR="00AF3D56" w:rsidRDefault="00000000">
      <w:pPr>
        <w:spacing w:before="200" w:after="60"/>
        <w:ind w:left="431"/>
      </w:pPr>
      <w:r>
        <w:rPr>
          <w:rFonts w:ascii="Courier New" w:eastAsia="Courier New" w:hAnsi="Courier New" w:cs="Courier New"/>
          <w:b/>
          <w:bCs/>
          <w:color w:val="2A2A2A"/>
          <w:sz w:val="18"/>
          <w:szCs w:val="18"/>
        </w:rPr>
        <w:t xml:space="preserve">§9.2  </w:t>
      </w:r>
      <w:r>
        <w:rPr>
          <w:rFonts w:ascii="Garamond" w:eastAsia="Garamond" w:hAnsi="Garamond" w:cs="Garamond"/>
          <w:i/>
          <w:iCs/>
          <w:color w:val="1B2A4A"/>
          <w:sz w:val="22"/>
          <w:szCs w:val="22"/>
        </w:rPr>
        <w:t>Selection and Independence</w:t>
      </w:r>
    </w:p>
    <w:p w14:paraId="33C79C2D" w14:textId="77777777" w:rsidR="00AF3D56" w:rsidRDefault="00000000">
      <w:pPr>
        <w:spacing w:after="120"/>
        <w:ind w:left="431"/>
        <w:jc w:val="both"/>
      </w:pPr>
      <w:r>
        <w:rPr>
          <w:rFonts w:ascii="Garamond" w:eastAsia="Garamond" w:hAnsi="Garamond" w:cs="Garamond"/>
          <w:color w:val="2A2A2A"/>
          <w:sz w:val="22"/>
          <w:szCs w:val="22"/>
        </w:rPr>
        <w:t>Each Monitor is constituted through a process that structurally excludes the body being watched from selecting its watchers. The SC nominates the LM Monitor General, confirmed by national popular vote. The Assembly Speaker and Senate Speaker jointly nominate the EM Monitor General, confirmed by national popular vote with JM audit findings on the nominee’s disclosure record published to the NRS before the vote. The JM Monitor General is selected by public lottery from a pool of former judges audited by the LM and EM.</w:t>
      </w:r>
    </w:p>
    <w:p w14:paraId="0BBF3D39" w14:textId="77777777" w:rsidR="00AF3D56" w:rsidRDefault="00000000">
      <w:pPr>
        <w:spacing w:before="200" w:after="60"/>
        <w:ind w:left="431"/>
      </w:pPr>
      <w:r>
        <w:rPr>
          <w:rFonts w:ascii="Courier New" w:eastAsia="Courier New" w:hAnsi="Courier New" w:cs="Courier New"/>
          <w:b/>
          <w:bCs/>
          <w:color w:val="2A2A2A"/>
          <w:sz w:val="18"/>
          <w:szCs w:val="18"/>
        </w:rPr>
        <w:t xml:space="preserve">§9.3  </w:t>
      </w:r>
      <w:r>
        <w:rPr>
          <w:rFonts w:ascii="Garamond" w:eastAsia="Garamond" w:hAnsi="Garamond" w:cs="Garamond"/>
          <w:i/>
          <w:iCs/>
          <w:color w:val="1B2A4A"/>
          <w:sz w:val="22"/>
          <w:szCs w:val="22"/>
        </w:rPr>
        <w:t>Monitor General Selection</w:t>
      </w:r>
    </w:p>
    <w:p w14:paraId="429C6323" w14:textId="77777777" w:rsidR="00AF3D56" w:rsidRDefault="00000000">
      <w:pPr>
        <w:spacing w:after="120"/>
        <w:ind w:left="431"/>
        <w:jc w:val="both"/>
      </w:pPr>
      <w:r>
        <w:rPr>
          <w:rFonts w:ascii="Garamond" w:eastAsia="Garamond" w:hAnsi="Garamond" w:cs="Garamond"/>
          <w:color w:val="2A2A2A"/>
          <w:sz w:val="22"/>
          <w:szCs w:val="22"/>
        </w:rPr>
        <w:t>All Monitor General confirmations follow the same process: the nominated or lottery-selected candidate is confirmed by national popular vote at the next federal electoral period by simple majority; timing is defined by statute to ensure seamless succession; if the confirmation vote fails, the §9.1.d acting mechanism activates and a new selection must begin within 60 days. The Elections Panel administers all confirmation votes. The LM Monitor General is nominated by the SC from the pool maintained by the Elections Panel and audited jointly by the EM and JM. The EM Monitor General is nominated jointly by the Assembly Speaker and Senate Speaker from the pool maintained by the Elections Panel and audited jointly by the LM and JM, with JM audit findings on the nominee’s disclosure record published to the NRS before the vote; where the Speakers fail to jointly nominate within 60 days of a vacancy, the Senate selects from the pool by 2/3 vote. The JM Monitor General is selected by public lottery under §9.12 from the JM Candidate Pool under §9.4.a. No two Monitor General terms may begin within 18 months of each other. The confirmed successor assumes full authority at the precise moment the incumbent’s term concludes.</w:t>
      </w:r>
    </w:p>
    <w:p w14:paraId="04940EBC" w14:textId="77777777" w:rsidR="00AF3D56" w:rsidRDefault="00000000">
      <w:pPr>
        <w:spacing w:before="200" w:after="60"/>
        <w:ind w:left="431"/>
      </w:pPr>
      <w:r>
        <w:rPr>
          <w:rFonts w:ascii="Courier New" w:eastAsia="Courier New" w:hAnsi="Courier New" w:cs="Courier New"/>
          <w:b/>
          <w:bCs/>
          <w:color w:val="2A2A2A"/>
          <w:sz w:val="18"/>
          <w:szCs w:val="18"/>
        </w:rPr>
        <w:t xml:space="preserve">§9.4  </w:t>
      </w:r>
      <w:r>
        <w:rPr>
          <w:rFonts w:ascii="Garamond" w:eastAsia="Garamond" w:hAnsi="Garamond" w:cs="Garamond"/>
          <w:i/>
          <w:iCs/>
          <w:color w:val="1B2A4A"/>
          <w:sz w:val="22"/>
          <w:szCs w:val="22"/>
        </w:rPr>
        <w:t>Judicial Monitor Audit and Lottery Administration Mandate</w:t>
      </w:r>
    </w:p>
    <w:p w14:paraId="3F05EDAE" w14:textId="77777777" w:rsidR="00AF3D56" w:rsidRDefault="00000000">
      <w:pPr>
        <w:spacing w:after="120"/>
        <w:ind w:left="431"/>
        <w:jc w:val="both"/>
      </w:pPr>
      <w:r>
        <w:rPr>
          <w:rFonts w:ascii="Garamond" w:eastAsia="Garamond" w:hAnsi="Garamond" w:cs="Garamond"/>
          <w:color w:val="2A2A2A"/>
          <w:sz w:val="22"/>
          <w:szCs w:val="22"/>
        </w:rPr>
        <w:t>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and Article XX compacts. Any candidate removed from a ballot by the Elections Panel may appeal to the Appellate Court within 14 days; the Court reviews only whether eligibility criteria were correctly applied and must rule within 21 days. 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JMC conducts the lottery in a public session; the outgoing JM Monitor General does not participate. The pool is publicly accessible at all times.</w:t>
      </w:r>
    </w:p>
    <w:p w14:paraId="617C0C91" w14:textId="77777777" w:rsidR="00AF3D56" w:rsidRDefault="00000000">
      <w:pPr>
        <w:spacing w:before="200" w:after="60"/>
        <w:ind w:left="431"/>
      </w:pPr>
      <w:r>
        <w:rPr>
          <w:rFonts w:ascii="Courier New" w:eastAsia="Courier New" w:hAnsi="Courier New" w:cs="Courier New"/>
          <w:b/>
          <w:bCs/>
          <w:color w:val="2A2A2A"/>
          <w:sz w:val="18"/>
          <w:szCs w:val="18"/>
        </w:rPr>
        <w:t xml:space="preserve">§9.4.b  </w:t>
      </w:r>
      <w:r>
        <w:rPr>
          <w:rFonts w:ascii="Garamond" w:eastAsia="Garamond" w:hAnsi="Garamond" w:cs="Garamond"/>
          <w:i/>
          <w:iCs/>
          <w:color w:val="1B2A4A"/>
          <w:sz w:val="22"/>
          <w:szCs w:val="22"/>
        </w:rPr>
        <w:t>Judicial Pool — Eligibility Criteria</w:t>
      </w:r>
    </w:p>
    <w:p w14:paraId="6EFB0724" w14:textId="77777777" w:rsidR="00AF3D56" w:rsidRDefault="00000000">
      <w:pPr>
        <w:spacing w:after="120"/>
        <w:ind w:left="431"/>
        <w:jc w:val="both"/>
      </w:pPr>
      <w:r>
        <w:rPr>
          <w:rFonts w:ascii="Garamond" w:eastAsia="Garamond" w:hAnsi="Garamond" w:cs="Garamond"/>
          <w:color w:val="2A2A2A"/>
          <w:sz w:val="22"/>
          <w:szCs w:val="22"/>
        </w:rPr>
        <w:lastRenderedPageBreak/>
        <w:t>The Elections Panel maintains the standing Judicial Pool from which all federal judicial appointments are drawn. Any citizen meeting the following eligibility criteria may apply directly to the Elections Panel: at least 15 years of legal practice or 10 years of judicial service; no current government position; no disqualifying financial interest as defined in §12.4. The Elections Panel applies the stated eligibility criteria and enters qualifying applicants into the Judicial Pool.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Judicial Pool is publicly accessible on the NRS at all times.</w:t>
      </w:r>
    </w:p>
    <w:p w14:paraId="2F4DE292" w14:textId="77777777" w:rsidR="00AF3D56" w:rsidRDefault="00000000">
      <w:pPr>
        <w:spacing w:before="200" w:after="60"/>
        <w:ind w:left="431"/>
      </w:pPr>
      <w:r>
        <w:rPr>
          <w:rFonts w:ascii="Courier New" w:eastAsia="Courier New" w:hAnsi="Courier New" w:cs="Courier New"/>
          <w:b/>
          <w:bCs/>
          <w:color w:val="2A2A2A"/>
          <w:sz w:val="18"/>
          <w:szCs w:val="18"/>
        </w:rPr>
        <w:t xml:space="preserve">§9.6  </w:t>
      </w:r>
      <w:r>
        <w:rPr>
          <w:rFonts w:ascii="Garamond" w:eastAsia="Garamond" w:hAnsi="Garamond" w:cs="Garamond"/>
          <w:i/>
          <w:iCs/>
          <w:color w:val="1B2A4A"/>
          <w:sz w:val="22"/>
          <w:szCs w:val="22"/>
        </w:rPr>
        <w:t>Monitor Operations</w:t>
      </w:r>
    </w:p>
    <w:p w14:paraId="59F9C37E" w14:textId="77777777" w:rsidR="00AF3D56" w:rsidRDefault="00000000">
      <w:pPr>
        <w:spacing w:after="120"/>
        <w:ind w:left="431"/>
        <w:jc w:val="both"/>
      </w:pPr>
      <w:r>
        <w:rPr>
          <w:rFonts w:ascii="Garamond" w:eastAsia="Garamond" w:hAnsi="Garamond" w:cs="Garamond"/>
          <w:color w:val="2A2A2A"/>
          <w:sz w:val="22"/>
          <w:szCs w:val="22"/>
        </w:rPr>
        <w:t>Every finding, report, and discrepancy notice must be published to the NRS permanently and free of charge; no official may suppress, delay, classify, or alter a Monitor report before publication. Monitor reports are permanently exempt from classification.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14:paraId="6A6B7C01" w14:textId="77777777" w:rsidR="00AF3D56" w:rsidRDefault="00000000">
      <w:pPr>
        <w:spacing w:before="200" w:after="60"/>
        <w:ind w:left="431"/>
      </w:pPr>
      <w:r>
        <w:rPr>
          <w:rFonts w:ascii="Courier New" w:eastAsia="Courier New" w:hAnsi="Courier New" w:cs="Courier New"/>
          <w:b/>
          <w:bCs/>
          <w:color w:val="2A2A2A"/>
          <w:sz w:val="18"/>
          <w:szCs w:val="18"/>
        </w:rPr>
        <w:t xml:space="preserve">§9.6.a  </w:t>
      </w:r>
      <w:r>
        <w:rPr>
          <w:rFonts w:ascii="Garamond" w:eastAsia="Garamond" w:hAnsi="Garamond" w:cs="Garamond"/>
          <w:i/>
          <w:iCs/>
          <w:color w:val="1B2A4A"/>
          <w:sz w:val="22"/>
          <w:szCs w:val="22"/>
        </w:rPr>
        <w:t>Compliance Standards and Findings</w:t>
      </w:r>
    </w:p>
    <w:p w14:paraId="6A6B7C02" w14:textId="77777777" w:rsidR="00AF3D56" w:rsidRDefault="00000000">
      <w:pPr>
        <w:spacing w:after="120"/>
        <w:ind w:left="431"/>
        <w:jc w:val="both"/>
      </w:pPr>
      <w:r>
        <w:rPr>
          <w:rFonts w:ascii="Garamond" w:eastAsia="Garamond" w:hAnsi="Garamond" w:cs="Garamond"/>
          <w:color w:val="2A2A2A"/>
          <w:sz w:val="22"/>
          <w:szCs w:val="22"/>
        </w:rPr>
        <w:t>The JMC defines and publishes to the NRS the compliance standard for each category of audit — the criteria by which each aspect of a finding is determined Pass or Fail, evaluated separately rather than as a single whole-entity judgment. No Monitor may issue a Pass or Fail finding for a category of audit for which the JMC has not yet published a standard; the underlying audit function continues, but produces no Pass or Fail determination until a standard exists. The JMC may adopt a single standard or separate standards tailored to distinct categories of audit. For each standard, the JMC publishes both the criteria and the methodology by which the criteria were developed. Where more than one standard exists, every published finding identifies which standard was applied. Each Fail is reported to the body responsible for that aspect, which publishes its own account of the matter for the public record. A change to any standard takes effect only for findings arising after the change is published. This prospective-only protection applies equally to the adoption of a new category of standard for any audit subject with a finding already pending at the time of publication. Where the JMC cannot reach consensus, each Monitor General’s proposed standard and methodology are published individually under §9.11’s dissent procedure.</w:t>
      </w:r>
    </w:p>
    <w:p w14:paraId="1C2D3E01" w14:textId="77777777" w:rsidR="00AF3D56" w:rsidRDefault="00000000">
      <w:pPr>
        <w:spacing w:before="200" w:after="60"/>
        <w:ind w:left="431"/>
      </w:pPr>
      <w:r>
        <w:rPr>
          <w:rFonts w:ascii="Courier New" w:eastAsia="Courier New" w:hAnsi="Courier New" w:cs="Courier New"/>
          <w:b/>
          <w:bCs/>
          <w:color w:val="2A2A2A"/>
          <w:sz w:val="18"/>
          <w:szCs w:val="18"/>
        </w:rPr>
        <w:t xml:space="preserve">§9.6.b  </w:t>
      </w:r>
      <w:r>
        <w:rPr>
          <w:rFonts w:ascii="Garamond" w:eastAsia="Garamond" w:hAnsi="Garamond" w:cs="Garamond"/>
          <w:i/>
          <w:iCs/>
          <w:color w:val="1B2A4A"/>
          <w:sz w:val="22"/>
          <w:szCs w:val="22"/>
        </w:rPr>
        <w:t>Agency Accountability</w:t>
      </w:r>
    </w:p>
    <w:p w14:paraId="1C2D3E02" w14:textId="77777777" w:rsidR="00AF3D56" w:rsidRDefault="00000000">
      <w:pPr>
        <w:spacing w:after="120"/>
        <w:ind w:left="431"/>
        <w:jc w:val="both"/>
      </w:pPr>
      <w:r>
        <w:rPr>
          <w:rFonts w:ascii="Garamond" w:eastAsia="Garamond" w:hAnsi="Garamond" w:cs="Garamond"/>
          <w:color w:val="2A2A2A"/>
          <w:sz w:val="22"/>
          <w:szCs w:val="22"/>
        </w:rPr>
        <w:t>Every agency the Legislature establishes is bound both by whatever this constitution specifies for it and by whatever mandate the Legislature has assigned to it by statute. A Fail reported under §9.6.a does not substitute for the responsible body’s own independent obligation to act on matters within its operational control.</w:t>
      </w:r>
    </w:p>
    <w:p w14:paraId="5DCDAB6A" w14:textId="77777777" w:rsidR="00AF3D56" w:rsidRDefault="00000000">
      <w:pPr>
        <w:spacing w:before="200" w:after="60"/>
        <w:ind w:left="431"/>
      </w:pPr>
      <w:r>
        <w:rPr>
          <w:rFonts w:ascii="Courier New" w:eastAsia="Courier New" w:hAnsi="Courier New" w:cs="Courier New"/>
          <w:b/>
          <w:bCs/>
          <w:color w:val="2A2A2A"/>
          <w:sz w:val="18"/>
          <w:szCs w:val="18"/>
        </w:rPr>
        <w:t xml:space="preserve">§9.10  </w:t>
      </w:r>
      <w:r>
        <w:rPr>
          <w:rFonts w:ascii="Garamond" w:eastAsia="Garamond" w:hAnsi="Garamond" w:cs="Garamond"/>
          <w:i/>
          <w:iCs/>
          <w:color w:val="1B2A4A"/>
          <w:sz w:val="22"/>
          <w:szCs w:val="22"/>
        </w:rPr>
        <w:t>Monitor Minimum Funding Guarantee</w:t>
      </w:r>
    </w:p>
    <w:p w14:paraId="3635D7E7" w14:textId="77777777" w:rsidR="00AF3D56" w:rsidRDefault="00000000">
      <w:pPr>
        <w:spacing w:after="120"/>
        <w:ind w:left="431"/>
        <w:jc w:val="both"/>
      </w:pPr>
      <w:r>
        <w:rPr>
          <w:rFonts w:ascii="Garamond" w:eastAsia="Garamond" w:hAnsi="Garamond" w:cs="Garamond"/>
          <w:color w:val="2A2A2A"/>
          <w:sz w:val="22"/>
          <w:szCs w:val="22"/>
        </w:rPr>
        <w:t>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14:paraId="4AA87CF4" w14:textId="77777777" w:rsidR="00AF3D56" w:rsidRDefault="00000000">
      <w:pPr>
        <w:spacing w:before="200" w:after="60"/>
        <w:ind w:left="431"/>
      </w:pPr>
      <w:r>
        <w:rPr>
          <w:rFonts w:ascii="Courier New" w:eastAsia="Courier New" w:hAnsi="Courier New" w:cs="Courier New"/>
          <w:b/>
          <w:bCs/>
          <w:color w:val="2A2A2A"/>
          <w:sz w:val="18"/>
          <w:szCs w:val="18"/>
        </w:rPr>
        <w:t xml:space="preserve">§9.11  </w:t>
      </w:r>
      <w:r>
        <w:rPr>
          <w:rFonts w:ascii="Garamond" w:eastAsia="Garamond" w:hAnsi="Garamond" w:cs="Garamond"/>
          <w:i/>
          <w:iCs/>
          <w:color w:val="1B2A4A"/>
          <w:sz w:val="22"/>
          <w:szCs w:val="22"/>
        </w:rPr>
        <w:t>Joint Monitor Council</w:t>
      </w:r>
    </w:p>
    <w:p w14:paraId="3CCE73C8" w14:textId="77777777" w:rsidR="00AF3D56" w:rsidRDefault="00000000">
      <w:pPr>
        <w:spacing w:after="120"/>
        <w:ind w:left="431"/>
        <w:jc w:val="both"/>
      </w:pPr>
      <w:r>
        <w:rPr>
          <w:rFonts w:ascii="Garamond" w:eastAsia="Garamond" w:hAnsi="Garamond" w:cs="Garamond"/>
          <w:color w:val="2A2A2A"/>
          <w:sz w:val="22"/>
          <w:szCs w:val="22"/>
        </w:rPr>
        <w:t>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§9.11.a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w:t>
      </w:r>
    </w:p>
    <w:p w14:paraId="573CA303"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§9.11.a  </w:t>
      </w:r>
      <w:r>
        <w:rPr>
          <w:rFonts w:ascii="Garamond" w:eastAsia="Garamond" w:hAnsi="Garamond" w:cs="Garamond"/>
          <w:i/>
          <w:iCs/>
          <w:color w:val="1B2A4A"/>
          <w:sz w:val="22"/>
          <w:szCs w:val="22"/>
        </w:rPr>
        <w:t>Institutional Compromise Protocol</w:t>
      </w:r>
    </w:p>
    <w:p w14:paraId="4C467E62" w14:textId="77777777" w:rsidR="00AF3D56" w:rsidRDefault="00000000">
      <w:pPr>
        <w:spacing w:after="120"/>
        <w:ind w:left="431"/>
        <w:jc w:val="both"/>
      </w:pPr>
      <w:r>
        <w:rPr>
          <w:rFonts w:ascii="Garamond" w:eastAsia="Garamond" w:hAnsi="Garamond" w:cs="Garamond"/>
          <w:color w:val="2A2A2A"/>
          <w:sz w:val="22"/>
          <w:szCs w:val="22"/>
        </w:rPr>
        <w:t>Where two of the three Monitors jointly assess and report that the third is operating in demonstrable bad faith, they petition the SC directly for confirmation of the finding under its original jurisdiction in §4.5; the SC rules within 14 days. Upon filing the petition, the two petitioning Monitors jointly designate an Acting Monitor General as the most senior member of the affected Monitor’s candidate pool by continuous pool tenure who accepts the designation; both executives are notified immediately. The Acting Monitor General assumes all constitutional functions of the compromised Monitor from the moment of designation. If the SC rules that the finding is not confirmed, the Acting Monitor General stands down and all functions return immediately to the original Monitor General. Where the SC neither rules nor files an extension request within the applicable period, the Acting Monitor General stands down, all functions return to the original Monitor General, and the petition may be refiled.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14:paraId="476B5CB4" w14:textId="77777777" w:rsidR="00AF3D56" w:rsidRDefault="00000000">
      <w:pPr>
        <w:spacing w:before="200" w:after="60"/>
        <w:ind w:left="431"/>
      </w:pPr>
      <w:r>
        <w:rPr>
          <w:rFonts w:ascii="Courier New" w:eastAsia="Courier New" w:hAnsi="Courier New" w:cs="Courier New"/>
          <w:b/>
          <w:bCs/>
          <w:color w:val="2A2A2A"/>
          <w:sz w:val="18"/>
          <w:szCs w:val="18"/>
        </w:rPr>
        <w:t xml:space="preserve">§9.12  </w:t>
      </w:r>
      <w:r>
        <w:rPr>
          <w:rFonts w:ascii="Garamond" w:eastAsia="Garamond" w:hAnsi="Garamond" w:cs="Garamond"/>
          <w:i/>
          <w:iCs/>
          <w:color w:val="1B2A4A"/>
          <w:sz w:val="22"/>
          <w:szCs w:val="22"/>
        </w:rPr>
        <w:t>Constitutional Pool Framework</w:t>
      </w:r>
    </w:p>
    <w:p w14:paraId="7CD03CD4" w14:textId="77777777" w:rsidR="00AF3D56" w:rsidRDefault="00000000">
      <w:pPr>
        <w:spacing w:after="120"/>
        <w:ind w:left="431"/>
        <w:jc w:val="both"/>
      </w:pPr>
      <w:r>
        <w:rPr>
          <w:rFonts w:ascii="Garamond" w:eastAsia="Garamond" w:hAnsi="Garamond" w:cs="Garamond"/>
          <w:color w:val="2A2A2A"/>
          <w:sz w:val="22"/>
          <w:szCs w:val="22"/>
        </w:rPr>
        <w:t>The Elections Panel maintains all constitutional candidate registries and pools, including the Judicial Pool, and administers public access to their records via the NRS. Each pool is subject to ongoing Monitor audit; findings are published to the NRS. Any applicant excluded may appeal to the SC within 14 days on the sole ground that the qualification requirements were misapplied. Lottery draws are conducted by the JMC in a public session and published to the NRS.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eligible federal judge by continuous service who is not currently serving in any constitutional office serves as Acting officer until the pool is restored; this fallback applies only to judicial and Monitor pools. Eligibility criteria for all pools are strictly objective — years of practice or service, office status, and financial interests as defined under §12.4.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an excluded applicant may appeal to the courts within 30 days of NRS publication on the sole ground that stated grounds do not correspond to an established eligibility criterion; the applicable court and process are defined by statute. Changes to eligibility criteria apply prospectively only and do not affect persons already entered in a constitutional pool or registry under the criteria applicable at the time of their entry.</w:t>
      </w:r>
    </w:p>
    <w:p w14:paraId="5BBA903E" w14:textId="77777777" w:rsidR="00AF3D56" w:rsidRDefault="00000000">
      <w:pPr>
        <w:spacing w:before="200" w:after="60"/>
        <w:ind w:left="431"/>
      </w:pPr>
      <w:r>
        <w:rPr>
          <w:rFonts w:ascii="Courier New" w:eastAsia="Courier New" w:hAnsi="Courier New" w:cs="Courier New"/>
          <w:b/>
          <w:bCs/>
          <w:color w:val="2A2A2A"/>
          <w:sz w:val="18"/>
          <w:szCs w:val="18"/>
        </w:rPr>
        <w:t xml:space="preserve">§9.14  </w:t>
      </w:r>
      <w:r>
        <w:rPr>
          <w:rFonts w:ascii="Garamond" w:eastAsia="Garamond" w:hAnsi="Garamond" w:cs="Garamond"/>
          <w:i/>
          <w:iCs/>
          <w:color w:val="1B2A4A"/>
          <w:sz w:val="22"/>
          <w:szCs w:val="22"/>
        </w:rPr>
        <w:t>Constitutional Officer Removal — Standard Track</w:t>
      </w:r>
    </w:p>
    <w:p w14:paraId="1F3C84B3" w14:textId="77777777" w:rsidR="00AF3D56" w:rsidRDefault="00000000">
      <w:pPr>
        <w:spacing w:after="120"/>
        <w:ind w:left="431"/>
        <w:jc w:val="both"/>
      </w:pPr>
      <w:r>
        <w:rPr>
          <w:rFonts w:ascii="Garamond" w:eastAsia="Garamond" w:hAnsi="Garamond" w:cs="Garamond"/>
          <w:color w:val="2A2A2A"/>
          <w:sz w:val="22"/>
          <w:szCs w:val="22"/>
        </w:rPr>
        <w:t xml:space="preserve">This section governs for-cause removal of all constitutionally confirmed independent officers except Supreme Court justices under §4.3.b and elected executives. Monitor Generals are subject to for-cause removal under this section; the Judicial Track is additionally available for Monitor Generals where two of the three Monitors jointly assess and report for-cause grounds. A concurrent resolution of 1/3 of either chamber, or two of the three Monitors jointly, may initiate removal by filing stated grounds with the SC. The SC determines within 14 days whether the stated grounds constitute at least one statutory removal category for the subject office; the SC reviews constitutional category only, not factual merits. If grounds are confirmed, duty suspension activates immediately and removal requires a 2/3 concurrent vote of both chambers; no removal vote may be held within 180 days of a major national election without prior SC review within 48 hours. If grounds are not confirmed, the process closes and may not be reinitiated on the same or substantially similar grounds within six months. The SC must rule within 14 days; where the SC requires additional time, a majority of seated justices may file an extension request within the 14-day period specifying the reason and the additional period required, published to the NRS; the maximum extension period is defined by statute. Where the SC neither rules nor files an extension request within the </w:t>
        <w:lastRenderedPageBreak/>
        <w:t>applicable period, the removal proceeding lapses for that session and may be reinitiated under this section. The Legislature defines enumerated removal categories for each constitutionally confirmed office by statute.</w:t>
      </w:r>
    </w:p>
    <w:p w14:paraId="6FBB894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 — The National Record System</w:t>
      </w:r>
    </w:p>
    <w:p w14:paraId="088DBF10" w14:textId="77777777" w:rsidR="00AF3D56" w:rsidRDefault="00000000">
      <w:pPr>
        <w:spacing w:before="200" w:after="60"/>
        <w:ind w:left="431"/>
      </w:pPr>
      <w:r>
        <w:rPr>
          <w:rFonts w:ascii="Courier New" w:eastAsia="Courier New" w:hAnsi="Courier New" w:cs="Courier New"/>
          <w:b/>
          <w:bCs/>
          <w:color w:val="2A2A2A"/>
          <w:sz w:val="18"/>
          <w:szCs w:val="18"/>
        </w:rPr>
        <w:t xml:space="preserve">§10.1  </w:t>
      </w:r>
      <w:r>
        <w:rPr>
          <w:rFonts w:ascii="Garamond" w:eastAsia="Garamond" w:hAnsi="Garamond" w:cs="Garamond"/>
          <w:i/>
          <w:iCs/>
          <w:color w:val="1B2A4A"/>
          <w:sz w:val="22"/>
          <w:szCs w:val="22"/>
        </w:rPr>
        <w:t>National Record System</w:t>
      </w:r>
    </w:p>
    <w:p w14:paraId="40E775B2" w14:textId="77777777" w:rsidR="00AF3D56" w:rsidRDefault="00000000">
      <w:pPr>
        <w:spacing w:after="120"/>
        <w:ind w:left="431"/>
        <w:jc w:val="both"/>
      </w:pPr>
      <w:r>
        <w:rPr>
          <w:rFonts w:ascii="Garamond" w:eastAsia="Garamond" w:hAnsi="Garamond" w:cs="Garamond"/>
          <w:color w:val="2A2A2A"/>
          <w:sz w:val="22"/>
          <w:szCs w:val="22"/>
        </w:rPr>
        <w:t>The National Record System is the permanent, tamper-evident public record of the Republic — freely accessible to every Inhabitant at no cost. Every constitutional act, order, finding, certification, designation, declaration, and determination made under this Constitution is published to the NRS as a permanent record; no provision need state this obligation individually. All electoral records — voter registration, ballot counts, audit trails, and certification documents — must be published to the NRS within the timeframes specified by the Elections Panel's constitutional mandate under Article XI; no classification exception applies to electoral records. Where a specific publication timeline is provided it governs; otherwise publication occurs at or before the effective moment of the act. Records may not be deleted, altered, or reclassified after publication; corrections are published as new entries alongside the original. Where the NRS Panel determines by unanimous vote that a record poses an imminent, specific, and documented threat to individual safety, it may temporarily restrict access for up to 30 days pending judicial review; the reviewing court must rule within 14 days; the record is permanently restored unless the court confirms the restriction on the narrowest possible grounds; the applicable court is designated by statute. The original timestamp and the restriction record both remain as permanent NRS entries. Government acts take legal effect from the moment of issuance regardless of NRS status — the NRS is the record of government, not a condition of it. The JM maintains a continuously operating parallel authentication system, physically independent of the NRS, capable of preserving all constitutional acts with full constitutional effect from issuance; upon NRS restoration, parallel records migrate with their original timestamps. Where the NRS has not been restored within 180 days, the parallel system becomes the constitutional record; the Legislature must establish permanent restoration obligations by statute within 90 days of that threshold. The Legislature defines technical standards for both systems by statute. Records published by any Republic jurisdiction are recognized as authentic without re-certification. Monitor reports are permanently exempt from classification. Classification used to conceal a constitutional violation or illegal order is a constitutional offense. Funding for the NRS may not fall below the prior year’s level without a 2/3 vote of both chambers.</w:t>
      </w:r>
    </w:p>
    <w:p w14:paraId="0A9AFFF0" w14:textId="77777777" w:rsidR="00AF3D56" w:rsidRDefault="00000000">
      <w:pPr>
        <w:spacing w:before="200" w:after="60"/>
        <w:ind w:left="431"/>
      </w:pPr>
      <w:r>
        <w:rPr>
          <w:rFonts w:ascii="Courier New" w:eastAsia="Courier New" w:hAnsi="Courier New" w:cs="Courier New"/>
          <w:b/>
          <w:bCs/>
          <w:color w:val="2A2A2A"/>
          <w:sz w:val="18"/>
          <w:szCs w:val="18"/>
        </w:rPr>
        <w:t xml:space="preserve">§10.3  </w:t>
      </w:r>
      <w:r>
        <w:rPr>
          <w:rFonts w:ascii="Garamond" w:eastAsia="Garamond" w:hAnsi="Garamond" w:cs="Garamond"/>
          <w:i/>
          <w:iCs/>
          <w:color w:val="1B2A4A"/>
          <w:sz w:val="22"/>
          <w:szCs w:val="22"/>
        </w:rPr>
        <w:t>Classification Criteria</w:t>
      </w:r>
    </w:p>
    <w:p w14:paraId="77595E98" w14:textId="77777777" w:rsidR="00AF3D56" w:rsidRDefault="00000000">
      <w:pPr>
        <w:spacing w:after="120"/>
        <w:ind w:left="431"/>
        <w:jc w:val="both"/>
      </w:pPr>
      <w:r>
        <w:rPr>
          <w:rFonts w:ascii="Garamond" w:eastAsia="Garamond" w:hAnsi="Garamond" w:cs="Garamond"/>
          <w:color w:val="2A2A2A"/>
          <w:sz w:val="22"/>
          <w:szCs w:val="22"/>
        </w:rPr>
        <w:t>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 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14:paraId="3A8EE734"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 — NRS Panel and Elections Panel</w:t>
      </w:r>
    </w:p>
    <w:p w14:paraId="174884A5"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NRS Panel and Elections Panel</w:t>
      </w:r>
    </w:p>
    <w:p w14:paraId="54155DBF" w14:textId="77777777" w:rsidR="00AF3D56" w:rsidRDefault="00000000">
      <w:pPr>
        <w:spacing w:after="120"/>
        <w:ind w:left="431"/>
        <w:jc w:val="both"/>
      </w:pPr>
      <w:r>
        <w:rPr>
          <w:rFonts w:ascii="Garamond" w:eastAsia="Garamond" w:hAnsi="Garamond" w:cs="Garamond"/>
          <w:color w:val="2A2A2A"/>
          <w:sz w:val="22"/>
          <w:szCs w:val="22"/>
        </w:rPr>
        <w:t>Two constitutionally independent panels — the NRS Panel and the Elections Panel — operate the Republic’s permanent record infrastructure and electoral systems respectively. The NRS Panel operates the National Record System. The Elections Panel establishes and maintains the National Voting System, sets administrative and technical standards for federal elections, certifies election equipment for state procurement, audits state compliance with federal election standards, administers referenda and confirmation votes, and certifies all federal election results. Where the Elections Panel certifies a State’s election system as non-compliant before an election, the Panel may withhold result certification for affected districts pending compliance or a special election under §7.3.a. Each panel is operationally independent of the other, of both executives, and of the Legislature in the exercise of its functions.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 The Legislature must establish by statute a procedure for each panel to adopt temporary technical measures in response to imminent security threats or system failures within its domain; such measures may not change electoral rules, timelines, or NRS record permanence, and expire within 72 hours unless ratified by a majority of the panel's seated members. Where either Panel falls below the five-member floor through resignation, removal, disqualification, or any other cause, the Civic Consul may appoint a qualified civil servant employed by that Panel to serve as Acting member, not to exceed the period defined by statute, which may not exceed 180 days; the Acting member may exercise all authorities of a full member during that period and the appointment does not affect the ordinary process for filling the vacancy permanently.</w:t>
      </w:r>
    </w:p>
    <w:p w14:paraId="52BA3DE1"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NVS Properties and Voting Rights</w:t>
      </w:r>
    </w:p>
    <w:p w14:paraId="4DE4C43E" w14:textId="77777777" w:rsidR="00AF3D56" w:rsidRDefault="00000000">
      <w:pPr>
        <w:spacing w:after="120"/>
        <w:ind w:left="431"/>
        <w:jc w:val="both"/>
      </w:pPr>
      <w:r>
        <w:rPr>
          <w:rFonts w:ascii="Garamond" w:eastAsia="Garamond" w:hAnsi="Garamond" w:cs="Garamond"/>
          <w:color w:val="2A2A2A"/>
          <w:sz w:val="22"/>
          <w:szCs w:val="22"/>
        </w:rPr>
        <w:t>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14:paraId="5C4960C1"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State Election Non-Compliance</w:t>
      </w:r>
    </w:p>
    <w:p w14:paraId="0611AAFA" w14:textId="77777777" w:rsidR="00AF3D56" w:rsidRDefault="00000000">
      <w:pPr>
        <w:spacing w:after="120"/>
        <w:ind w:left="431"/>
        <w:jc w:val="both"/>
      </w:pPr>
      <w:r>
        <w:rPr>
          <w:rFonts w:ascii="Garamond" w:eastAsia="Garamond" w:hAnsi="Garamond" w:cs="Garamond"/>
          <w:color w:val="2A2A2A"/>
          <w:sz w:val="22"/>
          <w:szCs w:val="22"/>
        </w:rPr>
        <w:t xml:space="preserve">Where the Elections Panel finds through audit that a State's election administration materially fails to meet the constitutional standards required under §11.1, it publishes the finding to the NRS and notifies the State formally. The State has the period defined by statute to cure the identified failures. Where the State does not cure within that period, the Elections Panel administers the relevant federal election directly within </w:t>
        <w:lastRenderedPageBreak/>
        <w:t>that State for that electoral period only; State administration resumes automatically at the conclusion of that period. The State may petition the SC for challenge the Elections Panel’s finding under §4.5’s original jurisdiction provisions governing State-federal disputes; the process and timeline are defined by statute. A finding of non-compliance does not affect the validity of votes cast; the Elections Panel's administration obligation is to ensure constitutional standards are met going forward.</w:t>
      </w:r>
    </w:p>
    <w:p w14:paraId="6ED8EAA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 — Social State and Economic Rights</w:t>
      </w:r>
    </w:p>
    <w:p w14:paraId="12AEB42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The Social State and Monetary Authority</w:t>
      </w:r>
    </w:p>
    <w:p w14:paraId="534116F3" w14:textId="77777777" w:rsidR="00AF3D56" w:rsidRDefault="00000000">
      <w:pPr>
        <w:spacing w:after="120"/>
        <w:ind w:left="431"/>
        <w:jc w:val="both"/>
      </w:pPr>
      <w:r>
        <w:rPr>
          <w:rFonts w:ascii="Garamond" w:eastAsia="Garamond" w:hAnsi="Garamond" w:cs="Garamond"/>
          <w:color w:val="2A2A2A"/>
          <w:sz w:val="22"/>
          <w:szCs w:val="22"/>
        </w:rPr>
        <w:t>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w:t>
      </w:r>
    </w:p>
    <w:p w14:paraId="031A54A1" w14:textId="77777777" w:rsidR="00AF3D56" w:rsidRDefault="00000000">
      <w:pPr>
        <w:spacing w:before="200" w:after="60"/>
        <w:ind w:left="431"/>
      </w:pPr>
      <w:r>
        <w:rPr>
          <w:rFonts w:ascii="Courier New" w:eastAsia="Courier New" w:hAnsi="Courier New" w:cs="Courier New"/>
          <w:b/>
          <w:bCs/>
          <w:color w:val="2A2A2A"/>
          <w:sz w:val="18"/>
          <w:szCs w:val="18"/>
        </w:rPr>
        <w:t xml:space="preserve">§12.1.a  </w:t>
      </w:r>
      <w:r>
        <w:rPr>
          <w:rFonts w:ascii="Garamond" w:eastAsia="Garamond" w:hAnsi="Garamond" w:cs="Garamond"/>
          <w:i/>
          <w:iCs/>
          <w:color w:val="1B2A4A"/>
          <w:sz w:val="22"/>
          <w:szCs w:val="22"/>
        </w:rPr>
        <w:t>The Monetary Authority</w:t>
      </w:r>
    </w:p>
    <w:p w14:paraId="242D4AA1" w14:textId="77777777" w:rsidR="00AF3D56" w:rsidRDefault="00000000">
      <w:pPr>
        <w:spacing w:after="120"/>
        <w:ind w:left="431"/>
        <w:jc w:val="both"/>
      </w:pPr>
      <w:r>
        <w:rPr>
          <w:rFonts w:ascii="Garamond" w:eastAsia="Garamond" w:hAnsi="Garamond" w:cs="Garamond"/>
          <w:color w:val="2A2A2A"/>
          <w:sz w:val="22"/>
          <w:szCs w:val="22"/>
        </w:rPr>
        <w:t>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14:paraId="7B1C2D01" w14:textId="77777777" w:rsidR="00AF3D56" w:rsidRDefault="00000000">
      <w:pPr>
        <w:spacing w:before="200" w:after="60"/>
        <w:ind w:left="431"/>
      </w:pPr>
      <w:r>
        <w:rPr>
          <w:rFonts w:ascii="Courier New" w:eastAsia="Courier New" w:hAnsi="Courier New" w:cs="Courier New"/>
          <w:b/>
          <w:bCs/>
          <w:color w:val="2A2A2A"/>
          <w:sz w:val="18"/>
          <w:szCs w:val="18"/>
        </w:rPr>
        <w:t xml:space="preserve">§12.1.b  </w:t>
      </w:r>
      <w:r>
        <w:rPr>
          <w:rFonts w:ascii="Garamond" w:eastAsia="Garamond" w:hAnsi="Garamond" w:cs="Garamond"/>
          <w:i/>
          <w:iCs/>
          <w:color w:val="1B2A4A"/>
          <w:sz w:val="22"/>
          <w:szCs w:val="22"/>
        </w:rPr>
        <w:t>Monetary Authority Reporting</w:t>
      </w:r>
    </w:p>
    <w:p w14:paraId="7B1C2D02" w14:textId="77777777" w:rsidR="00AF3D56" w:rsidRDefault="00000000">
      <w:pPr>
        <w:spacing w:after="120"/>
        <w:ind w:left="431"/>
        <w:jc w:val="both"/>
      </w:pPr>
      <w:r>
        <w:rPr>
          <w:rFonts w:ascii="Garamond" w:eastAsia="Garamond" w:hAnsi="Garamond" w:cs="Garamond"/>
          <w:color w:val="2A2A2A"/>
          <w:sz w:val="22"/>
          <w:szCs w:val="22"/>
        </w:rPr>
        <w:t>The Monetary Authority publishes a State of the Economy report to the Assembly, the Legat Consul, and the Civic Consul no less than semi-annually; the Legislature may by statute require a more frequent cycle. Each report includes the Monetary Authority’s account of relevant findings from the preceding period under §9.1.b and any applicable §9.6.a compliance findings. The Monetary Authority may publish additional reports at any time circumstances warrant, addressed to the same recipients. Where a Monitor publishes a Fail the publishing Monitor identifies as relevant to the Monetary Authority’s mandate, the Monetary Authority must, within 30 days, submit a report addressing the finding to the Assembly, the Legat Consul, and the Civic Consul, published to the NRS. Submission of that report discharges the Monetary Authority’s obligation under this provision; further action is a matter for the Legislature.</w:t>
      </w:r>
    </w:p>
    <w:p w14:paraId="7894C76C" w14:textId="77777777" w:rsidR="00AF3D56" w:rsidRDefault="00000000">
      <w:pPr>
        <w:spacing w:before="200" w:after="60"/>
        <w:ind w:left="431"/>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Fiscal Accountability</w:t>
      </w:r>
    </w:p>
    <w:p w14:paraId="7EB36F45" w14:textId="77777777" w:rsidR="00AF3D56" w:rsidRDefault="00000000">
      <w:pPr>
        <w:spacing w:after="120"/>
        <w:ind w:left="431"/>
        <w:jc w:val="both"/>
      </w:pPr>
      <w:r>
        <w:rPr>
          <w:rFonts w:ascii="Garamond" w:eastAsia="Garamond" w:hAnsi="Garamond" w:cs="Garamond"/>
          <w:color w:val="2A2A2A"/>
          <w:sz w:val="22"/>
          <w:szCs w:val="22"/>
        </w:rPr>
        <w:t>The annual budget originates in the Assembly. Each Consul prepares and submits to the Assembly a proposed budget for their respective domain, published to the NRS upon submission, by the deadline defined by statute; absent a statutory deadline, no later than 120 days before the start of the fiscal year. The Assembly gives the Consuls’ proposals due consideration in preparing the annual budget and is not bound by them. A Consul’s failure to submit a domain proposal does not delay or bar the budget process; the failure is published to the NRS and the Assembly proceeds. 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judicial operations, active defense authorizations under §14.2, and social state continuity under §12.1;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14:paraId="44C09FA1" w14:textId="77777777" w:rsidR="00AF3D56" w:rsidRDefault="00000000">
      <w:pPr>
        <w:spacing w:before="200" w:after="60"/>
        <w:ind w:left="431"/>
      </w:pPr>
      <w:r>
        <w:rPr>
          <w:rFonts w:ascii="Courier New" w:eastAsia="Courier New" w:hAnsi="Courier New" w:cs="Courier New"/>
          <w:b/>
          <w:bCs/>
          <w:color w:val="2A2A2A"/>
          <w:sz w:val="18"/>
          <w:szCs w:val="18"/>
        </w:rPr>
        <w:t xml:space="preserve">§12.3  </w:t>
      </w:r>
      <w:r>
        <w:rPr>
          <w:rFonts w:ascii="Garamond" w:eastAsia="Garamond" w:hAnsi="Garamond" w:cs="Garamond"/>
          <w:i/>
          <w:iCs/>
          <w:color w:val="1B2A4A"/>
          <w:sz w:val="22"/>
          <w:szCs w:val="22"/>
        </w:rPr>
        <w:t>Taxing Power and National Revenue Fund</w:t>
      </w:r>
    </w:p>
    <w:p w14:paraId="2CB8BD2E" w14:textId="77777777" w:rsidR="00AF3D56" w:rsidRDefault="00000000">
      <w:pPr>
        <w:spacing w:after="120"/>
        <w:ind w:left="431"/>
        <w:jc w:val="both"/>
      </w:pPr>
      <w:r>
        <w:rPr>
          <w:rFonts w:ascii="Garamond" w:eastAsia="Garamond" w:hAnsi="Garamond" w:cs="Garamond"/>
          <w:color w:val="2A2A2A"/>
          <w:sz w:val="22"/>
          <w:szCs w:val="22"/>
        </w:rPr>
        <w:t>The Legislature has exclusive authority to levy taxes, duties, and tariffs by statute; no other body may impose a tax, duty, or levy of any kind. All public money received by the Republic — including tax revenue, fees, and other receipts — is deposited into the National Revenue Fund. No money may be withdrawn from the National Revenue Fund except by legislative appropriation. The EM audits the Fund's receipts and disbursements as part of its annual fiscal mandate and publishes findings to the NRS. No tax may discriminate on the basis of the characteristics listed in §1.6. Tariff rates established by a ratified treaty or approved trade agreement under §3.6 constitute legislatively authorized rates for the duration of that instrument; the Legislature may set tariff schedules within which the Legat Consul may negotiate specific rates.</w:t>
      </w:r>
    </w:p>
    <w:p w14:paraId="463E5172" w14:textId="77777777" w:rsidR="00AF3D56" w:rsidRDefault="00000000">
      <w:pPr>
        <w:spacing w:before="200" w:after="60"/>
        <w:ind w:left="431"/>
      </w:pPr>
      <w:r>
        <w:rPr>
          <w:rFonts w:ascii="Courier New" w:eastAsia="Courier New" w:hAnsi="Courier New" w:cs="Courier New"/>
          <w:b/>
          <w:bCs/>
          <w:color w:val="2A2A2A"/>
          <w:sz w:val="18"/>
          <w:szCs w:val="18"/>
        </w:rPr>
        <w:t xml:space="preserve">§12.4  </w:t>
      </w:r>
      <w:r>
        <w:rPr>
          <w:rFonts w:ascii="Garamond" w:eastAsia="Garamond" w:hAnsi="Garamond" w:cs="Garamond"/>
          <w:i/>
          <w:iCs/>
          <w:color w:val="1B2A4A"/>
          <w:sz w:val="22"/>
          <w:szCs w:val="22"/>
        </w:rPr>
        <w:t>Ethics and Conflict of Interest</w:t>
      </w:r>
    </w:p>
    <w:p w14:paraId="5FC7640B" w14:textId="77777777" w:rsidR="00AF3D56" w:rsidRDefault="00000000">
      <w:pPr>
        <w:spacing w:after="120"/>
        <w:ind w:left="431"/>
        <w:jc w:val="both"/>
      </w:pPr>
      <w:r>
        <w:rPr>
          <w:rFonts w:ascii="Garamond" w:eastAsia="Garamond" w:hAnsi="Garamond" w:cs="Garamond"/>
          <w:color w:val="2A2A2A"/>
          <w:sz w:val="22"/>
          <w:szCs w:val="22"/>
        </w:rPr>
        <w:t xml:space="preserve">A financial interest includes any holding, income source, liability, business relationship, or similar economic interest; a financial interest is disqualifying where it creates a direct and material conflict between </w:t>
        <w:lastRenderedPageBreak/>
        <w:t>an officer’s personal economic interest and the impartial exercise of their official duties, with statute permitted to further specify categories and thresholds consistent with this standard. All constitutional officers must disclose all financial interests, holdings, income sources, and liabilities to their respective Monitor — the LM for members of the Legislature; the EM for both Consuls, executive branch officers, and military officers; the JM for judicial officers — within the period defined by statute after taking office and annually thereafter; disclosure records are published to the NRS. Candidates for a Monitor General’s own candidate pool are audited for financial disclosure by the other two Monitors jointly rather than by the Monitor whose pool they would join, as provided in §9.3 and §9.4. Any officer with a direct financial interest in a decision within their authority must recuse themselves; recusal is self-executing. Any decision made without required recusal is voidable; the relevant chamber may void the decision by simple majority within 90 days of the respective Monitor’s finding of conflict. Constitutional officers may not, for a period defined by statute after leaving office — which may not be less than two years — engage in any activity that monetizes or draws on non-public information, relationships, or access accumulated during service; the respective Monitor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their respective Monitor and deposited with the relevant treasury. All records created in the exercise of official functions are public records and may not be retained, destroyed, or removed by departing officers. Each Monitor investigates alleged violations of this section within their respective jurisdiction and publishes findings to the NRS; where findings warrant further action, the Monitor refers to the appropriate authority.</w:t>
      </w:r>
    </w:p>
    <w:p w14:paraId="7F55EDD5" w14:textId="77777777" w:rsidR="00AF3D56" w:rsidRDefault="00000000">
      <w:pPr>
        <w:spacing w:before="200" w:after="60"/>
        <w:ind w:left="431"/>
      </w:pPr>
      <w:r>
        <w:rPr>
          <w:rFonts w:ascii="Courier New" w:eastAsia="Courier New" w:hAnsi="Courier New" w:cs="Courier New"/>
          <w:b/>
          <w:bCs/>
          <w:color w:val="2A2A2A"/>
          <w:sz w:val="18"/>
          <w:szCs w:val="18"/>
        </w:rPr>
        <w:t xml:space="preserve">§12.4.a  </w:t>
      </w:r>
      <w:r>
        <w:rPr>
          <w:rFonts w:ascii="Garamond" w:eastAsia="Garamond" w:hAnsi="Garamond" w:cs="Garamond"/>
          <w:i/>
          <w:iCs/>
          <w:color w:val="1B2A4A"/>
          <w:sz w:val="22"/>
          <w:szCs w:val="22"/>
        </w:rPr>
        <w:t>Codes of Conduct and Recusal</w:t>
      </w:r>
    </w:p>
    <w:p w14:paraId="1E91FD8A" w14:textId="77777777" w:rsidR="00AF3D56" w:rsidRDefault="00000000">
      <w:pPr>
        <w:spacing w:after="120"/>
        <w:ind w:left="431"/>
        <w:jc w:val="both"/>
      </w:pPr>
      <w:r>
        <w:rPr>
          <w:rFonts w:ascii="Garamond" w:eastAsia="Garamond" w:hAnsi="Garamond" w:cs="Garamond"/>
          <w:color w:val="2A2A2A"/>
          <w:sz w:val="22"/>
          <w:szCs w:val="22"/>
        </w:rPr>
        <w:t>The Legislature may by statute establish codes of conduct and procedural rules for any constitutionally established office outside the Legislature, including standards for recusal from specific proceedings, disclosure obligations beyond those required by §12.4, and disciplinary procedures for conduct falling short of removal grounds under §9.14. Such rules must be consistent with the independence protections of the relevant office and may not be used to constrain the substantive exercise of any constitutionally assigned function. In the absence of statute establishing recusal standards for a given office, an officer must recuse where their impartiality could reasonably be questioned. An officer who fails to recuse in circumstances requiring recusal — whether defined by statute or this default standard — acts in constitutional breach; the act or determination in which they participated remains subject to challenge on that ground. No statute enacted under this provision may be amended or repealed within the legislative session immediately following the session of its enactment; thereafter, amendment or repeal requires a 2/3 majority of both chambers.</w:t>
      </w:r>
    </w:p>
    <w:p w14:paraId="61B86608" w14:textId="77777777" w:rsidR="00AF3D56" w:rsidRDefault="00000000">
      <w:pPr>
        <w:spacing w:before="200" w:after="60"/>
        <w:ind w:left="431"/>
      </w:pPr>
      <w:r>
        <w:rPr>
          <w:rFonts w:ascii="Courier New" w:eastAsia="Courier New" w:hAnsi="Courier New" w:cs="Courier New"/>
          <w:b/>
          <w:bCs/>
          <w:color w:val="2A2A2A"/>
          <w:sz w:val="18"/>
          <w:szCs w:val="18"/>
        </w:rPr>
        <w:t xml:space="preserve">§12.4.b  </w:t>
      </w:r>
      <w:r>
        <w:rPr>
          <w:rFonts w:ascii="Garamond" w:eastAsia="Garamond" w:hAnsi="Garamond" w:cs="Garamond"/>
          <w:i/>
          <w:iCs/>
          <w:color w:val="1B2A4A"/>
          <w:sz w:val="22"/>
          <w:szCs w:val="22"/>
        </w:rPr>
        <w:t>Monitor General Disclosure</w:t>
      </w:r>
    </w:p>
    <w:p w14:paraId="7A2F2502" w14:textId="77777777" w:rsidR="00AF3D56" w:rsidRDefault="00000000">
      <w:pPr>
        <w:spacing w:after="120"/>
        <w:ind w:left="431"/>
        <w:jc w:val="both"/>
      </w:pPr>
      <w:r>
        <w:rPr>
          <w:rFonts w:ascii="Garamond" w:eastAsia="Garamond" w:hAnsi="Garamond" w:cs="Garamond"/>
          <w:color w:val="2A2A2A"/>
          <w:sz w:val="22"/>
          <w:szCs w:val="22"/>
        </w:rPr>
        <w:t>Monitor Generals disclose under the same requirements and schedule as other constitutional officers under §12.4, published directly to the NRS; no Monitor reviews another Monitor’s disclosure. Self-executing recusal applies as under §12.4, but the voidable-decision remedy does not apply to Monitor General functions. The Legislature must include concealment of a disqualifying financial interest, or failure to recuse where required, among the statutory removal categories established for Monitor Generals under §9.14.</w:t>
      </w:r>
    </w:p>
    <w:p w14:paraId="7DABB156" w14:textId="77777777" w:rsidR="00AF3D56" w:rsidRDefault="00000000">
      <w:pPr>
        <w:spacing w:before="200" w:after="60"/>
        <w:ind w:left="431"/>
      </w:pPr>
      <w:r>
        <w:rPr>
          <w:rFonts w:ascii="Courier New" w:eastAsia="Courier New" w:hAnsi="Courier New" w:cs="Courier New"/>
          <w:b/>
          <w:bCs/>
          <w:color w:val="2A2A2A"/>
          <w:sz w:val="18"/>
          <w:szCs w:val="18"/>
        </w:rPr>
        <w:t xml:space="preserve">§12.4.c  </w:t>
      </w:r>
      <w:r>
        <w:rPr>
          <w:rFonts w:ascii="Garamond" w:eastAsia="Garamond" w:hAnsi="Garamond" w:cs="Garamond"/>
          <w:i/>
          <w:iCs/>
          <w:color w:val="1B2A4A"/>
          <w:sz w:val="22"/>
          <w:szCs w:val="22"/>
        </w:rPr>
        <w:t>Federal Employee and Military Disclosure</w:t>
      </w:r>
    </w:p>
    <w:p w14:paraId="3EBF3AEF" w14:textId="77777777" w:rsidR="00AF3D56" w:rsidRDefault="00000000">
      <w:pPr>
        <w:spacing w:after="120"/>
        <w:ind w:left="431"/>
        <w:jc w:val="both"/>
      </w:pPr>
      <w:r>
        <w:rPr>
          <w:rFonts w:ascii="Garamond" w:eastAsia="Garamond" w:hAnsi="Garamond" w:cs="Garamond"/>
          <w:color w:val="2A2A2A"/>
          <w:sz w:val="22"/>
          <w:szCs w:val="22"/>
        </w:rPr>
        <w:t>The Legislature must by statute establish disclosure and recusal requirements for federal government employees and military personnel whose duties create material conflict-of-interest risk, including procurement, regulatory, and senior civil service positions. The respective Monitor audits the administering agency’s compliance with this requirement and publishes findings to the NRS; this audit is systemic and does not require individual-filing review by the Monitor.</w:t>
      </w:r>
    </w:p>
    <w:p w14:paraId="4944C50E" w14:textId="77777777" w:rsidR="00AF3D56" w:rsidRDefault="00000000">
      <w:pPr>
        <w:spacing w:before="200" w:after="60"/>
        <w:ind w:left="431"/>
      </w:pPr>
      <w:r>
        <w:rPr>
          <w:rFonts w:ascii="Courier New" w:eastAsia="Courier New" w:hAnsi="Courier New" w:cs="Courier New"/>
          <w:b/>
          <w:bCs/>
          <w:color w:val="2A2A2A"/>
          <w:sz w:val="18"/>
          <w:szCs w:val="18"/>
        </w:rPr>
        <w:t xml:space="preserve">§12.5  </w:t>
      </w:r>
      <w:r>
        <w:rPr>
          <w:rFonts w:ascii="Garamond" w:eastAsia="Garamond" w:hAnsi="Garamond" w:cs="Garamond"/>
          <w:i/>
          <w:iCs/>
          <w:color w:val="1B2A4A"/>
          <w:sz w:val="22"/>
          <w:szCs w:val="22"/>
        </w:rPr>
        <w:t>National Endowment</w:t>
      </w:r>
    </w:p>
    <w:p w14:paraId="6E4888F1" w14:textId="77777777" w:rsidR="00AF3D56" w:rsidRDefault="00000000">
      <w:pPr>
        <w:spacing w:after="120"/>
        <w:ind w:left="431"/>
        <w:jc w:val="both"/>
      </w:pPr>
      <w:r>
        <w:rPr>
          <w:rFonts w:ascii="Garamond" w:eastAsia="Garamond" w:hAnsi="Garamond" w:cs="Garamond"/>
          <w:color w:val="2A2A2A"/>
          <w:sz w:val="22"/>
          <w:szCs w:val="22"/>
        </w:rPr>
        <w:lastRenderedPageBreak/>
        <w:t>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w:t>
      </w:r>
    </w:p>
    <w:p w14:paraId="6FBA841A" w14:textId="77777777" w:rsidR="00AF3D56" w:rsidRDefault="00000000">
      <w:pPr>
        <w:spacing w:before="200" w:after="60"/>
        <w:ind w:left="431"/>
      </w:pPr>
      <w:r>
        <w:rPr>
          <w:rFonts w:ascii="Courier New" w:eastAsia="Courier New" w:hAnsi="Courier New" w:cs="Courier New"/>
          <w:b/>
          <w:bCs/>
          <w:color w:val="2A2A2A"/>
          <w:sz w:val="18"/>
          <w:szCs w:val="18"/>
        </w:rPr>
        <w:t xml:space="preserve">§12.6  </w:t>
      </w:r>
      <w:r>
        <w:rPr>
          <w:rFonts w:ascii="Garamond" w:eastAsia="Garamond" w:hAnsi="Garamond" w:cs="Garamond"/>
          <w:i/>
          <w:iCs/>
          <w:color w:val="1B2A4A"/>
          <w:sz w:val="22"/>
          <w:szCs w:val="22"/>
        </w:rPr>
        <w:t>Compensation of Public Officials</w:t>
      </w:r>
    </w:p>
    <w:p w14:paraId="616AD1B4" w14:textId="77777777" w:rsidR="00AF3D56" w:rsidRDefault="00000000">
      <w:pPr>
        <w:spacing w:after="120"/>
        <w:ind w:left="431"/>
        <w:jc w:val="both"/>
      </w:pPr>
      <w:r>
        <w:rPr>
          <w:rFonts w:ascii="Garamond" w:eastAsia="Garamond" w:hAnsi="Garamond" w:cs="Garamond"/>
          <w:color w:val="2A2A2A"/>
          <w:sz w:val="22"/>
          <w:szCs w:val="22"/>
        </w:rPr>
        <w:t>No government official may set their own compensation or the compensation of their direct supervisors. All official compensation is set by statute and is a public record on the NRS. The Legislature may by statute set the compensation of elected constitutional officers; no such change takes effect until after the next election for the relevant office following the session in which it was enacted. Official benefits and accommodations reflect the functional requirements of the office, not the status of the officeholder; no benefit may exceed what the function genuinely requires.</w:t>
      </w:r>
    </w:p>
    <w:p w14:paraId="59FBD4C2" w14:textId="77777777" w:rsidR="00AF3D56" w:rsidRDefault="00000000">
      <w:pPr>
        <w:spacing w:before="200" w:after="60"/>
        <w:ind w:left="431"/>
      </w:pPr>
      <w:r>
        <w:rPr>
          <w:rFonts w:ascii="Courier New" w:eastAsia="Courier New" w:hAnsi="Courier New" w:cs="Courier New"/>
          <w:b/>
          <w:bCs/>
          <w:color w:val="2A2A2A"/>
          <w:sz w:val="18"/>
          <w:szCs w:val="18"/>
        </w:rPr>
        <w:t xml:space="preserve">§12.7  </w:t>
      </w:r>
      <w:r>
        <w:rPr>
          <w:rFonts w:ascii="Garamond" w:eastAsia="Garamond" w:hAnsi="Garamond" w:cs="Garamond"/>
          <w:i/>
          <w:iCs/>
          <w:color w:val="1B2A4A"/>
          <w:sz w:val="22"/>
          <w:szCs w:val="22"/>
        </w:rPr>
        <w:t>Internal Commerce</w:t>
      </w:r>
    </w:p>
    <w:p w14:paraId="2D1E05AC" w14:textId="77777777" w:rsidR="00AF3D56" w:rsidRDefault="00000000">
      <w:pPr>
        <w:spacing w:after="120"/>
        <w:ind w:left="431"/>
        <w:jc w:val="both"/>
      </w:pPr>
      <w:r>
        <w:rPr>
          <w:rFonts w:ascii="Garamond" w:eastAsia="Garamond" w:hAnsi="Garamond" w:cs="Garamond"/>
          <w:color w:val="2A2A2A"/>
          <w:sz w:val="22"/>
          <w:szCs w:val="22"/>
        </w:rPr>
        <w:t>No State or Territory may impose requirements on goods, services, or economic activity originating in another State or Territory that are more burdensome than those applied to its own. The Legislature may establish uniform internal commerce standards by statute.</w:t>
      </w:r>
    </w:p>
    <w:p w14:paraId="73CC603D" w14:textId="77777777" w:rsidR="00AF3D56" w:rsidRDefault="00000000">
      <w:pPr>
        <w:spacing w:before="200" w:after="60"/>
        <w:ind w:left="431"/>
      </w:pPr>
      <w:r>
        <w:rPr>
          <w:rFonts w:ascii="Courier New" w:eastAsia="Courier New" w:hAnsi="Courier New" w:cs="Courier New"/>
          <w:b/>
          <w:bCs/>
          <w:color w:val="2A2A2A"/>
          <w:sz w:val="18"/>
          <w:szCs w:val="18"/>
        </w:rPr>
        <w:t xml:space="preserve">§12.8  </w:t>
      </w:r>
      <w:r>
        <w:rPr>
          <w:rFonts w:ascii="Garamond" w:eastAsia="Garamond" w:hAnsi="Garamond" w:cs="Garamond"/>
          <w:i/>
          <w:iCs/>
          <w:color w:val="1B2A4A"/>
          <w:sz w:val="22"/>
          <w:szCs w:val="22"/>
        </w:rPr>
        <w:t>Fiscal Equalization</w:t>
      </w:r>
    </w:p>
    <w:p w14:paraId="0294EC51" w14:textId="77777777" w:rsidR="00AF3D56" w:rsidRDefault="00000000">
      <w:pPr>
        <w:spacing w:after="120"/>
        <w:ind w:left="431"/>
        <w:jc w:val="both"/>
      </w:pPr>
      <w:r>
        <w:rPr>
          <w:rFonts w:ascii="Garamond" w:eastAsia="Garamond" w:hAnsi="Garamond" w:cs="Garamond"/>
          <w:color w:val="2A2A2A"/>
          <w:sz w:val="22"/>
          <w:szCs w:val="22"/>
        </w:rPr>
        <w:t>The Legislature shall by statute establish a mechanism ensuring that every State and Territory has fiscal capacity reasonably sufficient to fulfil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must respond within 90 days.</w:t>
      </w:r>
    </w:p>
    <w:p w14:paraId="263A7EF9"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XIII — Direct Democracy</w:t>
      </w:r>
    </w:p>
    <w:p w14:paraId="2D25DBFF" w14:textId="77777777" w:rsidR="00AF3D56" w:rsidRDefault="00000000">
      <w:pPr>
        <w:spacing w:before="200" w:after="60"/>
        <w:ind w:left="431"/>
      </w:pPr>
      <w:r>
        <w:rPr>
          <w:rFonts w:ascii="Courier New" w:eastAsia="Courier New" w:hAnsi="Courier New" w:cs="Courier New"/>
          <w:b/>
          <w:bCs/>
          <w:color w:val="2A2A2A"/>
          <w:sz w:val="18"/>
          <w:szCs w:val="18"/>
        </w:rPr>
        <w:t xml:space="preserve">§13.1  </w:t>
      </w:r>
      <w:r>
        <w:rPr>
          <w:rFonts w:ascii="Garamond" w:eastAsia="Garamond" w:hAnsi="Garamond" w:cs="Garamond"/>
          <w:i/>
          <w:iCs/>
          <w:color w:val="1B2A4A"/>
          <w:sz w:val="22"/>
          <w:szCs w:val="22"/>
        </w:rPr>
        <w:t>Optional Referendum</w:t>
      </w:r>
    </w:p>
    <w:p w14:paraId="20757F55" w14:textId="77777777" w:rsidR="00AF3D56" w:rsidRDefault="00000000">
      <w:pPr>
        <w:spacing w:after="120"/>
        <w:ind w:left="431"/>
        <w:jc w:val="both"/>
      </w:pPr>
      <w:r>
        <w:rPr>
          <w:rFonts w:ascii="Garamond" w:eastAsia="Garamond" w:hAnsi="Garamond" w:cs="Garamond"/>
          <w:color w:val="2A2A2A"/>
          <w:sz w:val="22"/>
          <w:szCs w:val="22"/>
        </w:rPr>
        <w:t>Citizens may initiate a national referendum to repeal enacted legislation. The petition process begins within 90 days of enactment and proceeds in two phases, each authenticated through the NVS using Citizen Voting Credentials. Phase One, lasting up to 8 months, requires signatures from citizens equal to a percentage of eligible voters — defined by statute at not less than 0.5% nor more than 3% — in each of at least one-third of all States and Territories. Phase Two, lasting up to 8 months following Phase One’s completion, requires signatures from 5% of eligible voters nationally; signatures gathered in Phase One carry over and count toward this threshold.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of not less than 30% and not to exceed 50%, repeals the law immediately upon certification. A failed referendum may not be re-initiated on the same or substantially similar grounds; the Legislature may re-enact a repealed law, which is again subject to referendum.</w:t>
      </w:r>
    </w:p>
    <w:p w14:paraId="56A2B479" w14:textId="77777777" w:rsidR="00AF3D56" w:rsidRDefault="00000000">
      <w:pPr>
        <w:spacing w:before="200" w:after="60"/>
        <w:ind w:left="431"/>
      </w:pPr>
      <w:r>
        <w:rPr>
          <w:rFonts w:ascii="Courier New" w:eastAsia="Courier New" w:hAnsi="Courier New" w:cs="Courier New"/>
          <w:b/>
          <w:bCs/>
          <w:color w:val="2A2A2A"/>
          <w:sz w:val="18"/>
          <w:szCs w:val="18"/>
        </w:rPr>
        <w:t xml:space="preserve">§13.2  </w:t>
      </w:r>
      <w:r>
        <w:rPr>
          <w:rFonts w:ascii="Garamond" w:eastAsia="Garamond" w:hAnsi="Garamond" w:cs="Garamond"/>
          <w:i/>
          <w:iCs/>
          <w:color w:val="1B2A4A"/>
          <w:sz w:val="22"/>
          <w:szCs w:val="22"/>
        </w:rPr>
        <w:t>Citizen Legislative Initiative</w:t>
      </w:r>
    </w:p>
    <w:p w14:paraId="3AF26292" w14:textId="77777777" w:rsidR="00AF3D56" w:rsidRDefault="00000000">
      <w:pPr>
        <w:spacing w:after="120"/>
        <w:ind w:left="431"/>
        <w:jc w:val="both"/>
      </w:pPr>
      <w:r>
        <w:rPr>
          <w:rFonts w:ascii="Garamond" w:eastAsia="Garamond" w:hAnsi="Garamond" w:cs="Garamond"/>
          <w:color w:val="2A2A2A"/>
          <w:sz w:val="22"/>
          <w:szCs w:val="22"/>
        </w:rPr>
        <w:t>Citizens may propose legislation directly to the Legislature. The petition process proceeds in two phases, each authenticated through the NVS using Citizen Voting Credentials. Phase One, lasting up to 10 months, requires signatures from citizens equal to a percentage of eligible voters — defined by statute at not less than 0.5% nor more than 3% — in each of at least one-third of all States and Territories. Phase Two, lasting up to 10 months following Phase One’s completion, requires signatures from 10% of eligible voters nationally; signatures gathered in Phase One carry over and count toward this threshold. Once the threshold is met, the Legislature must vote on the proposal within 90 days; if it fails or is not voted on, the proposal proceeds to a direct citizen referendum; passage requires 60% of votes cast with at least 50% citizen participation. A failed initiative may not be re-initiated on the same or substantially similar grounds.</w:t>
      </w:r>
    </w:p>
    <w:p w14:paraId="7FBC41FE" w14:textId="77777777" w:rsidR="00AF3D56" w:rsidRDefault="00000000">
      <w:pPr>
        <w:spacing w:before="200" w:after="60"/>
        <w:ind w:left="431"/>
      </w:pPr>
      <w:r>
        <w:rPr>
          <w:rFonts w:ascii="Courier New" w:eastAsia="Courier New" w:hAnsi="Courier New" w:cs="Courier New"/>
          <w:b/>
          <w:bCs/>
          <w:color w:val="2A2A2A"/>
          <w:sz w:val="18"/>
          <w:szCs w:val="18"/>
        </w:rPr>
        <w:t xml:space="preserve">§7.4  </w:t>
      </w:r>
      <w:r>
        <w:rPr>
          <w:rFonts w:ascii="Garamond" w:eastAsia="Garamond" w:hAnsi="Garamond" w:cs="Garamond"/>
          <w:i/>
          <w:iCs/>
          <w:color w:val="1B2A4A"/>
          <w:sz w:val="22"/>
          <w:szCs w:val="22"/>
        </w:rPr>
        <w:t>Electoral Supermajority Threshold</w:t>
      </w:r>
    </w:p>
    <w:p w14:paraId="743CADFF" w14:textId="77777777" w:rsidR="00AF3D56" w:rsidRDefault="00000000">
      <w:pPr>
        <w:spacing w:after="120"/>
        <w:ind w:left="431"/>
        <w:jc w:val="both"/>
      </w:pPr>
      <w:r>
        <w:rPr>
          <w:rFonts w:ascii="Garamond" w:eastAsia="Garamond" w:hAnsi="Garamond" w:cs="Garamond"/>
          <w:color w:val="2A2A2A"/>
          <w:sz w:val="22"/>
          <w:szCs w:val="22"/>
        </w:rPr>
        <w:t>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(§7.2); public confirmation of a Supreme Court justice under the Senate bypass mechanism (§4.4.a); and public election removal of a constitutional officer under §9.14.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w:t>
      </w:r>
    </w:p>
    <w:p w14:paraId="56EC121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XIV — Military Authorization and Accountability</w:t>
      </w:r>
    </w:p>
    <w:p w14:paraId="397EB8F9" w14:textId="77777777" w:rsidR="00AF3D56" w:rsidRDefault="00000000">
      <w:pPr>
        <w:spacing w:before="200" w:after="60"/>
        <w:ind w:left="431"/>
      </w:pPr>
      <w:r>
        <w:rPr>
          <w:rFonts w:ascii="Courier New" w:eastAsia="Courier New" w:hAnsi="Courier New" w:cs="Courier New"/>
          <w:b/>
          <w:bCs/>
          <w:color w:val="2A2A2A"/>
          <w:sz w:val="18"/>
          <w:szCs w:val="18"/>
        </w:rPr>
        <w:t xml:space="preserve">§14.1  </w:t>
      </w:r>
      <w:r>
        <w:rPr>
          <w:rFonts w:ascii="Garamond" w:eastAsia="Garamond" w:hAnsi="Garamond" w:cs="Garamond"/>
          <w:i/>
          <w:iCs/>
          <w:color w:val="1B2A4A"/>
          <w:sz w:val="22"/>
          <w:szCs w:val="22"/>
        </w:rPr>
        <w:t>Authorized Purposes for Military Force</w:t>
      </w:r>
    </w:p>
    <w:p w14:paraId="4D8B0046" w14:textId="77777777" w:rsidR="00AF3D56" w:rsidRDefault="00000000">
      <w:pPr>
        <w:spacing w:after="120"/>
        <w:ind w:left="431"/>
        <w:jc w:val="both"/>
      </w:pPr>
      <w:r>
        <w:rPr>
          <w:rFonts w:ascii="Garamond" w:eastAsia="Garamond" w:hAnsi="Garamond" w:cs="Garamond"/>
          <w:color w:val="2A2A2A"/>
          <w:sz w:val="22"/>
          <w:szCs w:val="22"/>
        </w:rPr>
        <w:t>Military force serves two authorized purposes: protection of the Republic's territory, citizens, and treaty allies; and, with legislative authorization stating the specific grounds, response to crimes against humanity as defined under international law. The Legislature applies that definition directly in each authorization; no prior international recognition or finding is required.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 The SC’s review under this section is limited to whether the Legislature linked the authorization to one of the purposes enumerated above; the SC does not review whether the underlying facts satisfy that purpose’s legal threshold.</w:t>
      </w:r>
    </w:p>
    <w:p w14:paraId="689652C5" w14:textId="77777777" w:rsidR="00AF3D56" w:rsidRDefault="00000000">
      <w:pPr>
        <w:spacing w:before="200" w:after="60"/>
        <w:ind w:left="431"/>
      </w:pPr>
      <w:r>
        <w:rPr>
          <w:rFonts w:ascii="Courier New" w:eastAsia="Courier New" w:hAnsi="Courier New" w:cs="Courier New"/>
          <w:b/>
          <w:bCs/>
          <w:color w:val="2A2A2A"/>
          <w:sz w:val="18"/>
          <w:szCs w:val="18"/>
        </w:rPr>
        <w:t xml:space="preserve">§14.2  </w:t>
      </w:r>
      <w:r>
        <w:rPr>
          <w:rFonts w:ascii="Garamond" w:eastAsia="Garamond" w:hAnsi="Garamond" w:cs="Garamond"/>
          <w:i/>
          <w:iCs/>
          <w:color w:val="1B2A4A"/>
          <w:sz w:val="22"/>
          <w:szCs w:val="22"/>
        </w:rPr>
        <w:t>Defense Authorization and Allocation</w:t>
      </w:r>
    </w:p>
    <w:p w14:paraId="69F24B7F" w14:textId="77777777" w:rsidR="00AF3D56" w:rsidRDefault="00000000">
      <w:pPr>
        <w:spacing w:after="120"/>
        <w:ind w:left="431"/>
        <w:jc w:val="both"/>
      </w:pPr>
      <w:r>
        <w:rPr>
          <w:rFonts w:ascii="Garamond" w:eastAsia="Garamond" w:hAnsi="Garamond" w:cs="Garamond"/>
          <w:color w:val="2A2A2A"/>
          <w:sz w:val="22"/>
          <w:szCs w:val="22"/>
        </w:rPr>
        <w:t>Military expenditure requires legislative authorization under §14.1 and budget passage under §12.2; the Legat Consul executes that funding. Where authorization specifies categories or amounts, the Legat Consul is bound by them; otherwise, the Legat Consul determines allocation within the authorized total. The Legat Consul answers public questions before the Senate at intervals defined by statute and provides classified briefings to the Senate during active operations. Neither obligation constitutes Senate approval or conditions the Legat Consul’s authority to act. The Legat Consul keeps the Civic Consul informed of expenditure and its budgetary implications through the Council of Ministers under §2.14. When legislative authorization expires or lapses, all expenditure ceases; contracts may wind down for up to 90 days, with no new commitments permitted after expiration. The EM audits expenditure during active operations and publishes findings to the NRS, including intelligence activities conducted in support of those operations, published in classified summary form. The EM publishes a comprehensive accountability report within 180 days of an operation’s conclusion.</w:t>
      </w:r>
    </w:p>
    <w:p w14:paraId="0F47319D" w14:textId="77777777" w:rsidR="00AF3D56" w:rsidRDefault="00000000">
      <w:pPr>
        <w:spacing w:before="200" w:after="60"/>
        <w:ind w:left="431"/>
      </w:pPr>
      <w:r>
        <w:rPr>
          <w:rFonts w:ascii="Courier New" w:eastAsia="Courier New" w:hAnsi="Courier New" w:cs="Courier New"/>
          <w:b/>
          <w:bCs/>
          <w:color w:val="2A2A2A"/>
          <w:sz w:val="18"/>
          <w:szCs w:val="18"/>
        </w:rPr>
        <w:t xml:space="preserve">§14.3  </w:t>
      </w:r>
      <w:r>
        <w:rPr>
          <w:rFonts w:ascii="Garamond" w:eastAsia="Garamond" w:hAnsi="Garamond" w:cs="Garamond"/>
          <w:i/>
          <w:iCs/>
          <w:color w:val="1B2A4A"/>
          <w:sz w:val="22"/>
          <w:szCs w:val="22"/>
        </w:rPr>
        <w:t>Military Accountability</w:t>
      </w:r>
    </w:p>
    <w:p w14:paraId="39470BC8" w14:textId="77777777" w:rsidR="00AF3D56" w:rsidRDefault="00000000">
      <w:pPr>
        <w:spacing w:after="120"/>
        <w:ind w:left="431"/>
        <w:jc w:val="both"/>
      </w:pPr>
      <w:r>
        <w:rPr>
          <w:rFonts w:ascii="Garamond" w:eastAsia="Garamond" w:hAnsi="Garamond" w:cs="Garamond"/>
          <w:color w:val="2A2A2A"/>
          <w:sz w:val="22"/>
          <w:szCs w:val="22"/>
        </w:rPr>
        <w:t>Within the period defined by statute following legislative military authorization being renewed for a second time, the Legat Consul submits a Transition and Reconstruction Plan to the Senate specifying the Republic’s post-conflict obligations: status of alliance obligations, civilian reconstruction support, transitional justice support, and withdrawal timeline. The Senate reviews and approves the Plan, and may amend it in consultation and coordination with the Legat Consul. The approved Plan is published to the NRS and is binding on both executives within their respective domains. Legislative authorization may not be renewed beyond that point unless the Senate has approved a Plan; where authorization is not renewed, expenditure ceases under §14.2.</w:t>
      </w:r>
    </w:p>
    <w:p w14:paraId="759BD6E3" w14:textId="77777777" w:rsidR="00AF3D56" w:rsidRDefault="00000000">
      <w:pPr>
        <w:spacing w:before="200" w:after="60"/>
        <w:ind w:left="431"/>
      </w:pPr>
      <w:r>
        <w:rPr>
          <w:rFonts w:ascii="Courier New" w:eastAsia="Courier New" w:hAnsi="Courier New" w:cs="Courier New"/>
          <w:b/>
          <w:bCs/>
          <w:color w:val="2A2A2A"/>
          <w:sz w:val="18"/>
          <w:szCs w:val="18"/>
        </w:rPr>
        <w:t xml:space="preserve">§14.4  </w:t>
      </w:r>
      <w:r>
        <w:rPr>
          <w:rFonts w:ascii="Garamond" w:eastAsia="Garamond" w:hAnsi="Garamond" w:cs="Garamond"/>
          <w:i/>
          <w:iCs/>
          <w:color w:val="1B2A4A"/>
          <w:sz w:val="22"/>
          <w:szCs w:val="22"/>
        </w:rPr>
        <w:t>Treaty-Based Military Authorization</w:t>
      </w:r>
    </w:p>
    <w:p w14:paraId="768FBD7E" w14:textId="77777777" w:rsidR="00AF3D56" w:rsidRDefault="00000000">
      <w:pPr>
        <w:spacing w:after="120"/>
        <w:ind w:left="431"/>
        <w:jc w:val="both"/>
      </w:pPr>
      <w:r>
        <w:rPr>
          <w:rFonts w:ascii="Garamond" w:eastAsia="Garamond" w:hAnsi="Garamond" w:cs="Garamond"/>
          <w:color w:val="2A2A2A"/>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The oversight and accountability provisions of §14.2 apply from the moment of action. Where the SC determines that a treaty’s trigger conditions were not met, military operations are limited to a defensive posture, and both chambers of the Legislature must vote on whether to authorize continuation of the action no later than 30 days after the SC’s decision is published. An affirmative vote in both chambers constitutes legislative </w:t>
        <w:lastRenderedPageBreak/>
        <w:t>authorization, and the action proceeds under the ordinary terms of this Article from that point. Absent an affirmative vote within the 30-day period, §14.2’s expiration and wind-down provisions apply.</w:t>
      </w:r>
    </w:p>
    <w:p w14:paraId="036594B8"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 — Territorial Structure and Statehood</w:t>
      </w:r>
    </w:p>
    <w:p w14:paraId="6B0719C1" w14:textId="77777777" w:rsidR="00AF3D56" w:rsidRDefault="00000000">
      <w:pPr>
        <w:spacing w:before="200" w:after="60"/>
        <w:ind w:left="431"/>
      </w:pPr>
      <w:r>
        <w:rPr>
          <w:rFonts w:ascii="Courier New" w:eastAsia="Courier New" w:hAnsi="Courier New" w:cs="Courier New"/>
          <w:b/>
          <w:bCs/>
          <w:color w:val="2A2A2A"/>
          <w:sz w:val="18"/>
          <w:szCs w:val="18"/>
        </w:rPr>
        <w:t xml:space="preserve">§15.1  </w:t>
      </w:r>
      <w:r>
        <w:rPr>
          <w:rFonts w:ascii="Garamond" w:eastAsia="Garamond" w:hAnsi="Garamond" w:cs="Garamond"/>
          <w:i/>
          <w:iCs/>
          <w:color w:val="1B2A4A"/>
          <w:sz w:val="22"/>
          <w:szCs w:val="22"/>
        </w:rPr>
        <w:t>Territorial Compact</w:t>
      </w:r>
    </w:p>
    <w:p w14:paraId="0A73E2D3" w14:textId="77777777" w:rsidR="00AF3D56" w:rsidRDefault="00000000">
      <w:pPr>
        <w:spacing w:after="120"/>
        <w:ind w:left="431"/>
        <w:jc w:val="both"/>
      </w:pPr>
      <w:r>
        <w:rPr>
          <w:rFonts w:ascii="Garamond" w:eastAsia="Garamond" w:hAnsi="Garamond" w:cs="Garamond"/>
          <w:color w:val="2A2A2A"/>
          <w:sz w:val="22"/>
          <w:szCs w:val="22"/>
        </w:rPr>
        <w:t>A Territory operates under a Territorial Compact — the restructuring agreement under §15.4 or the incorporation agreement under §15.6 where the Territory results from one of those processes, or otherwise a standard statutory framework the Legislature defines, which must provide for an elected local governing authority over matters of local concern —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14:paraId="1AD166BC" w14:textId="77777777" w:rsidR="00AF3D56" w:rsidRDefault="00000000">
      <w:pPr>
        <w:spacing w:before="200" w:after="60"/>
        <w:ind w:left="431"/>
      </w:pPr>
      <w:r>
        <w:rPr>
          <w:rFonts w:ascii="Courier New" w:eastAsia="Courier New" w:hAnsi="Courier New" w:cs="Courier New"/>
          <w:b/>
          <w:bCs/>
          <w:color w:val="2A2A2A"/>
          <w:sz w:val="18"/>
          <w:szCs w:val="18"/>
        </w:rPr>
        <w:t xml:space="preserve">§15.2  </w:t>
      </w:r>
      <w:r>
        <w:rPr>
          <w:rFonts w:ascii="Garamond" w:eastAsia="Garamond" w:hAnsi="Garamond" w:cs="Garamond"/>
          <w:i/>
          <w:iCs/>
          <w:color w:val="1B2A4A"/>
          <w:sz w:val="22"/>
          <w:szCs w:val="22"/>
        </w:rPr>
        <w:t>The Statehood Audit</w:t>
      </w:r>
    </w:p>
    <w:p w14:paraId="6E5F08F8" w14:textId="77777777" w:rsidR="00AF3D56" w:rsidRDefault="00000000">
      <w:pPr>
        <w:spacing w:after="120"/>
        <w:ind w:left="431"/>
        <w:jc w:val="both"/>
      </w:pPr>
      <w:r>
        <w:rPr>
          <w:rFonts w:ascii="Garamond" w:eastAsia="Garamond" w:hAnsi="Garamond" w:cs="Garamond"/>
          <w:color w:val="2A2A2A"/>
          <w:sz w:val="22"/>
          <w:szCs w:val="22"/>
        </w:rPr>
        <w:t>The pathway from Territory to State is automatic upon passing the Statehood Audit and Provisional Membership Period — no political vote is required once the audit is passed. The audit has two components: the LM audits fiscal integrity; the JM audits legal compliance with every Article I right. Both must pass. A Territory that fails receives specific published findings and may resubmit after addressing the failures. The Legislature defines audit methodology and resubmission timelines by statute. Upon passing, the Territory enters a Provisional Membership Period of between one and three years as the Legislature defines; clean completion results in automatic Statehood. Every State must maintain three ongoing conditions: functioning electoral processes, basic rule of law and judicial function, and Article I rights compliance; annual audit verifies continued compliance and a failing State enters a remediation process, not automatic devolution.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14:paraId="4EE807A8" w14:textId="77777777" w:rsidR="00AF3D56" w:rsidRDefault="00000000">
      <w:pPr>
        <w:spacing w:before="200" w:after="60"/>
        <w:ind w:left="431"/>
      </w:pPr>
      <w:r>
        <w:rPr>
          <w:rFonts w:ascii="Courier New" w:eastAsia="Courier New" w:hAnsi="Courier New" w:cs="Courier New"/>
          <w:b/>
          <w:bCs/>
          <w:color w:val="2A2A2A"/>
          <w:sz w:val="18"/>
          <w:szCs w:val="18"/>
        </w:rPr>
        <w:t xml:space="preserve">§15.3  </w:t>
      </w:r>
      <w:r>
        <w:rPr>
          <w:rFonts w:ascii="Garamond" w:eastAsia="Garamond" w:hAnsi="Garamond" w:cs="Garamond"/>
          <w:i/>
          <w:iCs/>
          <w:color w:val="1B2A4A"/>
          <w:sz w:val="22"/>
          <w:szCs w:val="22"/>
        </w:rPr>
        <w:t>Mandatory Devolution</w:t>
      </w:r>
    </w:p>
    <w:p w14:paraId="367A91B9" w14:textId="77777777" w:rsidR="00AF3D56" w:rsidRDefault="00000000">
      <w:pPr>
        <w:spacing w:after="120"/>
        <w:ind w:left="431"/>
        <w:jc w:val="both"/>
      </w:pPr>
      <w:r>
        <w:rPr>
          <w:rFonts w:ascii="Garamond" w:eastAsia="Garamond" w:hAnsi="Garamond" w:cs="Garamond"/>
          <w:color w:val="2A2A2A"/>
          <w:sz w:val="22"/>
          <w:szCs w:val="22"/>
        </w:rPr>
        <w:t>A State enters Mandatory Devolution upon three consecutive annual Statehood Audit findings of failure published by the LM. After each failing audit, the LM publishes an Early Warning specifying compliance requirements; the State must publish a Remediation Plan within the period defined by statute. After three consecutive failures, citizens vote, administered by the Elections Panel under Article XI, on one of two paths: a two-year federal remediation commission, or Provisional status. A State in Provisional status retains its existing governing structure and continues under the Statehood Audit cycle; passing the Statehood Audit restores full Statehood immediately, with no additional vote required. Where Provisional status continues for one year without a passed audit, citizens vote, administered by the Elections Panel under Article XI, on the principle of pursuing devolution, on the same terms as §15.4’s voluntary process. An affirmative vote proceeds through negotiation and Senate ratification under §15.4; absent an affirmative vote, the State continues in Provisional status under this section. Sitting senators complete their current elected terms — Senate seats are not vacated — but no new Senate elections may be held while a State remains in Provisional status or after devolution takes effect, until Statehood is restored; existing Assembly members complete their current terms; Article I rights and social state protections continue without interruption. Within 30 days of a State entering Provisional status, the affected State may petition the courts on the sole ground that the audit findings are factually insufficient to establish three consecutive failures; the court reviews only the factual basis; process and timeline are defined by statute.</w:t>
      </w:r>
    </w:p>
    <w:p w14:paraId="173529F2" w14:textId="77777777" w:rsidR="00AF3D56" w:rsidRDefault="00000000">
      <w:pPr>
        <w:spacing w:before="200" w:after="60"/>
        <w:ind w:left="431"/>
      </w:pPr>
      <w:r>
        <w:rPr>
          <w:rFonts w:ascii="Courier New" w:eastAsia="Courier New" w:hAnsi="Courier New" w:cs="Courier New"/>
          <w:b/>
          <w:bCs/>
          <w:color w:val="2A2A2A"/>
          <w:sz w:val="18"/>
          <w:szCs w:val="18"/>
        </w:rPr>
        <w:t xml:space="preserve">§15.4  </w:t>
      </w:r>
      <w:r>
        <w:rPr>
          <w:rFonts w:ascii="Garamond" w:eastAsia="Garamond" w:hAnsi="Garamond" w:cs="Garamond"/>
          <w:i/>
          <w:iCs/>
          <w:color w:val="1B2A4A"/>
          <w:sz w:val="22"/>
          <w:szCs w:val="22"/>
        </w:rPr>
        <w:t>Voluntary Devolution and Merger</w:t>
      </w:r>
    </w:p>
    <w:p w14:paraId="6D96E42E" w14:textId="77777777" w:rsidR="00AF3D56" w:rsidRDefault="00000000">
      <w:pPr>
        <w:spacing w:after="120"/>
        <w:ind w:left="431"/>
        <w:jc w:val="both"/>
      </w:pPr>
      <w:r>
        <w:rPr>
          <w:rFonts w:ascii="Garamond" w:eastAsia="Garamond" w:hAnsi="Garamond" w:cs="Garamond"/>
          <w:color w:val="2A2A2A"/>
          <w:sz w:val="22"/>
          <w:szCs w:val="22"/>
        </w:rPr>
        <w:t xml:space="preserve">A State may voluntarily restructure its relationship with the Republic. The process requires, first, a State referendum achieving 60% approval of eligible voters on the principle of pursuing devolution; and second, upon approval, negotiation of a restructuring agreement between the State and the Legislature, ratified by </w:t>
        <w:lastRenderedPageBreak/>
        <w:t>Senate approval by 2/3 majority. The agreement specifies asset and liability allocation, transition timeline, constitutional status of successor jurisdictions, fiscal obligations to the Republic, and continuing obligations; it is published to the NRS and legally binding. Social state protections and Article I rights continue through the transition.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14:paraId="50BCAC8D" w14:textId="77777777" w:rsidR="00AF3D56" w:rsidRDefault="00000000">
      <w:pPr>
        <w:spacing w:before="200" w:after="60"/>
        <w:ind w:left="431"/>
      </w:pPr>
      <w:r>
        <w:rPr>
          <w:rFonts w:ascii="Courier New" w:eastAsia="Courier New" w:hAnsi="Courier New" w:cs="Courier New"/>
          <w:b/>
          <w:bCs/>
          <w:color w:val="2A2A2A"/>
          <w:sz w:val="18"/>
          <w:szCs w:val="18"/>
        </w:rPr>
        <w:t xml:space="preserve">§15.5  </w:t>
      </w:r>
      <w:r>
        <w:rPr>
          <w:rFonts w:ascii="Garamond" w:eastAsia="Garamond" w:hAnsi="Garamond" w:cs="Garamond"/>
          <w:i/>
          <w:iCs/>
          <w:color w:val="1B2A4A"/>
          <w:sz w:val="22"/>
          <w:szCs w:val="22"/>
        </w:rPr>
        <w:t>Re-Qualification Pathway</w:t>
      </w:r>
    </w:p>
    <w:p w14:paraId="71347004" w14:textId="77777777" w:rsidR="00AF3D56" w:rsidRDefault="00000000">
      <w:pPr>
        <w:spacing w:after="120"/>
        <w:ind w:left="431"/>
        <w:jc w:val="both"/>
      </w:pPr>
      <w:r>
        <w:rPr>
          <w:rFonts w:ascii="Garamond" w:eastAsia="Garamond" w:hAnsi="Garamond" w:cs="Garamond"/>
          <w:color w:val="2A2A2A"/>
          <w:sz w:val="22"/>
          <w:szCs w:val="22"/>
        </w:rPr>
        <w:t>A Territory resulting from mandatory or voluntary devolution enters the Statehood re-qualification pathway under §15.2 immediately upon the effective date of devolution. No additional political vote is required to begin the pathway. Where a defined geographic subdivision of the Territory separately achieves Statehood under §15.2 or merges with an existing State under §15.4, the remainder continues under this section without interruption or loss of any progress already accrued toward re-qualification.</w:t>
      </w:r>
    </w:p>
    <w:p w14:paraId="03BA3EA5" w14:textId="77777777" w:rsidR="00AF3D56" w:rsidRDefault="00000000">
      <w:pPr>
        <w:spacing w:before="200" w:after="60"/>
        <w:ind w:left="431"/>
      </w:pPr>
      <w:r>
        <w:rPr>
          <w:rFonts w:ascii="Courier New" w:eastAsia="Courier New" w:hAnsi="Courier New" w:cs="Courier New"/>
          <w:b/>
          <w:bCs/>
          <w:color w:val="2A2A2A"/>
          <w:sz w:val="18"/>
          <w:szCs w:val="18"/>
        </w:rPr>
        <w:t xml:space="preserve">§15.6  </w:t>
      </w:r>
      <w:r>
        <w:rPr>
          <w:rFonts w:ascii="Garamond" w:eastAsia="Garamond" w:hAnsi="Garamond" w:cs="Garamond"/>
          <w:i/>
          <w:iCs/>
          <w:color w:val="1B2A4A"/>
          <w:sz w:val="22"/>
          <w:szCs w:val="22"/>
        </w:rPr>
        <w:t>Voluntary Incorporation</w:t>
      </w:r>
    </w:p>
    <w:p w14:paraId="1B01F6B7" w14:textId="77777777" w:rsidR="00AF3D56" w:rsidRDefault="00000000">
      <w:pPr>
        <w:spacing w:after="120"/>
        <w:ind w:left="431"/>
        <w:jc w:val="both"/>
      </w:pPr>
      <w:r>
        <w:rPr>
          <w:rFonts w:ascii="Garamond" w:eastAsia="Garamond" w:hAnsi="Garamond" w:cs="Garamond"/>
          <w:color w:val="2A2A2A"/>
          <w:sz w:val="22"/>
          <w:szCs w:val="22"/>
        </w:rPr>
        <w:t>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Upon confirmation, the entity and the Legislature negotiate an incorporation agreement specifying a transition period not exceeding 48 months; the Legislature ratifies the agreement by 2/3 of both chambers. Under §9.1, either chamber may request a JM assessment of the entity's compliance with §1.19.b before that ratification vote; published JM findings must be given due consideration. Any person with standing may challenge the incorporation before the SC on the ground that the entity systematically violates §1.19.b. No constitutional officer may condition treaty obligations, trade relations, military cooperation, or foreign aid on any entity's decision to initiate or advance this process. An indigenous nation recognized under Article XVI must make a status election under §16.7 before this provision applies.</w:t>
      </w:r>
    </w:p>
    <w:p w14:paraId="35629BDB" w14:textId="77777777" w:rsidR="00AF3D56" w:rsidRDefault="00000000">
      <w:pPr>
        <w:spacing w:before="200" w:after="60"/>
        <w:ind w:left="431"/>
      </w:pPr>
      <w:r>
        <w:rPr>
          <w:rFonts w:ascii="Courier New" w:eastAsia="Courier New" w:hAnsi="Courier New" w:cs="Courier New"/>
          <w:b/>
          <w:bCs/>
          <w:color w:val="2A2A2A"/>
          <w:sz w:val="18"/>
          <w:szCs w:val="18"/>
        </w:rPr>
        <w:t xml:space="preserve">§15.7  </w:t>
      </w:r>
      <w:r>
        <w:rPr>
          <w:rFonts w:ascii="Garamond" w:eastAsia="Garamond" w:hAnsi="Garamond" w:cs="Garamond"/>
          <w:i/>
          <w:iCs/>
          <w:color w:val="1B2A4A"/>
          <w:sz w:val="22"/>
          <w:szCs w:val="22"/>
        </w:rPr>
        <w:t>State Immutability and Territorial Integrity</w:t>
      </w:r>
    </w:p>
    <w:p w14:paraId="2301DE14" w14:textId="77777777" w:rsidR="00AF3D56" w:rsidRDefault="00000000">
      <w:pPr>
        <w:spacing w:after="120"/>
        <w:ind w:left="431"/>
        <w:jc w:val="both"/>
      </w:pPr>
      <w:r>
        <w:rPr>
          <w:rFonts w:ascii="Garamond" w:eastAsia="Garamond" w:hAnsi="Garamond" w:cs="Garamond"/>
          <w:color w:val="2A2A2A"/>
          <w:sz w:val="22"/>
          <w:szCs w:val="22"/>
        </w:rPr>
        <w:t>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status election under §16.7 constitutes the consent mechanism required by this section for the purposes of indigenous territorial transitions; no additional Popular Ratification is required.</w:t>
      </w:r>
    </w:p>
    <w:p w14:paraId="19B15D9D" w14:textId="77777777" w:rsidR="00AF3D56" w:rsidRDefault="00000000">
      <w:pPr>
        <w:spacing w:before="200" w:after="60"/>
        <w:ind w:left="431"/>
      </w:pPr>
      <w:r>
        <w:rPr>
          <w:rFonts w:ascii="Courier New" w:eastAsia="Courier New" w:hAnsi="Courier New" w:cs="Courier New"/>
          <w:b/>
          <w:bCs/>
          <w:color w:val="2A2A2A"/>
          <w:sz w:val="18"/>
          <w:szCs w:val="18"/>
        </w:rPr>
        <w:t xml:space="preserve">§15.8  </w:t>
      </w:r>
      <w:r>
        <w:rPr>
          <w:rFonts w:ascii="Garamond" w:eastAsia="Garamond" w:hAnsi="Garamond" w:cs="Garamond"/>
          <w:i/>
          <w:iCs/>
          <w:color w:val="1B2A4A"/>
          <w:sz w:val="22"/>
          <w:szCs w:val="22"/>
        </w:rPr>
        <w:t>Local Government</w:t>
      </w:r>
    </w:p>
    <w:p w14:paraId="44611A4A" w14:textId="77777777" w:rsidR="00AF3D56" w:rsidRDefault="00000000">
      <w:pPr>
        <w:spacing w:after="120"/>
        <w:ind w:left="431"/>
        <w:jc w:val="both"/>
      </w:pPr>
      <w:r>
        <w:rPr>
          <w:rFonts w:ascii="Garamond" w:eastAsia="Garamond" w:hAnsi="Garamond" w:cs="Garamond"/>
          <w:color w:val="2A2A2A"/>
          <w:sz w:val="22"/>
          <w:szCs w:val="22"/>
        </w:rPr>
        <w:t>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14:paraId="5C3A62F2" w14:textId="77777777" w:rsidR="00AF3D56" w:rsidRDefault="00000000">
      <w:pPr>
        <w:spacing w:before="200" w:after="60"/>
        <w:ind w:left="431"/>
      </w:pPr>
      <w:r>
        <w:rPr>
          <w:rFonts w:ascii="Courier New" w:eastAsia="Courier New" w:hAnsi="Courier New" w:cs="Courier New"/>
          <w:b/>
          <w:bCs/>
          <w:color w:val="2A2A2A"/>
          <w:sz w:val="18"/>
          <w:szCs w:val="18"/>
        </w:rPr>
        <w:t xml:space="preserve">§15.9  </w:t>
      </w:r>
      <w:r>
        <w:rPr>
          <w:rFonts w:ascii="Garamond" w:eastAsia="Garamond" w:hAnsi="Garamond" w:cs="Garamond"/>
          <w:i/>
          <w:iCs/>
          <w:color w:val="1B2A4A"/>
          <w:sz w:val="22"/>
          <w:szCs w:val="22"/>
        </w:rPr>
        <w:t>Voluntary State Independence</w:t>
      </w:r>
    </w:p>
    <w:p w14:paraId="46F2C47E" w14:textId="77777777" w:rsidR="00AF3D56" w:rsidRDefault="00000000">
      <w:pPr>
        <w:spacing w:after="120"/>
        <w:ind w:left="431"/>
        <w:jc w:val="both"/>
      </w:pPr>
      <w:r>
        <w:rPr>
          <w:rFonts w:ascii="Garamond" w:eastAsia="Garamond" w:hAnsi="Garamond" w:cs="Garamond"/>
          <w:color w:val="2A2A2A"/>
          <w:sz w:val="22"/>
          <w:szCs w:val="22"/>
        </w:rPr>
        <w:t xml:space="preserve">A State may seek independence from the Republic through a two-stage process. Stage One requires the State legislature to resolve by 2/3 majority to submit the independence question to the State's eligible voters; the referendum must achieve 60% of votes cast with at least 60% participation among the State's eligible voters; a failed referendum may not be reinitiated on the same or substantially similar grounds for five years. Upon certification of the referendum result, the Elections Panel publishes the independence petition to the NRS; the election is irrevocable from the moment of publication. The Republic may not prefer, discourage, or offer inducements toward any independence petition or referendum; the Republic </w:t>
        <w:lastRenderedPageBreak/>
        <w:t>must provide factual information about the process upon request. Stage Two requires both chambers to hold a concurrent ratification vote within 90 days of NRS publication; Assembly members elected from districts within the petitioning State and senators whose allocation derives from the petitioning State's population are recused from this vote, and the required 60% majority and quorum for each chamber are calculated from the remaining seated members; if either chamber fails to achieve 60% or fails to vote within 90 days, the petition lapses and the State may reinitiate Stage One without restriction.</w:t>
      </w:r>
    </w:p>
    <w:p w14:paraId="6A68E2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 — Indigenous Sovereignty</w:t>
      </w:r>
    </w:p>
    <w:p w14:paraId="54D1A1D2" w14:textId="77777777" w:rsidR="00AF3D56" w:rsidRDefault="00000000">
      <w:pPr>
        <w:spacing w:before="200" w:after="60"/>
        <w:ind w:left="431"/>
      </w:pPr>
      <w:r>
        <w:rPr>
          <w:rFonts w:ascii="Courier New" w:eastAsia="Courier New" w:hAnsi="Courier New" w:cs="Courier New"/>
          <w:b/>
          <w:bCs/>
          <w:color w:val="2A2A2A"/>
          <w:sz w:val="18"/>
          <w:szCs w:val="18"/>
        </w:rPr>
        <w:t xml:space="preserve">§16.1  </w:t>
      </w:r>
      <w:r>
        <w:rPr>
          <w:rFonts w:ascii="Garamond" w:eastAsia="Garamond" w:hAnsi="Garamond" w:cs="Garamond"/>
          <w:i/>
          <w:iCs/>
          <w:color w:val="1B2A4A"/>
          <w:sz w:val="22"/>
          <w:szCs w:val="22"/>
        </w:rPr>
        <w:t>Acknowledgment of Prior Sovereignty</w:t>
      </w:r>
    </w:p>
    <w:p w14:paraId="0939DCD8" w14:textId="77777777" w:rsidR="00AF3D56" w:rsidRDefault="00000000">
      <w:pPr>
        <w:spacing w:after="120"/>
        <w:ind w:left="431"/>
        <w:jc w:val="both"/>
      </w:pPr>
      <w:r>
        <w:rPr>
          <w:rFonts w:ascii="Garamond" w:eastAsia="Garamond" w:hAnsi="Garamond" w:cs="Garamond"/>
          <w:color w:val="2A2A2A"/>
          <w:sz w:val="22"/>
          <w:szCs w:val="22"/>
        </w:rPr>
        <w:t>Indigenous Nations within the Republic's territory hold a distinct constitutional relationship with the Republic based on prior sovereignty. This relationship is acknowledged, not granted — the Republic's constitutional framework does not create indigenous sovereignty; it recognizes sovereignty that precedes it. The compact relationship is bilateral: the Republic acknowledges Indigenous prior sovereignty; Indigenous Nations acknowledge the Republic's constitutional framework within the scope of their compact.</w:t>
      </w:r>
    </w:p>
    <w:p w14:paraId="0BD9FEFF" w14:textId="77777777" w:rsidR="00AF3D56" w:rsidRDefault="00000000">
      <w:pPr>
        <w:spacing w:before="200" w:after="60"/>
        <w:ind w:left="431"/>
      </w:pPr>
      <w:r>
        <w:rPr>
          <w:rFonts w:ascii="Courier New" w:eastAsia="Courier New" w:hAnsi="Courier New" w:cs="Courier New"/>
          <w:b/>
          <w:bCs/>
          <w:color w:val="2A2A2A"/>
          <w:sz w:val="18"/>
          <w:szCs w:val="18"/>
        </w:rPr>
        <w:t xml:space="preserve">§16.2  </w:t>
      </w:r>
      <w:r>
        <w:rPr>
          <w:rFonts w:ascii="Garamond" w:eastAsia="Garamond" w:hAnsi="Garamond" w:cs="Garamond"/>
          <w:i/>
          <w:iCs/>
          <w:color w:val="1B2A4A"/>
          <w:sz w:val="22"/>
          <w:szCs w:val="22"/>
        </w:rPr>
        <w:t>Compact Formation</w:t>
      </w:r>
    </w:p>
    <w:p w14:paraId="45183CC6" w14:textId="77777777" w:rsidR="00AF3D56" w:rsidRDefault="00000000">
      <w:pPr>
        <w:spacing w:after="120"/>
        <w:ind w:left="431"/>
        <w:jc w:val="both"/>
      </w:pPr>
      <w:r>
        <w:rPr>
          <w:rFonts w:ascii="Garamond" w:eastAsia="Garamond" w:hAnsi="Garamond" w:cs="Garamond"/>
          <w:color w:val="2A2A2A"/>
          <w:sz w:val="22"/>
          <w:szCs w:val="22"/>
        </w:rPr>
        <w:t>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Civic Consul, with JM oversight. Compacts take effect upon 2/3 Senate ratification and Indigenous Nation ratification by their own constitutional process.</w:t>
      </w:r>
    </w:p>
    <w:p w14:paraId="4DE0645A" w14:textId="77777777" w:rsidR="00AF3D56" w:rsidRDefault="00000000">
      <w:pPr>
        <w:spacing w:before="200" w:after="60"/>
        <w:ind w:left="431"/>
      </w:pPr>
      <w:r>
        <w:rPr>
          <w:rFonts w:ascii="Courier New" w:eastAsia="Courier New" w:hAnsi="Courier New" w:cs="Courier New"/>
          <w:b/>
          <w:bCs/>
          <w:color w:val="2A2A2A"/>
          <w:sz w:val="18"/>
          <w:szCs w:val="18"/>
        </w:rPr>
        <w:t xml:space="preserve">§16.3  </w:t>
      </w:r>
      <w:r>
        <w:rPr>
          <w:rFonts w:ascii="Garamond" w:eastAsia="Garamond" w:hAnsi="Garamond" w:cs="Garamond"/>
          <w:i/>
          <w:iCs/>
          <w:color w:val="1B2A4A"/>
          <w:sz w:val="22"/>
          <w:szCs w:val="22"/>
        </w:rPr>
        <w:t>Rights and Governance in Compact Territories</w:t>
      </w:r>
    </w:p>
    <w:p w14:paraId="3476A42B" w14:textId="77777777" w:rsidR="00AF3D56" w:rsidRDefault="00000000">
      <w:pPr>
        <w:spacing w:after="120"/>
        <w:ind w:left="431"/>
        <w:jc w:val="both"/>
      </w:pPr>
      <w:r>
        <w:rPr>
          <w:rFonts w:ascii="Garamond" w:eastAsia="Garamond" w:hAnsi="Garamond" w:cs="Garamond"/>
          <w:color w:val="2A2A2A"/>
          <w:sz w:val="22"/>
          <w:szCs w:val="22"/>
        </w:rPr>
        <w:t>Article I rights apply in full within all compact territories; no compact provision may limit or qualify any Article I right; where compact governance conflicts with an Article I right, Article I prevails. Indigenous Nations with compacts hold governance, judicial, and resource sovereignty within their territories subject to the specific terms of their compact. Indigenous Nations may establish their own courts with jurisdiction over matters within compact scope, operating in parallel with federal courts; citizens may bring Article I claims directly to federal courts regardless of compact scope. Compact territories include explicit land and resource sovereignty provisions; the Republic may not alter compact land provisions without Nation consent; resource extraction within compact territories requires both Republic and Nation approval. The Republic recognizes Indigenous governance structures as legitimate political institutions within compact scope; federal agencies must coordinate with compact governance bodies. Compacts must include provisions for preservation and transmission of Indigenous languages and cultural practices; the Republic provides federal education funding that supports Indigenous-language instruction.</w:t>
      </w:r>
    </w:p>
    <w:p w14:paraId="4684C66F" w14:textId="77777777" w:rsidR="00AF3D56" w:rsidRDefault="00000000">
      <w:pPr>
        <w:spacing w:before="200" w:after="60"/>
        <w:ind w:left="431"/>
      </w:pPr>
      <w:r>
        <w:rPr>
          <w:rFonts w:ascii="Courier New" w:eastAsia="Courier New" w:hAnsi="Courier New" w:cs="Courier New"/>
          <w:b/>
          <w:bCs/>
          <w:color w:val="2A2A2A"/>
          <w:sz w:val="18"/>
          <w:szCs w:val="18"/>
        </w:rPr>
        <w:t xml:space="preserve">§16.4  </w:t>
      </w:r>
      <w:r>
        <w:rPr>
          <w:rFonts w:ascii="Garamond" w:eastAsia="Garamond" w:hAnsi="Garamond" w:cs="Garamond"/>
          <w:i/>
          <w:iCs/>
          <w:color w:val="1B2A4A"/>
          <w:sz w:val="22"/>
          <w:szCs w:val="22"/>
        </w:rPr>
        <w:t>Compact Administration and Continuity</w:t>
      </w:r>
    </w:p>
    <w:p w14:paraId="6EBD6EBB" w14:textId="77777777" w:rsidR="00AF3D56" w:rsidRDefault="00000000">
      <w:pPr>
        <w:spacing w:after="120"/>
        <w:ind w:left="431"/>
        <w:jc w:val="both"/>
      </w:pPr>
      <w:r>
        <w:rPr>
          <w:rFonts w:ascii="Garamond" w:eastAsia="Garamond" w:hAnsi="Garamond" w:cs="Garamond"/>
          <w:color w:val="2A2A2A"/>
          <w:sz w:val="22"/>
          <w:szCs w:val="22"/>
        </w:rPr>
        <w:t>Each compact establishes a working mechanism for implementation and day-to-day administration in a form the parties agree. The Legat Consul designates a ministerial counterpart within the Legat Consul’s office for each compact or treaty relationship recognized under this Article; this designation is published to the NRS. Disputes not resolved through the compact’s working mechanism are referred to independent adjudication on terms the compact specifies. The compact’s arbitration mechanism is the final forum for disputes between the Republic and the Nation arising from compact administration, including constitutional questions of compact interpretation; neither party may seek review of an arbitration determination in the Republic’s courts. The Executive Monitor audits the Republic’s compliance with its compact obligations annually and publishes findings to the NRS. Compact terms may be modified only by mutual agreement, negotiated by the Legat Consul and ratified by the Senate under §3.6. Compacts are reviewed on a schedule defined in their terms with a minimum review every 20 years; either party may request a review outside that schedule. A compact continues in force until the Nation files a valid status election under §16.7. For Territorial Integration, the compact ends upon ratification of the incorporation agreement under §15.6. For Full Sovereign Independence, the compact ends upon ratification of the independence treaty under §16.7, or upon the provisional framework taking effect under §16.7.a if no treaty is concluded.</w:t>
      </w:r>
    </w:p>
    <w:p w14:paraId="744DF70A"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§16.5  </w:t>
      </w:r>
      <w:r>
        <w:rPr>
          <w:rFonts w:ascii="Garamond" w:eastAsia="Garamond" w:hAnsi="Garamond" w:cs="Garamond"/>
          <w:i/>
          <w:iCs/>
          <w:color w:val="1B2A4A"/>
          <w:sz w:val="22"/>
          <w:szCs w:val="22"/>
        </w:rPr>
        <w:t>Federal Obligations and Emergency Rights</w:t>
      </w:r>
    </w:p>
    <w:p w14:paraId="6E0B2541" w14:textId="77777777" w:rsidR="00AF3D56" w:rsidRDefault="00000000">
      <w:pPr>
        <w:spacing w:after="120"/>
        <w:ind w:left="431"/>
        <w:jc w:val="both"/>
      </w:pPr>
      <w:r>
        <w:rPr>
          <w:rFonts w:ascii="Garamond" w:eastAsia="Garamond" w:hAnsi="Garamond" w:cs="Garamond"/>
          <w:color w:val="2A2A2A"/>
          <w:sz w:val="22"/>
          <w:szCs w:val="22"/>
        </w:rPr>
        <w:t>The Republic holds affirmative obligations to compact territories: federal education funding, healthcare access, infrastructure investment, and emergency response. These obligations are enforceable by the Nation through the compact’s dispute resolution mechanism. Any resident of compact territory who believes an Article I right has been violated may bring an Emergency Rights Writ directly to the SC, bypassing all lower courts and the compact’s dispute resolution mechanism; the SC must rule within 7 days under its original jurisdiction in §4.5; the extension and interim protective order provisions of §4.5 apply. Indigenous Nation membership and Republic citizenship are compatible and independent statuses; dual status is the constitutional default.</w:t>
      </w:r>
    </w:p>
    <w:p w14:paraId="3CA11ABC" w14:textId="77777777" w:rsidR="00AF3D56" w:rsidRDefault="00000000">
      <w:pPr>
        <w:spacing w:before="200" w:after="60"/>
        <w:ind w:left="431"/>
      </w:pPr>
      <w:r>
        <w:rPr>
          <w:rFonts w:ascii="Courier New" w:eastAsia="Courier New" w:hAnsi="Courier New" w:cs="Courier New"/>
          <w:b/>
          <w:bCs/>
          <w:color w:val="2A2A2A"/>
          <w:sz w:val="18"/>
          <w:szCs w:val="18"/>
        </w:rPr>
        <w:t xml:space="preserve">§16.6  </w:t>
      </w:r>
      <w:r>
        <w:rPr>
          <w:rFonts w:ascii="Garamond" w:eastAsia="Garamond" w:hAnsi="Garamond" w:cs="Garamond"/>
          <w:i/>
          <w:iCs/>
          <w:color w:val="1B2A4A"/>
          <w:sz w:val="22"/>
          <w:szCs w:val="22"/>
        </w:rPr>
        <w:t>Treaty Supremacy and Continuity</w:t>
      </w:r>
    </w:p>
    <w:p w14:paraId="0B8B7C56" w14:textId="77777777" w:rsidR="00AF3D56" w:rsidRDefault="00000000">
      <w:pPr>
        <w:spacing w:after="120"/>
        <w:ind w:left="431"/>
        <w:jc w:val="both"/>
      </w:pPr>
      <w:r>
        <w:rPr>
          <w:rFonts w:ascii="Garamond" w:eastAsia="Garamond" w:hAnsi="Garamond" w:cs="Garamond"/>
          <w:color w:val="2A2A2A"/>
          <w:sz w:val="22"/>
          <w:szCs w:val="22"/>
        </w:rPr>
        <w:t>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§16.2 and §16.4. Where a treaty’s administration depends on a predecessor-government institution or mechanism with no Republic equivalent, the treaty’s substantive rights and obligations continue in full regardless; the Legat Consul and the Nation must begin discussions to identify an analogous Republic institution or a negotiated substitute mechanism within the Republic’s first year, and pending resolution, the ministerial counterpart designated under §16.4 administers the treaty’s institutional functions on an interim basis. A treaty alone does not constitute a compact under this Article; the protections specific to compacts under §16.3 and §16.4 apply only where the Nation holds a compact, and a Nation whose relationship with the Republic rests solely on a predecessor treaty may petition for a compact under §16.2 at any time, on the same terms as a Nation with no prior treaty.</w:t>
      </w:r>
    </w:p>
    <w:p w14:paraId="012DA126" w14:textId="77777777" w:rsidR="00AF3D56" w:rsidRDefault="00000000">
      <w:pPr>
        <w:spacing w:before="200" w:after="60"/>
        <w:ind w:left="431"/>
      </w:pPr>
      <w:r>
        <w:rPr>
          <w:rFonts w:ascii="Courier New" w:eastAsia="Courier New" w:hAnsi="Courier New" w:cs="Courier New"/>
          <w:b/>
          <w:bCs/>
          <w:color w:val="2A2A2A"/>
          <w:sz w:val="18"/>
          <w:szCs w:val="18"/>
        </w:rPr>
        <w:t xml:space="preserve">§16.7  </w:t>
      </w:r>
      <w:r>
        <w:rPr>
          <w:rFonts w:ascii="Garamond" w:eastAsia="Garamond" w:hAnsi="Garamond" w:cs="Garamond"/>
          <w:i/>
          <w:iCs/>
          <w:color w:val="1B2A4A"/>
          <w:sz w:val="22"/>
          <w:szCs w:val="22"/>
        </w:rPr>
        <w:t>Indigenous Nation Status Elections</w:t>
      </w:r>
    </w:p>
    <w:p w14:paraId="4E8BE13B" w14:textId="77777777" w:rsidR="00AF3D56" w:rsidRDefault="00000000">
      <w:pPr>
        <w:spacing w:after="120"/>
        <w:ind w:left="431"/>
        <w:jc w:val="both"/>
      </w:pPr>
      <w:r>
        <w:rPr>
          <w:rFonts w:ascii="Garamond" w:eastAsia="Garamond" w:hAnsi="Garamond" w:cs="Garamond"/>
          <w:color w:val="2A2A2A"/>
          <w:sz w:val="22"/>
          <w:szCs w:val="22"/>
        </w:rPr>
        <w:t>An indigenous nation recognized under this Article holds the constitutional right to initiate a status transition through its own democratic or traditional governance process. Three status options are available: (a) Continued Status — the Nation’s existing compact or treaty relationship under this Article continues (default; no election required to remain); (b) Territorial Integration — election to pursue territorial incorporation through §15.6, entering as a Territory with the standard §15.2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 negotiations are conducted jointly by both executives through the Council of Ministers under §2.14, with the Legat Consul holding primary authority on border and defense terms under §2.1 and the Civic Consul holding primary authority on domestic implementation terms under §2.5; the Legislature ratifies the treaty by 2/3 of both chambers.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14:paraId="674C77A3" w14:textId="77777777" w:rsidR="00AF3D56" w:rsidRDefault="00000000">
      <w:pPr>
        <w:spacing w:before="200" w:after="60"/>
        <w:ind w:left="431"/>
      </w:pPr>
      <w:r>
        <w:rPr>
          <w:rFonts w:ascii="Courier New" w:eastAsia="Courier New" w:hAnsi="Courier New" w:cs="Courier New"/>
          <w:b/>
          <w:bCs/>
          <w:color w:val="2A2A2A"/>
          <w:sz w:val="18"/>
          <w:szCs w:val="18"/>
        </w:rPr>
        <w:t xml:space="preserve">§16.7.a  </w:t>
      </w:r>
      <w:r>
        <w:rPr>
          <w:rFonts w:ascii="Garamond" w:eastAsia="Garamond" w:hAnsi="Garamond" w:cs="Garamond"/>
          <w:i/>
          <w:iCs/>
          <w:color w:val="1B2A4A"/>
          <w:sz w:val="22"/>
          <w:szCs w:val="22"/>
        </w:rPr>
        <w:t>Status Election Process</w:t>
      </w:r>
    </w:p>
    <w:p w14:paraId="7B96A066" w14:textId="77777777" w:rsidR="00AF3D56" w:rsidRDefault="00000000">
      <w:pPr>
        <w:spacing w:after="120"/>
        <w:ind w:left="431"/>
        <w:jc w:val="both"/>
      </w:pPr>
      <w:r>
        <w:rPr>
          <w:rFonts w:ascii="Garamond" w:eastAsia="Garamond" w:hAnsi="Garamond" w:cs="Garamond"/>
          <w:color w:val="2A2A2A"/>
          <w:sz w:val="22"/>
          <w:szCs w:val="22"/>
        </w:rPr>
        <w:t xml:space="preserve">A status election under §16.7 requires: (1) a decision by the nation's own governance process, meeting the standards the nation itself defines for major governance decisions; and (2) publication of the election to the NRS within the period defined by statute following the governance decision. An election of Territorial Integration constitutes the principle step required by §15.6; once published, the Nation and the Legislature proceed directly to negotiation of the incorporation agreement under §15.6, which the Legislature ratifies by 2/3 of both chambers. A status election is irrevocable — a Nation that elects Territorial Integration or Full Sovereign Independence may not subsequently return to Article XVI status. Once a Nation has transitioned to Territory or State status, any further changes follow the standard constitutional processes applicable to that status under Articles XIII and XIX — including mandatory devolution under §15.3 if three consecutive Statehood Audits are failed. A Territory or State that formerly held Article XVI status </w:t>
        <w:lastRenderedPageBreak/>
        <w:t>has no special pathway back to it; the irrevocability of the status election is unconditional. Once a Nation has elected Full Sovereign Independence, any subsequent relationship with the Republic — including Associated Community status under Article XX — is pursued as an independent sovereign; Associated Community status requires full independence first and cannot be elected directly from Article XVI status. Where no treaty is concluded within 24 months following a status election of Full Sovereign Independence, either party may propose one 12-month extension by mutual agreement published to the NRS. Absent a concluded treaty or a mutually agreed extension, independence takes effect with a provisional framework: existing compact terms govern borders, trade, and infrastructure on a provisional basis until replaced by treaty; citizenship arrangements follow §5.1; the Legat Consul publishes the provisional framework to the NRS. Either party may petition the SC to resolve specific disputes within the provisional framework. At ratification, the Republic must formally notify all recognized indigenous nations of their rights under §16.7.</w:t>
      </w:r>
    </w:p>
    <w:p w14:paraId="5C94506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 — Constitutional Amendments</w:t>
      </w:r>
    </w:p>
    <w:p w14:paraId="40DC85A9" w14:textId="77777777" w:rsidR="00AF3D56" w:rsidRDefault="00000000">
      <w:pPr>
        <w:spacing w:before="200" w:after="60"/>
        <w:ind w:left="431"/>
      </w:pPr>
      <w:r>
        <w:rPr>
          <w:rFonts w:ascii="Courier New" w:eastAsia="Courier New" w:hAnsi="Courier New" w:cs="Courier New"/>
          <w:b/>
          <w:bCs/>
          <w:color w:val="2A2A2A"/>
          <w:sz w:val="18"/>
          <w:szCs w:val="18"/>
        </w:rPr>
        <w:t xml:space="preserve">§17.1  </w:t>
      </w:r>
      <w:r>
        <w:rPr>
          <w:rFonts w:ascii="Garamond" w:eastAsia="Garamond" w:hAnsi="Garamond" w:cs="Garamond"/>
          <w:i/>
          <w:iCs/>
          <w:color w:val="1B2A4A"/>
          <w:sz w:val="22"/>
          <w:szCs w:val="22"/>
        </w:rPr>
        <w:t>Amendment Paths</w:t>
      </w:r>
    </w:p>
    <w:p w14:paraId="670077DD" w14:textId="77777777" w:rsidR="00AF3D56" w:rsidRDefault="00000000">
      <w:pPr>
        <w:spacing w:after="120"/>
        <w:ind w:left="431"/>
        <w:jc w:val="both"/>
      </w:pPr>
      <w:r>
        <w:rPr>
          <w:rFonts w:ascii="Garamond" w:eastAsia="Garamond" w:hAnsi="Garamond" w:cs="Garamond"/>
          <w:color w:val="2A2A2A"/>
          <w:sz w:val="22"/>
          <w:szCs w:val="22"/>
        </w:rPr>
        <w:t>This Constitution may be amended through the parliamentary path or through citizen initiative. No executive signature is required; no executive veto applies. Every member’s vote on any amendment is published to the NRS.  A parliamentary amendment requires a 2/3 supermajority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 proposed constitutional amendment proceeds through the same two-phase petition process as §13.2, with Phase Two requiring signatures from 15% of eligible voters nationally rather than §13.2’s 10%. Once the Phase Two threshold is met, the proposal proceeds directly to a national referendum, with no legislative or executive action required to place it on the ballot; the Elections Panel administers the referendum within 180 days of Phase Two threshold verification. Passage requires 70% of votes cast with a minimum 65% citizen participation; where the participation floor is not met the initiative fails and may not be resubmitted on the same or substantially similar grounds for five years. Citizen initiative amendments are subject to §17.3 consistency analysis by the JM, advisory only. Amendment of the following provisions requires Popular Ratification regardless of the amendment’s origin: the Monitor selection mechanisms and independence protections (§9.2–§9.4), the Monitor information-only mandate and non-dependency principle (§9.1), the Monitor funding guarantee (§9.10), the NRS architecture and permanence requirements (§10.1), and the Elections Panel and NRS Panel independence (§11.1). These provisions may not be amended by State Ratification alone; a Citizen Initiative Amendment satisfies this requirement through its own referendum under this section without separately clearing the Popular Ratification threshold.</w:t>
      </w:r>
    </w:p>
    <w:p w14:paraId="18034077" w14:textId="77777777" w:rsidR="00AF3D56" w:rsidRDefault="00000000">
      <w:pPr>
        <w:spacing w:before="200" w:after="60"/>
        <w:ind w:left="431"/>
      </w:pPr>
      <w:r>
        <w:rPr>
          <w:rFonts w:ascii="Courier New" w:eastAsia="Courier New" w:hAnsi="Courier New" w:cs="Courier New"/>
          <w:b/>
          <w:bCs/>
          <w:color w:val="2A2A2A"/>
          <w:sz w:val="18"/>
          <w:szCs w:val="18"/>
        </w:rPr>
        <w:t xml:space="preserve">§17.2  </w:t>
      </w:r>
      <w:r>
        <w:rPr>
          <w:rFonts w:ascii="Garamond" w:eastAsia="Garamond" w:hAnsi="Garamond" w:cs="Garamond"/>
          <w:i/>
          <w:iCs/>
          <w:color w:val="1B2A4A"/>
          <w:sz w:val="22"/>
          <w:szCs w:val="22"/>
        </w:rPr>
        <w:t>No Executive Veto; Amendment Takes Effect</w:t>
      </w:r>
    </w:p>
    <w:p w14:paraId="4FCCCD47" w14:textId="77777777" w:rsidR="00AF3D56" w:rsidRDefault="00000000">
      <w:pPr>
        <w:spacing w:after="120"/>
        <w:ind w:left="431"/>
        <w:jc w:val="both"/>
      </w:pPr>
      <w:r>
        <w:rPr>
          <w:rFonts w:ascii="Garamond" w:eastAsia="Garamond" w:hAnsi="Garamond" w:cs="Garamond"/>
          <w:color w:val="2A2A2A"/>
          <w:sz w:val="22"/>
          <w:szCs w:val="22"/>
        </w:rPr>
        <w:t>Neither the Legat Consul nor the Civic Consul has any role in the constitutional amendment process. No signature required. No veto available. An amendment takes effect immediately upon LM certification (State Ratification), Elections Panel certification (Popular Ratification), or Elections Panel certification (Citizen Initiative Amendment), and NRS publication — no implementation delay, no executive discretion over timing.</w:t>
      </w:r>
    </w:p>
    <w:p w14:paraId="7EEBF189" w14:textId="77777777" w:rsidR="00AF3D56" w:rsidRDefault="00000000">
      <w:pPr>
        <w:spacing w:before="200" w:after="60"/>
        <w:ind w:left="431"/>
      </w:pPr>
      <w:r>
        <w:rPr>
          <w:rFonts w:ascii="Courier New" w:eastAsia="Courier New" w:hAnsi="Courier New" w:cs="Courier New"/>
          <w:b/>
          <w:bCs/>
          <w:color w:val="2A2A2A"/>
          <w:sz w:val="18"/>
          <w:szCs w:val="18"/>
        </w:rPr>
        <w:t xml:space="preserve">§17.3  </w:t>
      </w:r>
      <w:r>
        <w:rPr>
          <w:rFonts w:ascii="Garamond" w:eastAsia="Garamond" w:hAnsi="Garamond" w:cs="Garamond"/>
          <w:i/>
          <w:iCs/>
          <w:color w:val="1B2A4A"/>
          <w:sz w:val="22"/>
          <w:szCs w:val="22"/>
        </w:rPr>
        <w:t>Amendment Consistency and Supremacy</w:t>
      </w:r>
    </w:p>
    <w:p w14:paraId="3C9DFF51" w14:textId="77777777" w:rsidR="00AF3D56" w:rsidRDefault="00000000">
      <w:pPr>
        <w:spacing w:after="120"/>
        <w:ind w:left="431"/>
        <w:jc w:val="both"/>
      </w:pPr>
      <w:r>
        <w:rPr>
          <w:rFonts w:ascii="Garamond" w:eastAsia="Garamond" w:hAnsi="Garamond" w:cs="Garamond"/>
          <w:color w:val="2A2A2A"/>
          <w:sz w:val="22"/>
          <w:szCs w:val="22"/>
        </w:rPr>
        <w:t>An amendment that is logically inconsistent with an existing provision must either explicitly repeal the inconsistent provision or the inconsistency is treated as void. The JM publishes a consistency analysis of any proposed amendment within 30 days of passage by both chambers for a parliamentary amendment, or within 30 days of Elections Panel Phase Two threshold verification for a citizen initiative amendment — advisory, but a permanent public record of what the amendment changes. If a ratified amendment's consistency with existing provisions is disputed, the SC resolves the dispute under its original jurisdiction in §4.5 on petition of any person with standing; the SC may not refuse to apply an amendment that has met its procedural thresholds, except that no constitutional amendment may extinguish a right designated non-derogable under §1.19.b; any amendment purporting to do so is void to the extent of the extinguishment, and the SC must so rule under its original jurisdiction in §4.5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14:paraId="1458AB82" w14:textId="77777777" w:rsidR="00AF3D56" w:rsidRDefault="00000000">
      <w:pPr>
        <w:spacing w:before="200" w:after="60"/>
        <w:ind w:left="431"/>
      </w:pPr>
      <w:r>
        <w:rPr>
          <w:rFonts w:ascii="Courier New" w:eastAsia="Courier New" w:hAnsi="Courier New" w:cs="Courier New"/>
          <w:b/>
          <w:bCs/>
          <w:color w:val="2A2A2A"/>
          <w:sz w:val="18"/>
          <w:szCs w:val="18"/>
        </w:rPr>
        <w:t xml:space="preserve">§17.4  </w:t>
      </w:r>
      <w:r>
        <w:rPr>
          <w:rFonts w:ascii="Garamond" w:eastAsia="Garamond" w:hAnsi="Garamond" w:cs="Garamond"/>
          <w:i/>
          <w:iCs/>
          <w:color w:val="1B2A4A"/>
          <w:sz w:val="22"/>
          <w:szCs w:val="22"/>
        </w:rPr>
        <w:t>Supremacy of This Constitution</w:t>
      </w:r>
    </w:p>
    <w:p w14:paraId="28B84EFA" w14:textId="77777777" w:rsidR="00AF3D56" w:rsidRDefault="00000000">
      <w:pPr>
        <w:spacing w:after="120"/>
        <w:ind w:left="431"/>
        <w:jc w:val="both"/>
      </w:pPr>
      <w:r>
        <w:rPr>
          <w:rFonts w:ascii="Garamond" w:eastAsia="Garamond" w:hAnsi="Garamond" w:cs="Garamond"/>
          <w:color w:val="2A2A2A"/>
          <w:sz w:val="22"/>
          <w:szCs w:val="22"/>
        </w:rPr>
        <w:lastRenderedPageBreak/>
        <w:t>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14:paraId="41BAA1D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XVIII — Federal Property and National Trust</w:t>
      </w:r>
    </w:p>
    <w:p w14:paraId="2FE07B58" w14:textId="77777777" w:rsidR="00AF3D56" w:rsidRDefault="00000000">
      <w:pPr>
        <w:spacing w:before="200" w:after="60"/>
        <w:ind w:left="431"/>
      </w:pPr>
      <w:r>
        <w:rPr>
          <w:rFonts w:ascii="Courier New" w:eastAsia="Courier New" w:hAnsi="Courier New" w:cs="Courier New"/>
          <w:b/>
          <w:bCs/>
          <w:color w:val="2A2A2A"/>
          <w:sz w:val="18"/>
          <w:szCs w:val="18"/>
        </w:rPr>
        <w:t xml:space="preserve">§18.1  </w:t>
      </w:r>
      <w:r>
        <w:rPr>
          <w:rFonts w:ascii="Garamond" w:eastAsia="Garamond" w:hAnsi="Garamond" w:cs="Garamond"/>
          <w:i/>
          <w:iCs/>
          <w:color w:val="1B2A4A"/>
          <w:sz w:val="22"/>
          <w:szCs w:val="22"/>
        </w:rPr>
        <w:t>The Use Doctrine</w:t>
      </w:r>
    </w:p>
    <w:p w14:paraId="51E8B390" w14:textId="77777777" w:rsidR="00AF3D56" w:rsidRDefault="00000000">
      <w:pPr>
        <w:spacing w:after="120"/>
        <w:ind w:left="431"/>
        <w:jc w:val="both"/>
      </w:pPr>
      <w:r>
        <w:rPr>
          <w:rFonts w:ascii="Garamond" w:eastAsia="Garamond" w:hAnsi="Garamond" w:cs="Garamond"/>
          <w:color w:val="2A2A2A"/>
          <w:sz w:val="22"/>
          <w:szCs w:val="22"/>
        </w:rPr>
        <w:t>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 disputes over registration validity are resolved under §18.3.</w:t>
      </w:r>
    </w:p>
    <w:p w14:paraId="673D77EC" w14:textId="77777777" w:rsidR="00AF3D56" w:rsidRDefault="00000000">
      <w:pPr>
        <w:spacing w:before="200" w:after="60"/>
        <w:ind w:left="431"/>
      </w:pPr>
      <w:r>
        <w:rPr>
          <w:rFonts w:ascii="Courier New" w:eastAsia="Courier New" w:hAnsi="Courier New" w:cs="Courier New"/>
          <w:b/>
          <w:bCs/>
          <w:color w:val="2A2A2A"/>
          <w:sz w:val="18"/>
          <w:szCs w:val="18"/>
        </w:rPr>
        <w:t xml:space="preserve">§18.2  </w:t>
      </w:r>
      <w:r>
        <w:rPr>
          <w:rFonts w:ascii="Garamond" w:eastAsia="Garamond" w:hAnsi="Garamond" w:cs="Garamond"/>
          <w:i/>
          <w:iCs/>
          <w:color w:val="1B2A4A"/>
          <w:sz w:val="22"/>
          <w:szCs w:val="22"/>
        </w:rPr>
        <w:t>Seat of Government</w:t>
      </w:r>
    </w:p>
    <w:p w14:paraId="3C2E860E" w14:textId="77777777" w:rsidR="00AF3D56" w:rsidRDefault="00000000">
      <w:pPr>
        <w:spacing w:after="120"/>
        <w:ind w:left="431"/>
        <w:jc w:val="both"/>
      </w:pPr>
      <w:r>
        <w:rPr>
          <w:rFonts w:ascii="Garamond" w:eastAsia="Garamond" w:hAnsi="Garamond" w:cs="Garamond"/>
          <w:color w:val="2A2A2A"/>
          <w:sz w:val="22"/>
          <w:szCs w:val="22"/>
        </w:rPr>
        <w:t>The Republic holds no territorial sovereignty at its Seat of Government. The Seat is hosted by a State or Territory selected through a competitive process defined by statute; any State or Territory may submit a bid, and the selected host must satisfy minimum requirements published to the NRS in advance of the selection. A State or Territory whose bid is rejected may challenge the selection before the SC on the ground that the selected bid did not satisfy the published requirements. The hosting arrangement grants the federal government Operational Use Rights over the designated footprint under §18.1;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host selection must be reconsidered through a new competitive process no less often than every 20 years; the Legislature may not suspend or indefinitely extend this requirement by statute. Absent a qualifying new selection, the existing arrangement continues.</w:t>
      </w:r>
    </w:p>
    <w:p w14:paraId="5FD9A173" w14:textId="77777777" w:rsidR="00AF3D56" w:rsidRDefault="00000000">
      <w:pPr>
        <w:spacing w:before="200" w:after="60"/>
        <w:ind w:left="431"/>
      </w:pPr>
      <w:r>
        <w:rPr>
          <w:rFonts w:ascii="Courier New" w:eastAsia="Courier New" w:hAnsi="Courier New" w:cs="Courier New"/>
          <w:b/>
          <w:bCs/>
          <w:color w:val="2A2A2A"/>
          <w:sz w:val="18"/>
          <w:szCs w:val="18"/>
        </w:rPr>
        <w:t xml:space="preserve">§18.3  </w:t>
      </w:r>
      <w:r>
        <w:rPr>
          <w:rFonts w:ascii="Garamond" w:eastAsia="Garamond" w:hAnsi="Garamond" w:cs="Garamond"/>
          <w:i/>
          <w:iCs/>
          <w:color w:val="1B2A4A"/>
          <w:sz w:val="22"/>
          <w:szCs w:val="22"/>
        </w:rPr>
        <w:t>Operational Use Rights</w:t>
      </w:r>
    </w:p>
    <w:p w14:paraId="3B1394DD" w14:textId="77777777" w:rsidR="00AF3D56" w:rsidRDefault="00000000">
      <w:pPr>
        <w:spacing w:after="120"/>
        <w:ind w:left="431"/>
        <w:jc w:val="both"/>
      </w:pPr>
      <w:r>
        <w:rPr>
          <w:rFonts w:ascii="Garamond" w:eastAsia="Garamond" w:hAnsi="Garamond" w:cs="Garamond"/>
          <w:color w:val="2A2A2A"/>
          <w:sz w:val="22"/>
          <w:szCs w:val="22"/>
        </w:rPr>
        <w:t>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registration validity, or improvement valuation go to the SC on an expedited track; neither party may occupy or alter disputed land during pending resolution.</w:t>
      </w:r>
    </w:p>
    <w:p w14:paraId="7942C530" w14:textId="77777777" w:rsidR="00AF3D56" w:rsidRDefault="00000000">
      <w:pPr>
        <w:spacing w:before="200" w:after="60"/>
        <w:ind w:left="431"/>
      </w:pPr>
      <w:r>
        <w:rPr>
          <w:rFonts w:ascii="Courier New" w:eastAsia="Courier New" w:hAnsi="Courier New" w:cs="Courier New"/>
          <w:b/>
          <w:bCs/>
          <w:color w:val="2A2A2A"/>
          <w:sz w:val="18"/>
          <w:szCs w:val="18"/>
        </w:rPr>
        <w:t xml:space="preserve">§18.4  </w:t>
      </w:r>
      <w:r>
        <w:rPr>
          <w:rFonts w:ascii="Garamond" w:eastAsia="Garamond" w:hAnsi="Garamond" w:cs="Garamond"/>
          <w:i/>
          <w:iCs/>
          <w:color w:val="1B2A4A"/>
          <w:sz w:val="22"/>
          <w:szCs w:val="22"/>
        </w:rPr>
        <w:t>The National Trust</w:t>
      </w:r>
    </w:p>
    <w:p w14:paraId="1193B9A7" w14:textId="77777777" w:rsidR="00AF3D56" w:rsidRDefault="00000000">
      <w:pPr>
        <w:spacing w:after="120"/>
        <w:ind w:left="431"/>
        <w:jc w:val="both"/>
      </w:pPr>
      <w:r>
        <w:rPr>
          <w:rFonts w:ascii="Garamond" w:eastAsia="Garamond" w:hAnsi="Garamond" w:cs="Garamond"/>
          <w:color w:val="2A2A2A"/>
          <w:sz w:val="22"/>
          <w:szCs w:val="22"/>
        </w:rPr>
        <w:t>The National Trust holds all federal land not conveyed by statute to States, indigenous compact territories, or private parties. Land disposal requires statute — the executive cannot convey or encumber public land unilaterally. National Trust designation requires a 2/3 vote of both chambers with host State consent; removal from Trust designation requires the same 2/3 legislative threshold plus a national referendum administered by the Elections Panel within 180 days of the legislative vote, achieving 60% of votes cast with a minimum 50% citizen participation, and must comply with existing treaties and other obligations established in this article.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14:paraId="6B45EED7" w14:textId="77777777" w:rsidR="00AF3D56" w:rsidRDefault="00000000">
      <w:pPr>
        <w:spacing w:before="200" w:after="60"/>
        <w:ind w:left="431"/>
      </w:pPr>
      <w:r>
        <w:rPr>
          <w:rFonts w:ascii="Courier New" w:eastAsia="Courier New" w:hAnsi="Courier New" w:cs="Courier New"/>
          <w:b/>
          <w:bCs/>
          <w:color w:val="2A2A2A"/>
          <w:sz w:val="18"/>
          <w:szCs w:val="18"/>
        </w:rPr>
        <w:t xml:space="preserve">§18.5  </w:t>
      </w:r>
      <w:r>
        <w:rPr>
          <w:rFonts w:ascii="Garamond" w:eastAsia="Garamond" w:hAnsi="Garamond" w:cs="Garamond"/>
          <w:i/>
          <w:iCs/>
          <w:color w:val="1B2A4A"/>
          <w:sz w:val="22"/>
          <w:szCs w:val="22"/>
        </w:rPr>
        <w:t>Federal Property in Territories</w:t>
      </w:r>
    </w:p>
    <w:p w14:paraId="74E8B0A1" w14:textId="77777777" w:rsidR="00AF3D56" w:rsidRDefault="00000000">
      <w:pPr>
        <w:spacing w:after="120"/>
        <w:ind w:left="431"/>
        <w:jc w:val="both"/>
      </w:pPr>
      <w:r>
        <w:rPr>
          <w:rFonts w:ascii="Garamond" w:eastAsia="Garamond" w:hAnsi="Garamond" w:cs="Garamond"/>
          <w:color w:val="2A2A2A"/>
          <w:sz w:val="22"/>
          <w:szCs w:val="22"/>
        </w:rPr>
        <w:lastRenderedPageBreak/>
        <w:t>Federal operational use rights in Territories follow the same framework as in States under §18.3 and §18.4. Where §18.4 requires host State legislative consent, that consent is not required for a Territory because Territories have no State legislature; instead,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14:paraId="1DCCFA5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XIX — Transition and Ratification</w:t>
      </w:r>
    </w:p>
    <w:p w14:paraId="5BAD8E96" w14:textId="77777777" w:rsidR="00AF3D56" w:rsidRDefault="00000000">
      <w:pPr>
        <w:spacing w:before="200" w:after="60"/>
        <w:ind w:left="431"/>
      </w:pPr>
      <w:r>
        <w:rPr>
          <w:rFonts w:ascii="Courier New" w:eastAsia="Courier New" w:hAnsi="Courier New" w:cs="Courier New"/>
          <w:b/>
          <w:bCs/>
          <w:color w:val="2A2A2A"/>
          <w:sz w:val="18"/>
          <w:szCs w:val="18"/>
        </w:rPr>
        <w:t xml:space="preserve">§19.1  </w:t>
      </w:r>
      <w:r>
        <w:rPr>
          <w:rFonts w:ascii="Garamond" w:eastAsia="Garamond" w:hAnsi="Garamond" w:cs="Garamond"/>
          <w:i/>
          <w:iCs/>
          <w:color w:val="1B2A4A"/>
          <w:sz w:val="22"/>
          <w:szCs w:val="22"/>
        </w:rPr>
        <w:t>Activation Threshold and Ratification</w:t>
      </w:r>
    </w:p>
    <w:p w14:paraId="2C43F14D" w14:textId="77777777" w:rsidR="00AF3D56" w:rsidRDefault="00000000">
      <w:pPr>
        <w:spacing w:after="120"/>
        <w:ind w:left="431"/>
        <w:jc w:val="both"/>
      </w:pPr>
      <w:r>
        <w:rPr>
          <w:rFonts w:ascii="Garamond" w:eastAsia="Garamond" w:hAnsi="Garamond" w:cs="Garamond"/>
          <w:color w:val="2A2A2A"/>
          <w:sz w:val="22"/>
          <w:szCs w:val="22"/>
        </w:rPr>
        <w:t>This constitution takes effect upon: (1) interim Elections Panel certification that the NVS is operational and meets §11.2; and (2) a national ratification vote achieving 60% of votes cast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 Where the Legislature fails to meet this deadline, the LM publishes a compliance finding to the NRS, and the LM's ongoing audit encompasses the unresolved relationship until the statute is passed.</w:t>
      </w:r>
    </w:p>
    <w:p w14:paraId="458CE486" w14:textId="77777777" w:rsidR="00AF3D56" w:rsidRDefault="00000000">
      <w:pPr>
        <w:spacing w:before="200" w:after="60"/>
        <w:ind w:left="431"/>
      </w:pPr>
      <w:r>
        <w:rPr>
          <w:rFonts w:ascii="Courier New" w:eastAsia="Courier New" w:hAnsi="Courier New" w:cs="Courier New"/>
          <w:b/>
          <w:bCs/>
          <w:color w:val="2A2A2A"/>
          <w:sz w:val="18"/>
          <w:szCs w:val="18"/>
        </w:rPr>
        <w:t xml:space="preserve">§19.2  </w:t>
      </w:r>
      <w:r>
        <w:rPr>
          <w:rFonts w:ascii="Garamond" w:eastAsia="Garamond" w:hAnsi="Garamond" w:cs="Garamond"/>
          <w:i/>
          <w:iCs/>
          <w:color w:val="1B2A4A"/>
          <w:sz w:val="22"/>
          <w:szCs w:val="22"/>
        </w:rPr>
        <w:t>Day Zero and Transition</w:t>
      </w:r>
    </w:p>
    <w:p w14:paraId="4927C272" w14:textId="77777777" w:rsidR="00AF3D56" w:rsidRDefault="00000000">
      <w:pPr>
        <w:spacing w:after="120"/>
        <w:ind w:left="431"/>
        <w:jc w:val="both"/>
      </w:pPr>
      <w:r>
        <w:rPr>
          <w:rFonts w:ascii="Garamond" w:eastAsia="Garamond" w:hAnsi="Garamond" w:cs="Garamond"/>
          <w:color w:val="2A2A2A"/>
          <w:sz w:val="22"/>
          <w:szCs w:val="22"/>
        </w:rPr>
        <w:t>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14:paraId="155B5A1F" w14:textId="77777777" w:rsidR="00AF3D56" w:rsidRDefault="00000000">
      <w:pPr>
        <w:spacing w:before="200" w:after="60"/>
        <w:ind w:left="431"/>
      </w:pPr>
      <w:r>
        <w:rPr>
          <w:rFonts w:ascii="Courier New" w:eastAsia="Courier New" w:hAnsi="Courier New" w:cs="Courier New"/>
          <w:b/>
          <w:bCs/>
          <w:color w:val="2A2A2A"/>
          <w:sz w:val="18"/>
          <w:szCs w:val="18"/>
        </w:rPr>
        <w:t xml:space="preserve">§19.3  </w:t>
      </w:r>
      <w:r>
        <w:rPr>
          <w:rFonts w:ascii="Garamond" w:eastAsia="Garamond" w:hAnsi="Garamond" w:cs="Garamond"/>
          <w:i/>
          <w:iCs/>
          <w:color w:val="1B2A4A"/>
          <w:sz w:val="22"/>
          <w:szCs w:val="22"/>
        </w:rPr>
        <w:t>Caretaker Status</w:t>
      </w:r>
    </w:p>
    <w:p w14:paraId="6C9D0E68" w14:textId="77777777" w:rsidR="00AF3D56" w:rsidRDefault="00000000">
      <w:pPr>
        <w:spacing w:after="120"/>
        <w:ind w:left="431"/>
        <w:jc w:val="both"/>
      </w:pPr>
      <w:r>
        <w:rPr>
          <w:rFonts w:ascii="Garamond" w:eastAsia="Garamond" w:hAnsi="Garamond" w:cs="Garamond"/>
          <w:color w:val="2A2A2A"/>
          <w:sz w:val="22"/>
          <w:szCs w:val="22"/>
        </w:rPr>
        <w:t>All existing government officials serve as caretakers during the Transition Window — restricted to maintaining existing services only; no new permanent legislation. Legislation enacted in violation of this restriction is void; the joint Monitor panel's supervision includes monitoring for such violations and publishing findings to the NRS; any Inhabitant may challenge such legislation before a court of competent jurisdiction.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14:paraId="603E9FFE" w14:textId="77777777" w:rsidR="00AF3D56" w:rsidRDefault="00000000">
      <w:pPr>
        <w:spacing w:before="200" w:after="60"/>
        <w:ind w:left="431"/>
      </w:pPr>
      <w:r>
        <w:rPr>
          <w:rFonts w:ascii="Courier New" w:eastAsia="Courier New" w:hAnsi="Courier New" w:cs="Courier New"/>
          <w:b/>
          <w:bCs/>
          <w:color w:val="2A2A2A"/>
          <w:sz w:val="18"/>
          <w:szCs w:val="18"/>
        </w:rPr>
        <w:t xml:space="preserve">§19.4  </w:t>
      </w:r>
      <w:r>
        <w:rPr>
          <w:rFonts w:ascii="Garamond" w:eastAsia="Garamond" w:hAnsi="Garamond" w:cs="Garamond"/>
          <w:i/>
          <w:iCs/>
          <w:color w:val="1B2A4A"/>
          <w:sz w:val="22"/>
          <w:szCs w:val="22"/>
        </w:rPr>
        <w:t>Pre-Constitutional Classified Documents</w:t>
      </w:r>
    </w:p>
    <w:p w14:paraId="5D8CC8FC" w14:textId="77777777" w:rsidR="00AF3D56" w:rsidRDefault="00000000">
      <w:pPr>
        <w:spacing w:after="120"/>
        <w:ind w:left="431"/>
        <w:jc w:val="both"/>
      </w:pPr>
      <w:r>
        <w:rPr>
          <w:rFonts w:ascii="Garamond" w:eastAsia="Garamond" w:hAnsi="Garamond" w:cs="Garamond"/>
          <w:color w:val="2A2A2A"/>
          <w:sz w:val="22"/>
          <w:szCs w:val="22"/>
        </w:rPr>
        <w:t>The Legislature must establish a Classification Review Commission within 90 days of Phase 4 activation. Where the Legislature fails to meet this deadline, the LM publishes a compliance finding to the NRS, and the LM's ongoing audit encompasses the unestablished Commission until it is created.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14:paraId="7D07531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§19.5  </w:t>
      </w:r>
      <w:r>
        <w:rPr>
          <w:rFonts w:ascii="Garamond" w:eastAsia="Garamond" w:hAnsi="Garamond" w:cs="Garamond"/>
          <w:i/>
          <w:iCs/>
          <w:color w:val="1B2A4A"/>
          <w:sz w:val="22"/>
          <w:szCs w:val="22"/>
        </w:rPr>
        <w:t>Pre-Existing Obligations</w:t>
      </w:r>
    </w:p>
    <w:p w14:paraId="1D0BC0F9" w14:textId="77777777" w:rsidR="00AF3D56" w:rsidRDefault="00000000">
      <w:pPr>
        <w:spacing w:after="120"/>
        <w:ind w:left="431"/>
        <w:jc w:val="both"/>
      </w:pPr>
      <w:r>
        <w:rPr>
          <w:rFonts w:ascii="Garamond" w:eastAsia="Garamond" w:hAnsi="Garamond" w:cs="Garamond"/>
          <w:color w:val="2A2A2A"/>
          <w:sz w:val="22"/>
          <w:szCs w:val="22"/>
        </w:rPr>
        <w:t>The Republic assumes the public debt obligations of its predecessor government as a constitutional matter — it does not inherit a clean slate. Active military operations of the prior government continue under existing authorization until the §2.2 military authorization framework can apply; the Legat Consul, once inaugurated, must assess each active operation against the authorized purposes under §14.1 and either link it to legislative authorization within 14 days or begin orderly cessation; operations not so linked within 60 days cease unless the Legislature grants a one-time authorization.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§1.19.b.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14:paraId="66F6D0AB" w14:textId="77777777" w:rsidR="00AF3D56" w:rsidRDefault="00000000">
      <w:pPr>
        <w:spacing w:before="200" w:after="60"/>
        <w:ind w:left="431"/>
      </w:pPr>
      <w:r>
        <w:rPr>
          <w:rFonts w:ascii="Courier New" w:eastAsia="Courier New" w:hAnsi="Courier New" w:cs="Courier New"/>
          <w:b/>
          <w:bCs/>
          <w:color w:val="2A2A2A"/>
          <w:sz w:val="18"/>
          <w:szCs w:val="18"/>
        </w:rPr>
        <w:t xml:space="preserve">§19.6  </w:t>
      </w:r>
      <w:r>
        <w:rPr>
          <w:rFonts w:ascii="Garamond" w:eastAsia="Garamond" w:hAnsi="Garamond" w:cs="Garamond"/>
          <w:i/>
          <w:iCs/>
          <w:color w:val="1B2A4A"/>
          <w:sz w:val="22"/>
          <w:szCs w:val="22"/>
        </w:rPr>
        <w:t>Transition Territories</w:t>
      </w:r>
    </w:p>
    <w:p w14:paraId="25B02383" w14:textId="77777777" w:rsidR="00AF3D56" w:rsidRDefault="00000000">
      <w:pPr>
        <w:spacing w:after="120"/>
        <w:ind w:left="431"/>
        <w:jc w:val="both"/>
      </w:pPr>
      <w:r>
        <w:rPr>
          <w:rFonts w:ascii="Garamond" w:eastAsia="Garamond" w:hAnsi="Garamond" w:cs="Garamond"/>
          <w:color w:val="2A2A2A"/>
          <w:sz w:val="22"/>
          <w:szCs w:val="22"/>
        </w:rPr>
        <w:t>Territories or subdivisions meeting the Statehood Audit by Phase 2 end may petition to enter as State or Territory. Those failing the Baseline enter as Territory and may begin the Statehood Audit immediately. Any territory may choose Territory status by simple legislative vote regardless of whether it meets the Statehood Audit.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w:t>
      </w:r>
    </w:p>
    <w:p w14:paraId="714F27F0" w14:textId="77777777" w:rsidR="00AF3D56" w:rsidRDefault="00000000">
      <w:pPr>
        <w:spacing w:before="200" w:after="60"/>
        <w:ind w:left="431"/>
      </w:pPr>
      <w:r>
        <w:rPr>
          <w:rFonts w:ascii="Courier New" w:eastAsia="Courier New" w:hAnsi="Courier New" w:cs="Courier New"/>
          <w:b/>
          <w:bCs/>
          <w:color w:val="2A2A2A"/>
          <w:sz w:val="18"/>
          <w:szCs w:val="18"/>
        </w:rPr>
        <w:t xml:space="preserve">§19.7  </w:t>
      </w:r>
      <w:r>
        <w:rPr>
          <w:rFonts w:ascii="Garamond" w:eastAsia="Garamond" w:hAnsi="Garamond" w:cs="Garamond"/>
          <w:i/>
          <w:iCs/>
          <w:color w:val="1B2A4A"/>
          <w:sz w:val="22"/>
          <w:szCs w:val="22"/>
        </w:rPr>
        <w:t>Transition Candidate Registers</w:t>
      </w:r>
    </w:p>
    <w:p w14:paraId="04BC09BE" w14:textId="77777777" w:rsidR="00AF3D56" w:rsidRDefault="00000000">
      <w:pPr>
        <w:spacing w:after="120"/>
        <w:ind w:left="431"/>
        <w:jc w:val="both"/>
      </w:pPr>
      <w:r>
        <w:rPr>
          <w:rFonts w:ascii="Garamond" w:eastAsia="Garamond" w:hAnsi="Garamond" w:cs="Garamond"/>
          <w:color w:val="2A2A2A"/>
          <w:sz w:val="22"/>
          <w:szCs w:val="22"/>
        </w:rPr>
        <w:t>The joint Monitor panel assembles the initial Candidate Registers for all constitutionally established positions before Phase 3 elections can occur. The panel performs the register-assembly and qualification review function that permanent Monitors will assume after Phase 4;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MA board members within 90 days of Phase 4 activation. Where the Civic Consul fails to meet this deadline, the LM publishes a compliance finding to the NRS, and the LM's ongoing audit encompasses the unfilled nomination until it is made.</w:t>
      </w:r>
    </w:p>
    <w:p w14:paraId="3CCE728C" w14:textId="77777777" w:rsidR="00AF3D56" w:rsidRDefault="00000000">
      <w:pPr>
        <w:spacing w:before="200" w:after="60"/>
        <w:ind w:left="431"/>
      </w:pPr>
      <w:r>
        <w:rPr>
          <w:rFonts w:ascii="Courier New" w:eastAsia="Courier New" w:hAnsi="Courier New" w:cs="Courier New"/>
          <w:b/>
          <w:bCs/>
          <w:color w:val="2A2A2A"/>
          <w:sz w:val="18"/>
          <w:szCs w:val="18"/>
        </w:rPr>
        <w:t xml:space="preserve">§19.8  </w:t>
      </w:r>
      <w:r>
        <w:rPr>
          <w:rFonts w:ascii="Garamond" w:eastAsia="Garamond" w:hAnsi="Garamond" w:cs="Garamond"/>
          <w:i/>
          <w:iCs/>
          <w:color w:val="1B2A4A"/>
          <w:sz w:val="22"/>
          <w:szCs w:val="22"/>
        </w:rPr>
        <w:t>Transitional Accountability Mechanism</w:t>
      </w:r>
    </w:p>
    <w:p w14:paraId="570D4B5C" w14:textId="77777777" w:rsidR="00AF3D56" w:rsidRDefault="00000000">
      <w:pPr>
        <w:spacing w:after="120"/>
        <w:ind w:left="431"/>
        <w:jc w:val="both"/>
      </w:pPr>
      <w:r>
        <w:rPr>
          <w:rFonts w:ascii="Garamond" w:eastAsia="Garamond" w:hAnsi="Garamond" w:cs="Garamond"/>
          <w:color w:val="2A2A2A"/>
          <w:sz w:val="22"/>
          <w:szCs w:val="22"/>
        </w:rPr>
        <w:t>Where a ratifying polity’s predecessor government has documented constitutional violations, the Legislature may by statute passed by 2/3 of both chambers establish a Transitional Accountability Mechanism. Such a mechanism must be time-limited — not to exceed ten years in duration —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14:paraId="3410F4D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§19.9  </w:t>
      </w:r>
      <w:r>
        <w:rPr>
          <w:rFonts w:ascii="Garamond" w:eastAsia="Garamond" w:hAnsi="Garamond" w:cs="Garamond"/>
          <w:i/>
          <w:iCs/>
          <w:color w:val="1B2A4A"/>
          <w:sz w:val="22"/>
          <w:szCs w:val="22"/>
        </w:rPr>
        <w:t>Required Statutory Agency Establishment</w:t>
      </w:r>
    </w:p>
    <w:p w14:paraId="098DD5F1" w14:textId="77777777" w:rsidR="00AF3D56" w:rsidRDefault="00000000">
      <w:pPr>
        <w:spacing w:after="120"/>
        <w:ind w:left="431"/>
        <w:jc w:val="both"/>
      </w:pPr>
      <w:r>
        <w:rPr>
          <w:rFonts w:ascii="Garamond" w:eastAsia="Garamond" w:hAnsi="Garamond" w:cs="Garamond"/>
          <w:color w:val="2A2A2A"/>
          <w:sz w:val="22"/>
          <w:szCs w:val="22"/>
        </w:rPr>
        <w:t>Where this Constitution assigns a specific function to a statutory independent agency under §3.9, the Legislature must establish that agency within the following timeframes from Phase 4 activation: the civic proficiency assessment administrator under §5.1, within 180 days; the Census Bureau under §3.2, within 18 months; the Monetary Authority under §12.1,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an Monitor in lieu of establishing the required agency. The Legislature must by statute establish the transition from any predecessor voting infrastructure to the constitutionally required NVS, ensuring no gap in democratic participation.</w:t>
      </w:r>
    </w:p>
    <w:p w14:paraId="21553F5E"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XX — Associated Communities</w:t>
      </w:r>
    </w:p>
    <w:p w14:paraId="5E6CB131" w14:textId="77777777" w:rsidR="00AF3D56" w:rsidRDefault="00000000">
      <w:pPr>
        <w:spacing w:before="200" w:after="60"/>
        <w:ind w:left="431"/>
      </w:pPr>
      <w:r>
        <w:rPr>
          <w:rFonts w:ascii="Courier New" w:eastAsia="Courier New" w:hAnsi="Courier New" w:cs="Courier New"/>
          <w:b/>
          <w:bCs/>
          <w:color w:val="2A2A2A"/>
          <w:sz w:val="18"/>
          <w:szCs w:val="18"/>
        </w:rPr>
        <w:t xml:space="preserve">§20.1  </w:t>
      </w:r>
      <w:r>
        <w:rPr>
          <w:rFonts w:ascii="Garamond" w:eastAsia="Garamond" w:hAnsi="Garamond" w:cs="Garamond"/>
          <w:i/>
          <w:iCs/>
          <w:color w:val="1B2A4A"/>
          <w:sz w:val="22"/>
          <w:szCs w:val="22"/>
        </w:rPr>
        <w:t>Associated Community Status</w:t>
      </w:r>
    </w:p>
    <w:p w14:paraId="0AD69FE9" w14:textId="77777777" w:rsidR="00AF3D56" w:rsidRDefault="00000000">
      <w:pPr>
        <w:spacing w:after="120"/>
        <w:ind w:left="431"/>
        <w:jc w:val="both"/>
      </w:pPr>
      <w:r>
        <w:rPr>
          <w:rFonts w:ascii="Garamond" w:eastAsia="Garamond" w:hAnsi="Garamond" w:cs="Garamond"/>
          <w:color w:val="2A2A2A"/>
          <w:sz w:val="22"/>
          <w:szCs w:val="22"/>
        </w:rPr>
        <w:t>Exclusively for sovereign entities — not a form of State or Territory status, not transitional, not incorporation. Available to sovereign nations — those that have achieved full sovereignty through a status election under §16.7 or through the constitutional amendment process — and to independent nations outside the Republic seeking a defined relationship. Indigenous nations holding rights under Article XVI may not substitute an Article XX compact for their Article XVI compact relationship without first completing a status election under §16.7.a.</w:t>
      </w:r>
    </w:p>
    <w:p w14:paraId="66C171D4" w14:textId="77777777" w:rsidR="00AF3D56" w:rsidRDefault="00000000">
      <w:pPr>
        <w:spacing w:before="200" w:after="60"/>
        <w:ind w:left="431"/>
      </w:pPr>
      <w:r>
        <w:rPr>
          <w:rFonts w:ascii="Courier New" w:eastAsia="Courier New" w:hAnsi="Courier New" w:cs="Courier New"/>
          <w:b/>
          <w:bCs/>
          <w:color w:val="2A2A2A"/>
          <w:sz w:val="18"/>
          <w:szCs w:val="18"/>
        </w:rPr>
        <w:t xml:space="preserve">§20.2  </w:t>
      </w:r>
      <w:r>
        <w:rPr>
          <w:rFonts w:ascii="Garamond" w:eastAsia="Garamond" w:hAnsi="Garamond" w:cs="Garamond"/>
          <w:i/>
          <w:iCs/>
          <w:color w:val="1B2A4A"/>
          <w:sz w:val="22"/>
          <w:szCs w:val="22"/>
        </w:rPr>
        <w:t>Compact Terms and Equal Sovereignty</w:t>
      </w:r>
    </w:p>
    <w:p w14:paraId="2638B719" w14:textId="77777777" w:rsidR="00AF3D56" w:rsidRDefault="00000000">
      <w:pPr>
        <w:spacing w:after="120"/>
        <w:ind w:left="431"/>
        <w:jc w:val="both"/>
      </w:pPr>
      <w:r>
        <w:rPr>
          <w:rFonts w:ascii="Garamond" w:eastAsia="Garamond" w:hAnsi="Garamond" w:cs="Garamond"/>
          <w:color w:val="2A2A2A"/>
          <w:sz w:val="22"/>
          <w:szCs w:val="22"/>
        </w:rPr>
        <w:t>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14:paraId="68D4EED4" w14:textId="77777777" w:rsidR="00AF3D56" w:rsidRDefault="00000000">
      <w:pPr>
        <w:spacing w:before="200" w:after="60"/>
        <w:ind w:left="431"/>
      </w:pPr>
      <w:r>
        <w:rPr>
          <w:rFonts w:ascii="Courier New" w:eastAsia="Courier New" w:hAnsi="Courier New" w:cs="Courier New"/>
          <w:b/>
          <w:bCs/>
          <w:color w:val="2A2A2A"/>
          <w:sz w:val="18"/>
          <w:szCs w:val="18"/>
        </w:rPr>
        <w:t xml:space="preserve">§20.3  </w:t>
      </w:r>
      <w:r>
        <w:rPr>
          <w:rFonts w:ascii="Garamond" w:eastAsia="Garamond" w:hAnsi="Garamond" w:cs="Garamond"/>
          <w:i/>
          <w:iCs/>
          <w:color w:val="1B2A4A"/>
          <w:sz w:val="22"/>
          <w:szCs w:val="22"/>
        </w:rPr>
        <w:t>Compact Conditions and Compliance</w:t>
      </w:r>
    </w:p>
    <w:p w14:paraId="4BDB366C" w14:textId="77777777" w:rsidR="00AF3D56" w:rsidRDefault="00000000">
      <w:pPr>
        <w:spacing w:after="120"/>
        <w:ind w:left="431"/>
        <w:jc w:val="both"/>
      </w:pPr>
      <w:r>
        <w:rPr>
          <w:rFonts w:ascii="Garamond" w:eastAsia="Garamond" w:hAnsi="Garamond" w:cs="Garamond"/>
          <w:color w:val="2A2A2A"/>
          <w:sz w:val="22"/>
          <w:szCs w:val="22"/>
        </w:rPr>
        <w:t>No compact may be entered or ratified with any entity whose governance practices include, authorize, or systematically permit violations of any of the non-derogable rights established in §1.19.b, committed against any person within its jurisdiction. The JM conducts annual compliance reviews and publishes findings to the NRS. Where the JM finds systematic violations of §1.19.b rights or any party challenges a compact on those grounds, the compact is suspended pending review through the compact’s independent arbitration mechanism; the arbitration panel must issue a preliminary determination within 90 days of suspension; where no preliminary determination is issued within that period, the suspension lifts and the compact resumes pending the panel’s final determination. The arbitration panel may determine compact termination on confirmed violations without remediation within the period the compact specifies. Economic value of the compact relationship is not a factor in JM assessment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Compact suspension means the Associated Community's observer delegate participation rights are suspended for the duration of the review; all other compact obligations of both parties continue in effect pending the SC's determination.</w:t>
      </w:r>
    </w:p>
    <w:p w14:paraId="33C3AD4B" w14:textId="77777777" w:rsidR="00AF3D56" w:rsidRDefault="00000000">
      <w:pPr>
        <w:spacing w:before="200" w:after="60"/>
        <w:ind w:left="431"/>
      </w:pPr>
      <w:r>
        <w:rPr>
          <w:rFonts w:ascii="Courier New" w:eastAsia="Courier New" w:hAnsi="Courier New" w:cs="Courier New"/>
          <w:b/>
          <w:bCs/>
          <w:color w:val="2A2A2A"/>
          <w:sz w:val="18"/>
          <w:szCs w:val="18"/>
        </w:rPr>
        <w:t xml:space="preserve">§20.4  </w:t>
      </w:r>
      <w:r>
        <w:rPr>
          <w:rFonts w:ascii="Garamond" w:eastAsia="Garamond" w:hAnsi="Garamond" w:cs="Garamond"/>
          <w:i/>
          <w:iCs/>
          <w:color w:val="1B2A4A"/>
          <w:sz w:val="22"/>
          <w:szCs w:val="22"/>
        </w:rPr>
        <w:t>Sovereign Mobility</w:t>
      </w:r>
    </w:p>
    <w:p w14:paraId="74DBEAD6" w14:textId="77777777" w:rsidR="00AF3D56" w:rsidRDefault="00000000">
      <w:pPr>
        <w:spacing w:after="120"/>
        <w:ind w:left="431"/>
        <w:jc w:val="both"/>
      </w:pPr>
      <w:r>
        <w:rPr>
          <w:rFonts w:ascii="Garamond" w:eastAsia="Garamond" w:hAnsi="Garamond" w:cs="Garamond"/>
          <w:color w:val="2A2A2A"/>
          <w:sz w:val="22"/>
          <w:szCs w:val="22"/>
        </w:rPr>
        <w:t>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14:paraId="33CD16B8" w14:textId="77777777" w:rsidR="00AF3D56" w:rsidRDefault="00000000">
      <w:pPr>
        <w:spacing w:before="200" w:after="60"/>
        <w:ind w:left="431"/>
      </w:pPr>
      <w:r>
        <w:rPr>
          <w:rFonts w:ascii="Courier New" w:eastAsia="Courier New" w:hAnsi="Courier New" w:cs="Courier New"/>
          <w:b/>
          <w:bCs/>
          <w:color w:val="2A2A2A"/>
          <w:sz w:val="18"/>
          <w:szCs w:val="18"/>
        </w:rPr>
        <w:t xml:space="preserve">§20.5  </w:t>
      </w:r>
      <w:r>
        <w:rPr>
          <w:rFonts w:ascii="Garamond" w:eastAsia="Garamond" w:hAnsi="Garamond" w:cs="Garamond"/>
          <w:i/>
          <w:iCs/>
          <w:color w:val="1B2A4A"/>
          <w:sz w:val="22"/>
          <w:szCs w:val="22"/>
        </w:rPr>
        <w:t>Reciprocal Obligations and Review</w:t>
      </w:r>
    </w:p>
    <w:p w14:paraId="5DED57CD" w14:textId="77777777" w:rsidR="00AF3D56" w:rsidRDefault="00000000">
      <w:pPr>
        <w:spacing w:after="120"/>
        <w:ind w:left="431"/>
        <w:jc w:val="both"/>
      </w:pPr>
      <w:r>
        <w:rPr>
          <w:rFonts w:ascii="Garamond" w:eastAsia="Garamond" w:hAnsi="Garamond" w:cs="Garamond"/>
          <w:color w:val="2A2A2A"/>
          <w:sz w:val="22"/>
          <w:szCs w:val="22"/>
        </w:rPr>
        <w:t xml:space="preserve">The compact must specify with particularity the reciprocal obligations of both parties and the review mechanism. The Associated Community holds obligations to the Republic as well as rights from it. Review </w:t>
        <w:lastRenderedPageBreak/>
        <w:t>must be scheduled at regular intervals defined in the compact; either party may request a review outside the schedule by providing written notice to the NRS.</w:t>
      </w:r>
    </w:p>
    <w:p w14:paraId="754E2DD5" w14:textId="77777777" w:rsidR="00AF3D56" w:rsidRDefault="00000000">
      <w:pPr>
        <w:spacing w:before="200" w:after="60"/>
        <w:ind w:left="431"/>
      </w:pPr>
      <w:r>
        <w:rPr>
          <w:rFonts w:ascii="Courier New" w:eastAsia="Courier New" w:hAnsi="Courier New" w:cs="Courier New"/>
          <w:b/>
          <w:bCs/>
          <w:color w:val="2A2A2A"/>
          <w:sz w:val="18"/>
          <w:szCs w:val="18"/>
        </w:rPr>
        <w:t xml:space="preserve">§20.6  </w:t>
      </w:r>
      <w:r>
        <w:rPr>
          <w:rFonts w:ascii="Garamond" w:eastAsia="Garamond" w:hAnsi="Garamond" w:cs="Garamond"/>
          <w:i/>
          <w:iCs/>
          <w:color w:val="1B2A4A"/>
          <w:sz w:val="22"/>
          <w:szCs w:val="22"/>
        </w:rPr>
        <w:t>Compact Ratification</w:t>
      </w:r>
    </w:p>
    <w:p w14:paraId="534146D4" w14:textId="77777777" w:rsidR="00AF3D56" w:rsidRDefault="00000000">
      <w:pPr>
        <w:spacing w:after="120"/>
        <w:ind w:left="431"/>
        <w:jc w:val="both"/>
      </w:pPr>
      <w:r>
        <w:rPr>
          <w:rFonts w:ascii="Garamond" w:eastAsia="Garamond" w:hAnsi="Garamond" w:cs="Garamond"/>
          <w:color w:val="2A2A2A"/>
          <w:sz w:val="22"/>
          <w:szCs w:val="22"/>
        </w:rPr>
        <w:t>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14:paraId="0A471600" w14:textId="77777777" w:rsidR="00AF3D56" w:rsidRDefault="00000000">
      <w:pPr>
        <w:spacing w:before="200" w:after="60"/>
        <w:ind w:left="431"/>
      </w:pPr>
      <w:r>
        <w:rPr>
          <w:rFonts w:ascii="Courier New" w:eastAsia="Courier New" w:hAnsi="Courier New" w:cs="Courier New"/>
          <w:b/>
          <w:bCs/>
          <w:color w:val="2A2A2A"/>
          <w:sz w:val="18"/>
          <w:szCs w:val="18"/>
        </w:rPr>
        <w:t xml:space="preserve">§20.7  </w:t>
      </w:r>
      <w:r>
        <w:rPr>
          <w:rFonts w:ascii="Garamond" w:eastAsia="Garamond" w:hAnsi="Garamond" w:cs="Garamond"/>
          <w:i/>
          <w:iCs/>
          <w:color w:val="1B2A4A"/>
          <w:sz w:val="22"/>
          <w:szCs w:val="22"/>
        </w:rPr>
        <w:t>Compact Continuity</w:t>
      </w:r>
    </w:p>
    <w:p w14:paraId="6423AF73" w14:textId="77777777" w:rsidR="00AF3D56" w:rsidRDefault="00000000">
      <w:pPr>
        <w:spacing w:after="120"/>
        <w:ind w:left="431"/>
        <w:jc w:val="both"/>
      </w:pPr>
      <w:r>
        <w:rPr>
          <w:rFonts w:ascii="Garamond" w:eastAsia="Garamond" w:hAnsi="Garamond" w:cs="Garamond"/>
          <w:color w:val="2A2A2A"/>
          <w:sz w:val="22"/>
          <w:szCs w:val="22"/>
        </w:rPr>
        <w:t>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rsidR="00AF3D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C42F1"/>
    <w:multiLevelType w:val="hybridMultilevel"/>
    <w:tmpl w:val="C396EB00"/>
    <w:lvl w:ilvl="0" w:tplc="E8E0725A">
      <w:start w:val="1"/>
      <w:numFmt w:val="bullet"/>
      <w:lvlText w:val="●"/>
      <w:lvlJc w:val="left"/>
      <w:pPr>
        <w:ind w:left="720" w:hanging="360"/>
      </w:pPr>
    </w:lvl>
    <w:lvl w:ilvl="1" w:tplc="597C5D9C">
      <w:start w:val="1"/>
      <w:numFmt w:val="bullet"/>
      <w:lvlText w:val="○"/>
      <w:lvlJc w:val="left"/>
      <w:pPr>
        <w:ind w:left="1440" w:hanging="360"/>
      </w:pPr>
    </w:lvl>
    <w:lvl w:ilvl="2" w:tplc="A88A5B24">
      <w:start w:val="1"/>
      <w:numFmt w:val="bullet"/>
      <w:lvlText w:val="■"/>
      <w:lvlJc w:val="left"/>
      <w:pPr>
        <w:ind w:left="2160" w:hanging="360"/>
      </w:pPr>
    </w:lvl>
    <w:lvl w:ilvl="3" w:tplc="060C78B4">
      <w:start w:val="1"/>
      <w:numFmt w:val="bullet"/>
      <w:lvlText w:val="●"/>
      <w:lvlJc w:val="left"/>
      <w:pPr>
        <w:ind w:left="2880" w:hanging="360"/>
      </w:pPr>
    </w:lvl>
    <w:lvl w:ilvl="4" w:tplc="01B4AB26">
      <w:start w:val="1"/>
      <w:numFmt w:val="bullet"/>
      <w:lvlText w:val="○"/>
      <w:lvlJc w:val="left"/>
      <w:pPr>
        <w:ind w:left="3600" w:hanging="360"/>
      </w:pPr>
    </w:lvl>
    <w:lvl w:ilvl="5" w:tplc="5CFA4890">
      <w:start w:val="1"/>
      <w:numFmt w:val="bullet"/>
      <w:lvlText w:val="■"/>
      <w:lvlJc w:val="left"/>
      <w:pPr>
        <w:ind w:left="4320" w:hanging="360"/>
      </w:pPr>
    </w:lvl>
    <w:lvl w:ilvl="6" w:tplc="25DA88DC">
      <w:start w:val="1"/>
      <w:numFmt w:val="bullet"/>
      <w:lvlText w:val="●"/>
      <w:lvlJc w:val="left"/>
      <w:pPr>
        <w:ind w:left="5040" w:hanging="360"/>
      </w:pPr>
    </w:lvl>
    <w:lvl w:ilvl="7" w:tplc="DD8868E6">
      <w:start w:val="1"/>
      <w:numFmt w:val="bullet"/>
      <w:lvlText w:val="●"/>
      <w:lvlJc w:val="left"/>
      <w:pPr>
        <w:ind w:left="5760" w:hanging="360"/>
      </w:pPr>
    </w:lvl>
    <w:lvl w:ilvl="8" w:tplc="AFEC6070">
      <w:start w:val="1"/>
      <w:numFmt w:val="bullet"/>
      <w:lvlText w:val="●"/>
      <w:lvlJc w:val="left"/>
      <w:pPr>
        <w:ind w:left="6480" w:hanging="360"/>
      </w:pPr>
    </w:lvl>
  </w:abstractNum>
  <w:num w:numId="1" w16cid:durableId="194399557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D56"/>
    <w:rsid w:val="00123DDD"/>
    <w:rsid w:val="005F487F"/>
    <w:rsid w:val="0088569E"/>
    <w:rsid w:val="00940D3B"/>
    <w:rsid w:val="00AD76A6"/>
    <w:rsid w:val="00AF3D56"/>
    <w:rsid w:val="00CD141D"/>
    <w:rsid w:val="00F64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299269"/>
  <w15:docId w15:val="{E08E9D2D-9B22-1A48-A6CD-56DD032E4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24570</Words>
  <Characters>140050</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Reickert</cp:lastModifiedBy>
  <cp:revision>4</cp:revision>
  <dcterms:created xsi:type="dcterms:W3CDTF">2026-07-06T19:02:00Z</dcterms:created>
  <dcterms:modified xsi:type="dcterms:W3CDTF">2026-07-07T12:40:00Z</dcterms:modified>
</cp:coreProperties>
</file>