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This prohibition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sub-provisions protect bodily and digital sovereignty: §1.9.a protects the absolute right to refuse any medical procedure or biological sampling; §1.9.b protects personal data, likeness, and biometric information from government collection or profiling; §1.9.c protects cryptographic keys as private property against compelled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Government mapping of associations — who a person knows, meets, communicates with, or joins — requires the same specific judicial authorization as communications collection under §1.29.c. Bulk mapping of associational activity is prohibited on the same terms as bulk collection. The privacy of associational membership is protected separately from the right to associate under §1.6 — a government may not compel disclosure of membership even where it refrains from prohibiting association.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President holds enumerated executive authority over: military command, foreign affairs, intelligence, treaty negotiation, trade agreements, domain officer appointments, and the domain-scoped veto. Presidential authority is enumerated; PM authority is residual. Any question about which executive holds a given function resolves to the PM unless the President can identify a specific enumerated power in this Article.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The prohibition on domestic intelligence operations against Republic citizens is non-derogable and permanent under §1.29.d. Any order authorizing domestic intelligence operations against Republic citizens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The President may veto only bills that raise a genuine constitutional concern within the security domain: military operations, intelligence, treaty obligations, or border security. A general or speculative security connection is not sufficient. The SC reviews any Presidential veto within 48 hours on petition from either Speaker.</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Where both executives disagree on whether a military operation falls within the Presidential military domain during active operations, either executive may file a written NRS objection within 6 hours. The executives have 12 hours to resolve the dispute by negotiation. Where no resolution is reached, either executive may petition the Supreme Court for an emergency domain determination; the Court must rule within 24 hours of petition. Pending an SC ruling, the Presidential order governs only operations directly connected to the active military situation while all other government functions follow the PM.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The President negotiates and concludes trade agreements; PM written concurrence is required where the agreement materially affects the domestic economy. National treatment obligations within Republic territory require PM concurrence, as they directly govern how domestic industry is regulated. Where PM concurrence is withheld, domestic provisions may be transmitted to the House Speaker as ordinary legislation. Ratification requires a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holds residual executive authority over all functions not enumerated as Presidential: domestic policy, fiscal policy, BNF administration, legislation review, judicial nominations, independent agency appointments, and PM clemency for domestic offenses. The PM answers to the House through the confidence mechanism and does not require presidential confirmation for the exercise of the domestic domain.</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Domestic Policy Authority</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Fiscal and Budget Authority</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Legislative Review Period</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PM Information Rights</w:t>
      </w:r>
    </w:p>
    <w:p>
      <w:pPr>
        <w:spacing w:after="120" w:before="0"/>
        <w:ind w:left="863"/>
        <w:jc w:val="both"/>
      </w:pPr>
      <w:r>
        <w:rPr>
          <w:rFonts w:ascii="Garamond" w:cs="Garamond" w:eastAsia="Garamond" w:hAnsi="Garamond"/>
          <w:color w:val="2a2520"/>
          <w:sz w:val="22"/>
          <w:szCs w:val="22"/>
        </w:rPr>
        <w:t xml:space="preserve">The PM has a constitutional right to full and timely briefing on all national security matters affecting domestic interests. The President may not withhold information from the PM on grounds of security classification where those matters bear on the PM's domestic responsibilities.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Where the PM is temporarily unable to exercise authority, the most senior Domestic Affairs Council Officer (SDACO) serves as Caretaker PM. The SDACO's authority is limited to maintaining existing policy and emergency functions. Caretaker status expires when a new PM is confirmed by the House.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PM Formation and Senate Designation</w:t>
      </w:r>
    </w:p>
    <w:p>
      <w:pPr>
        <w:spacing w:after="120" w:before="0"/>
        <w:ind w:left="863"/>
        <w:jc w:val="both"/>
      </w:pPr>
      <w:r>
        <w:rPr>
          <w:rFonts w:ascii="Garamond" w:cs="Garamond" w:eastAsia="Garamond" w:hAnsi="Garamond"/>
          <w:color w:val="2a2520"/>
          <w:sz w:val="22"/>
          <w:szCs w:val="22"/>
        </w:rPr>
        <w:t xml:space="preserve">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The Legislature may override by 2/3 of both chambers simultaneously. The PM must give the LI's constitutional analysis due consideration before issuing a Suspensive Veto. A veto issued without genuine constitutional grounds is a constitutional breach reportable by the EI.</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Deemed Enactment</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Legislative Review Period — Duration</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Where the Presidency becomes vacant, the Senate Speaker serves as Acting President immediately upon the vacancy. A special presidential election must be held within 90 days of the vacancy. The Acting President holds full Presidential authority during the vacancy period subject to the constraints of §2.6.a and §2.6.b.</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Permanent Incapacity Assessment</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thereafter if temporary incapacity is certified. Failure to conduct the mandatory 90-day assessment is a constitutional failure for both the PM and the Senate Speaker.</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Republic's legislature is bicameral. The House of Representatives is the proportional chamber. Seats are allocated by population with a minimum of one seat per State, a floor of one seat per 750,000 citizens, and a formula that self-scales with population growth. The Legislature may set a higher membership by statute and must publish justification for any formula producing fewer than one seat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every ten years and whenever the Legislature requires reapportionment. Census methodology is published to the NRS before each census. Results are published to the NRS within 90 days of completion and used as the basis for House seat allocation.</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Legislative Calendar and Session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Legislative Compensation and Disclosure</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Senate Composition</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Fiscal Origination</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requires a 2/3 majority of the full seated Senate. Two sub-provisions govern failed ratification: §3.2.e.i (where domestic provisions may proceed as ordinary legislation if they stand independently) and §3.2.e.ii (where a bilateral treaty designed as an integrated whole must be renegotiated rather than disaggregated).</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a treaty is bilateral and designed as an integrated whole — with reciprocal obligations that are interdependent — the President may not disaggregate and transmit domestic provisions separately. The treaty must be renegotiated or abandoned in its entirety.</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Senate Electoral Functions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Senate Internal Rules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Committees</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 reviews the presidential veto under §2.1.f.i before any override vote may proceed.</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LI Redistricting Review</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Redistricting Cycle</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At-Large Seats</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District Vacancy</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Redistricting Transparency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863"/>
      </w:pPr>
      <w:r>
        <w:rPr>
          <w:rFonts w:ascii="Courier New" w:cs="Courier New" w:eastAsia="Courier New" w:hAnsi="Courier New"/>
          <w:b/>
          <w:bCs/>
          <w:color w:val="1B2A4A"/>
          <w:sz w:val="18"/>
          <w:szCs w:val="18"/>
        </w:rPr>
        <w:t xml:space="preserve">§3.4.h  </w:t>
      </w:r>
      <w:r>
        <w:rPr>
          <w:rFonts w:ascii="Garamond" w:cs="Garamond" w:eastAsia="Garamond" w:hAnsi="Garamond"/>
          <w:b/>
          <w:bCs/>
          <w:color w:val="1B2A4A"/>
          <w:sz w:val="22"/>
          <w:szCs w:val="22"/>
        </w:rPr>
        <w:t xml:space="preserve">Redistricting Challenge</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Inspectorate Access to Legislative Records</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LI Pre-Passage Constitutional Review</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Committee Structure</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Joint Sessions</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Legislative Ethics and Conduct</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Legislative Privilege</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Senate Confirmation of Independent Officers</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Removal of Independent Officers</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The PM nominates inferior court judges within 90 days of a vacancy. The Senate confirms by a supermajority of 55–67% of full seated membership, as the Legislature defines by statute. Before the confirmation vote, the PM submits the nominee's disclosure record to the EI; the EI publishes its review before the vote. Where the PM fails to nominate within 90 days, the Senate may nominate directly. The confirmation period is prorated where nomination occurs late. No vacancy may remain unfilled beyond 180 days; Deemed Confirmation applies at that ceiling if no vote has been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The most senior Appellate Court judge by continuous service is automatically designated as Temporary Associate Justice within 5 days of any SC vacancy, without nomination or confirmation. The Temporary Associate Justice holds a full vote in all cases and may not stand as a candidate for the seat they are temporarily filling. For purposes of this provision, &amp;#x201C;continuous service&amp;#x201D;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Initial Class Assignment</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Judicial Review Authority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Judicial Scope</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Statutory Interpretation</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or enforcement would require an act the Legislature has defined as categorically unenforceable. These three grounds are the only bases on which a Republic court may decline to recognize a judgment valid in another jurisdiction. Any judgment contrary to Article I is void by operation of §15.6 and requires no separate non-recognition finding.</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published to the NRS are self-authenticating — no re-certification is required for use in any legal or administrative proceeding. Professional licenses issued by any State or Territory receive recognition across all States and Territories. §1.12 governs any State departure from the recognition default.</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Non-Discrimination in Recognition</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A judgment is final for §4.4.a purposes if it is not subject to an automatic stay under the issuing jurisdiction's procedural law, regardless of whether an appeal is pending. The Legislature may refine the finality standard for specific categories but may not use pending-appeal status alone to block enforcement. The procedural framework mandate — filing forms, fee schedule, and enforcement timeline — is established by statute.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five or more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must be completed within 90 days of application.</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CLT must assess knowledge sufficient to understand the structure, powers, limits, and rights established by this Constitution. Any statute reducing the CLT below this floor is void and any citizen may challenge it in court. The Senate sets the CLT standard by statute — raising it by simple majority of both chambers, lowering it by 2/3 supermajority of both chambers. Compliance with the constitutional floor is enforced by courts on challenge. Where the CLT Administrator position is vacant, the Judicial Inspectorate administers the CLT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security concern — without publishing classified content. The in-camera determination is outcome-determinative: either the security concern meets the constitutional standard and the denial stands, or it does not and recertification is ordered.</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Indefinite unreviewed detention is not a constitutionally available outcome.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Ranked Choice Voting conducted nationally. Votes transfer until one candidate holds a majority of active ballots nationwide. A candidate must achieve both a national majority and broad geographic distribution under the combined score mechanism in §7.2.b. The Electoral Commission administers the national election and certifies results under §7.2.e.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determines the winner. The combined score weights national first-preference totals at 65% and regional performance across the presidential election regions at 35%. The regional component requires a winning candidate to demonstrate support distributed across the Republic's geographic breadth, not only its most densely populated areas. The formula is published by statute and administered by the Electoral Commission.</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Information-Only Mandate</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NRS Publication Requirement</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Classification Exemption for Inspectorate Reports</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Annual State of the Republic Report</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Joint Investigation Authority</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Investigative Access</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431"/>
      </w:pPr>
      <w:r>
        <w:rPr>
          <w:rFonts w:ascii="Courier New" w:cs="Courier New" w:eastAsia="Courier New" w:hAnsi="Courier New"/>
          <w:b/>
          <w:bCs/>
          <w:color w:val="1B2A4A"/>
          <w:sz w:val="18"/>
          <w:szCs w:val="18"/>
        </w:rPr>
        <w:t xml:space="preserve">§8.8  </w:t>
      </w:r>
      <w:r>
        <w:rPr>
          <w:rFonts w:ascii="Garamond" w:cs="Garamond" w:eastAsia="Garamond" w:hAnsi="Garamond"/>
          <w:b/>
          <w:bCs/>
          <w:color w:val="1B2A4A"/>
          <w:sz w:val="22"/>
          <w:szCs w:val="22"/>
        </w:rPr>
        <w:t xml:space="preserve">EI Annual Military Assessment</w:t>
      </w:r>
    </w:p>
    <w:p>
      <w:pPr>
        <w:spacing w:after="120" w:before="0"/>
        <w:ind w:left="431"/>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Every eight years from the date of full constitutional operation, the three Inspectorates jointly assess the performance of the constitutional framework across all domains: enforcement of Article I rights; functioning of the Inspectorate reporting mechanism; compliance with fiscal obligations; completeness of military subordination; and comprehensiveness of NRS coverage. The assessment is published to the NRS and transmitted to both chambers of the Legislature. The Legislature must respond within 90 days with a published statement. Findings and responses form a permanent longitudinal record of constitutional performance.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NRS Access</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NRS Technical Standards</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NRS Integrity Audit</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Third-Party NRS Mirrors</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Classification Exemption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BNF Funding Reserve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BNF Non-Discrimination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BNF Administration</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Revenue Contraction Protocol</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BNF and Emergency Declarations</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Deficit Threshold</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National Endowment</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Campaign Financing Enforcement</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No government may direct the MA to elevate its secondary mandate to co-equal status with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§10.4.f  </w:t>
      </w:r>
      <w:r>
        <w:rPr>
          <w:rFonts w:ascii="Garamond" w:cs="Garamond" w:eastAsia="Garamond" w:hAnsi="Garamond"/>
          <w:b/>
          <w:bCs/>
          <w:color w:val="1B2A4A"/>
          <w:sz w:val="22"/>
          <w:szCs w:val="22"/>
        </w:rPr>
        <w:t xml:space="preserve">Director-Board Authority</w:t>
      </w:r>
    </w:p>
    <w:p>
      <w:pPr>
        <w:spacing w:after="120" w:before="0"/>
        <w:ind w:left="863"/>
        <w:jc w:val="both"/>
      </w:pPr>
      <w:r>
        <w:rPr>
          <w:rFonts w:ascii="Garamond" w:cs="Garamond" w:eastAsia="Garamond" w:hAnsi="Garamond"/>
          <w:color w:val="2a2520"/>
          <w:sz w:val="22"/>
          <w:szCs w:val="22"/>
        </w:rPr>
        <w:t xml:space="preserve">The MA Director chairs the board and holds veto authority over board decisions. The board of five members decides by majority vote; the Director does not hold a board vote. The Director may veto any board decision by publishing written grounds to the NRS within the period the Legislature defines by statute; a veto without published grounds is constitutionally void. The board may override a Director veto by 4-of-5 supermajority; the override and its grounds are published to the NRS. Where a board decision takes effect following a 4-of-5 override and the Director believes it violates the §10.4.b primary mandate hierarchy, the Director may refer the question to the Executive Inspectorate. If the EI advises that a potential mandate hierarchy violation exists, the Director may petition the Supreme Court for a mandate determination. Timelines for the veto, override, EI advisory, and SC petition are established by statute.</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Personal Financial Disclosure</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Conflict of Interest Recusal</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Post-Service Restrictions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Gift and Hospitality Rules</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Revolving Door Restriction</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Ethics Enforcement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National Endowment Activation</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Citizen Legislative Initiative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Emergency Defense Allocation Renewal</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Oversight of Allocation</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Post-Allocation Accountability</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Effect of Mandatory Devolution — Senate Seats</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Amendment Takes Effect</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No Secession by Ordinary Legislation</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Amendment Consistency Requirement</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LI Consistency Review</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SC Consistency Adjudication</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Retroactive Effect of Amendments</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Simultaneous Amendments</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Withdrawn Amendments</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Independence Transition Obligations</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Electoral Commission members may be removed for cause only. No no-cause removal is available for EC members. For-cause removal requires: a JI-documented finding transmitted to a State Designee Panel under §8.9.f; a Panel determination that stated grounds are substantiated; a 14-day SC appeal window from publication of the Panel finding; and a 2/3 vote of both chambers simultaneously. Where the Panel finding is substantiated, the EC member is suspended from all duties pending the legislative vote and any SC review. On legislative acquittal following a substantiated Panel finding, the member returns to full duties immediately. Any removal vote scheduled within 180 days of a major national election is automatically suspended pending SC review within 48 hours; the proximity restriction applies to the removal vote, not to Panel-triggered suspension of duties.</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National Trust Administrator is a statutory independent officer under §3.7. The Legislature creates the office by statute and establishes the Administrator's independence, term, and removal grounds through the enabling statute. The enabling statute may not reduce the stewardship obligations established in §17.4.a–f or diminish the EI's annual monitoring authority.</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operational use rights in Territories follow the same framework as in States under §17.3 and §17.4. Host State legislative consent is not required because Territories have no State legislature; the Territory's representative body and the LI are consulted before any use right is registered. The same constitutional principles and obligations apply.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Campaign Conduct Standards</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Electoral Finance — Not Protected Speech</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This constitution takes effect upon ratification by the required threshold established in §19.1.a. Ratification creates binding constitutional obligations on all governmental actors, existing institutions, and successor entities within the Republic's jurisdiction from Day Zero. The ratification process, institutional accommodation, and multi-founder formation procedures are governed by §19.1.a, §19.1.b, and §19.1.c respectively.</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The constitution is implemented through a 24-month, four-phase transition process. Phase 0 (pre-ratification preparation) is governed by §19.3.a. Phase 1 (emergency stabilization, Days 1–90) is governed by §19.3.b. Phase 2 (institutional construction, Days 91–270) is governed by §19.3.c. Phase 3 (first elections, Days 271–450) is governed by §19.3.d. Phase 4 (full constitutional operation) is governed by §19.3.e.</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account for what was done in the name of that predecessor state.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JI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period the Legislature defines by statute.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Republic receives written notice of termination,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2026-05-18T10:00:47.465Z</dcterms:created>
  <dcterms:modified xsi:type="dcterms:W3CDTF">2026-05-18T10:00:47.477Z</dcterms:modified>
</cp:coreProperties>
</file>

<file path=docProps/custom.xml><?xml version="1.0" encoding="utf-8"?>
<Properties xmlns="http://schemas.openxmlformats.org/officeDocument/2006/custom-properties" xmlns:vt="http://schemas.openxmlformats.org/officeDocument/2006/docPropsVTypes"/>
</file>