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440"/>
        <w:jc w:val="center"/>
      </w:pPr>
      <w:r>
        <w:rPr>
          <w:rFonts w:ascii="Garamond" w:cs="Garamond" w:eastAsia="Garamond" w:hAnsi="Garamond"/>
          <w:b w:val="false"/>
          <w:bCs w:val="false"/>
          <w:i w:val="false"/>
          <w:iCs w:val="false"/>
          <w:color w:val="1B2A4A"/>
          <w:sz w:val="52"/>
          <w:szCs w:val="52"/>
        </w:rPr>
        <w:t xml:space="preserve">THE FEDERATED REPUBLIC</w:t>
      </w:r>
    </w:p>
    <w:p>
      <w:pPr>
        <w:pBdr>
          <w:bottom w:val="single" w:color="C9A84C" w:sz="4" w:space="8"/>
        </w:pBdr>
        <w:spacing w:after="120" w:before="0"/>
        <w:jc w:val="center"/>
      </w:pPr>
      <w:r>
        <w:rPr>
          <w:rFonts w:ascii="Garamond" w:cs="Garamond" w:eastAsia="Garamond" w:hAnsi="Garamond"/>
          <w:b w:val="false"/>
          <w:bCs w:val="false"/>
          <w:i w:val="false"/>
          <w:iCs w:val="false"/>
          <w:color w:val="C9A84C"/>
          <w:sz w:val="36"/>
          <w:szCs w:val="36"/>
        </w:rPr>
        <w:t xml:space="preserve">CONSTITUTION</w:t>
      </w:r>
    </w:p>
    <w:p>
      <w:pPr>
        <w:spacing w:after="0" w:before="240"/>
        <w:jc w:val="center"/>
      </w:pPr>
      <w:r>
        <w:rPr>
          <w:rFonts w:ascii="Garamond" w:cs="Garamond" w:eastAsia="Garamond" w:hAnsi="Garamond"/>
          <w:b w:val="false"/>
          <w:bCs w:val="false"/>
          <w:i/>
          <w:iCs/>
          <w:color w:val="7a7060"/>
          <w:sz w:val="22"/>
          <w:szCs w:val="22"/>
        </w:rPr>
        <w:t xml:space="preserve">158 Provisions · 20 Articles</w:t>
      </w:r>
    </w:p>
    <w:p>
      <w:pPr>
        <w:spacing w:after="0" w:before="60"/>
        <w:jc w:val="center"/>
      </w:pPr>
      <w:r>
        <w:rPr>
          <w:rFonts w:ascii="Garamond" w:cs="Garamond" w:eastAsia="Garamond" w:hAnsi="Garamond"/>
          <w:b w:val="false"/>
          <w:bCs w:val="false"/>
          <w:i w:val="false"/>
          <w:iCs w:val="false"/>
          <w:color w:val="7a7060"/>
          <w:sz w:val="18"/>
          <w:szCs w:val="18"/>
        </w:rPr>
        <w:t xml:space="preserve">thefederatedrepublic.org</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 — Individual Sovereignty and Rights</w:t>
      </w:r>
    </w:p>
    <w:p>
      <w:pPr>
        <w:spacing w:after="60" w:before="200"/>
        <w:ind w:left="431"/>
        <w:jc w:val="left"/>
      </w:pPr>
      <w:r>
        <w:rPr>
          <w:rFonts w:ascii="Courier New" w:cs="Courier New" w:eastAsia="Courier New" w:hAnsi="Courier New"/>
          <w:b/>
          <w:bCs/>
          <w:color w:val="2a2a2a"/>
          <w:sz w:val="18"/>
          <w:szCs w:val="18"/>
        </w:rPr>
        <w:t xml:space="preserve">§1.1  </w:t>
      </w:r>
      <w:r>
        <w:rPr>
          <w:rFonts w:ascii="Garamond" w:cs="Garamond" w:eastAsia="Garamond" w:hAnsi="Garamond"/>
          <w:b w:val="false"/>
          <w:bCs w:val="false"/>
          <w:i/>
          <w:iCs/>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may seek legal remedy for any rights violation before an independent and impartial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2a2a2a"/>
          <w:sz w:val="18"/>
          <w:szCs w:val="18"/>
        </w:rPr>
        <w:t xml:space="preserve">§1.2  </w:t>
      </w:r>
      <w:r>
        <w:rPr>
          <w:rFonts w:ascii="Garamond" w:cs="Garamond" w:eastAsia="Garamond" w:hAnsi="Garamond"/>
          <w:b w:val="false"/>
          <w:bCs w:val="false"/>
          <w:i/>
          <w:iCs/>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2a2a2a"/>
          <w:sz w:val="18"/>
          <w:szCs w:val="18"/>
        </w:rPr>
        <w:t xml:space="preserve">§1.3  </w:t>
      </w:r>
      <w:r>
        <w:rPr>
          <w:rFonts w:ascii="Garamond" w:cs="Garamond" w:eastAsia="Garamond" w:hAnsi="Garamond"/>
          <w:b w:val="false"/>
          <w:bCs w:val="false"/>
          <w:i/>
          <w:iCs/>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a2a"/>
          <w:sz w:val="22"/>
          <w:szCs w:val="22"/>
        </w:rPr>
        <w:t xml:space="preserve">Torture and cruel, inhuman, or degrading treatment are absolutely prohibited. No person within the Republic's jurisdiction may be subjected to any such treatment. This right is non-derogable under §1.19.b.</w:t>
      </w:r>
    </w:p>
    <w:p>
      <w:pPr>
        <w:spacing w:after="60" w:before="200"/>
        <w:ind w:left="431"/>
        <w:jc w:val="left"/>
      </w:pPr>
      <w:r>
        <w:rPr>
          <w:rFonts w:ascii="Courier New" w:cs="Courier New" w:eastAsia="Courier New" w:hAnsi="Courier New"/>
          <w:b/>
          <w:bCs/>
          <w:color w:val="2a2a2a"/>
          <w:sz w:val="18"/>
          <w:szCs w:val="18"/>
        </w:rPr>
        <w:t xml:space="preserve">§1.4  </w:t>
      </w:r>
      <w:r>
        <w:rPr>
          <w:rFonts w:ascii="Garamond" w:cs="Garamond" w:eastAsia="Garamond" w:hAnsi="Garamond"/>
          <w:b w:val="false"/>
          <w:bCs w:val="false"/>
          <w:i/>
          <w:iCs/>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a2a"/>
          <w:sz w:val="22"/>
          <w:szCs w:val="22"/>
        </w:rPr>
        <w:t xml:space="preserve">Slavery, involuntary servitude, and forced labor are absolutely prohibited. Prison labor authorized by statute and civic obligations lawfully required of citizens by the Legislature — including jury service, military conscription, and civil emergency duties — do not constitute forced labor under this provision. This right is non-derogable under §1.19.b.</w:t>
      </w:r>
    </w:p>
    <w:p>
      <w:pPr>
        <w:spacing w:after="60" w:before="200"/>
        <w:ind w:left="431"/>
        <w:jc w:val="left"/>
      </w:pPr>
      <w:r>
        <w:rPr>
          <w:rFonts w:ascii="Courier New" w:cs="Courier New" w:eastAsia="Courier New" w:hAnsi="Courier New"/>
          <w:b/>
          <w:bCs/>
          <w:color w:val="2a2a2a"/>
          <w:sz w:val="18"/>
          <w:szCs w:val="18"/>
        </w:rPr>
        <w:t xml:space="preserve">§1.5  </w:t>
      </w:r>
      <w:r>
        <w:rPr>
          <w:rFonts w:ascii="Garamond" w:cs="Garamond" w:eastAsia="Garamond" w:hAnsi="Garamond"/>
          <w:b w:val="false"/>
          <w:bCs w:val="false"/>
          <w:i/>
          <w:iCs/>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suppress expression.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2a2a2a"/>
          <w:sz w:val="18"/>
          <w:szCs w:val="18"/>
        </w:rPr>
        <w:t xml:space="preserve">§1.6  </w:t>
      </w:r>
      <w:r>
        <w:rPr>
          <w:rFonts w:ascii="Garamond" w:cs="Garamond" w:eastAsia="Garamond" w:hAnsi="Garamond"/>
          <w:b w:val="false"/>
          <w:bCs w:val="false"/>
          <w:i/>
          <w:iCs/>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 Age distinctions rationally related to developmental capacity, lifecycle considerations, or demonstrated actuarial risk are subject to rational basis review rather than strict scrutiny.</w:t>
      </w:r>
    </w:p>
    <w:p>
      <w:pPr>
        <w:spacing w:after="60" w:before="200"/>
        <w:ind w:left="431"/>
        <w:jc w:val="left"/>
      </w:pPr>
      <w:r>
        <w:rPr>
          <w:rFonts w:ascii="Courier New" w:cs="Courier New" w:eastAsia="Courier New" w:hAnsi="Courier New"/>
          <w:b/>
          <w:bCs/>
          <w:color w:val="2a2a2a"/>
          <w:sz w:val="18"/>
          <w:szCs w:val="18"/>
        </w:rPr>
        <w:t xml:space="preserve">§1.7  </w:t>
      </w:r>
      <w:r>
        <w:rPr>
          <w:rFonts w:ascii="Garamond" w:cs="Garamond" w:eastAsia="Garamond" w:hAnsi="Garamond"/>
          <w:b w:val="false"/>
          <w:bCs w:val="false"/>
          <w:i/>
          <w:iCs/>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a2a"/>
          <w:sz w:val="22"/>
          <w:szCs w:val="22"/>
        </w:rPr>
        <w:t xml:space="preserve">Medical decisions are the province of the individual and their chosen provider. The state may promote public health through information, licensing, and access; it may not compel medical decisions or penalize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information about medical care that was lawful where received.</w:t>
      </w:r>
    </w:p>
    <w:p>
      <w:pPr>
        <w:spacing w:after="60" w:before="200"/>
        <w:ind w:left="431"/>
        <w:jc w:val="left"/>
      </w:pPr>
      <w:r>
        <w:rPr>
          <w:rFonts w:ascii="Courier New" w:cs="Courier New" w:eastAsia="Courier New" w:hAnsi="Courier New"/>
          <w:b/>
          <w:bCs/>
          <w:color w:val="2a2a2a"/>
          <w:sz w:val="18"/>
          <w:szCs w:val="18"/>
        </w:rPr>
        <w:t xml:space="preserve">§1.8  </w:t>
      </w:r>
      <w:r>
        <w:rPr>
          <w:rFonts w:ascii="Garamond" w:cs="Garamond" w:eastAsia="Garamond" w:hAnsi="Garamond"/>
          <w:b w:val="false"/>
          <w:bCs w:val="false"/>
          <w:i/>
          <w:iCs/>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2a2a2a"/>
          <w:sz w:val="18"/>
          <w:szCs w:val="18"/>
        </w:rPr>
        <w:t xml:space="preserve">§1.9  </w:t>
      </w:r>
      <w:r>
        <w:rPr>
          <w:rFonts w:ascii="Garamond" w:cs="Garamond" w:eastAsia="Garamond" w:hAnsi="Garamond"/>
          <w:b w:val="false"/>
          <w:bCs w:val="false"/>
          <w:i/>
          <w:iCs/>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2a2a2a"/>
          <w:sz w:val="18"/>
          <w:szCs w:val="18"/>
        </w:rPr>
        <w:t xml:space="preserve">§1.10  </w:t>
      </w:r>
      <w:r>
        <w:rPr>
          <w:rFonts w:ascii="Garamond" w:cs="Garamond" w:eastAsia="Garamond" w:hAnsi="Garamond"/>
          <w:b w:val="false"/>
          <w:bCs w:val="false"/>
          <w:i/>
          <w:iCs/>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holds the right to keep and bear arms for lawful purposes including self-defense.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2a2a2a"/>
          <w:sz w:val="18"/>
          <w:szCs w:val="18"/>
        </w:rPr>
        <w:t xml:space="preserve">§1.11  </w:t>
      </w:r>
      <w:r>
        <w:rPr>
          <w:rFonts w:ascii="Garamond" w:cs="Garamond" w:eastAsia="Garamond" w:hAnsi="Garamond"/>
          <w:b w:val="false"/>
          <w:bCs w:val="false"/>
          <w:i/>
          <w:iCs/>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detained by public authority has the right to challenge that detention before an independent and impartial court. The detaining authority must produce the person and justify the detention within the period established by statute, not to exceed 72 hours. No court may decline to hear a habeas corpus application. This right is non-derogable under §1.19.b.</w:t>
      </w:r>
    </w:p>
    <w:p>
      <w:pPr>
        <w:spacing w:after="60" w:before="200"/>
        <w:ind w:left="431"/>
        <w:jc w:val="left"/>
      </w:pPr>
      <w:r>
        <w:rPr>
          <w:rFonts w:ascii="Courier New" w:cs="Courier New" w:eastAsia="Courier New" w:hAnsi="Courier New"/>
          <w:b/>
          <w:bCs/>
          <w:color w:val="2a2a2a"/>
          <w:sz w:val="18"/>
          <w:szCs w:val="18"/>
        </w:rPr>
        <w:t xml:space="preserve">§1.12  </w:t>
      </w:r>
      <w:r>
        <w:rPr>
          <w:rFonts w:ascii="Garamond" w:cs="Garamond" w:eastAsia="Garamond" w:hAnsi="Garamond"/>
          <w:b w:val="false"/>
          <w:bCs w:val="false"/>
          <w:i/>
          <w:iCs/>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accused of a criminal offense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penalized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any systematic or automated methodology is used to generate evidence, the accused has the right to examine that methodology in full.</w:t>
      </w:r>
    </w:p>
    <w:p>
      <w:pPr>
        <w:spacing w:after="60" w:before="200"/>
        <w:ind w:left="431"/>
        <w:jc w:val="left"/>
      </w:pPr>
      <w:r>
        <w:rPr>
          <w:rFonts w:ascii="Courier New" w:cs="Courier New" w:eastAsia="Courier New" w:hAnsi="Courier New"/>
          <w:b/>
          <w:bCs/>
          <w:color w:val="2a2a2a"/>
          <w:sz w:val="18"/>
          <w:szCs w:val="18"/>
        </w:rPr>
        <w:t xml:space="preserve">§1.13  </w:t>
      </w:r>
      <w:r>
        <w:rPr>
          <w:rFonts w:ascii="Garamond" w:cs="Garamond" w:eastAsia="Garamond" w:hAnsi="Garamond"/>
          <w:b w:val="false"/>
          <w:bCs w:val="false"/>
          <w:i/>
          <w:iCs/>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accused of a criminal offense has the right to a public trial before an independent and impartial court. Proceedings may be held in camera only to the minimum extent necessary to protect a compelling interest identified in advance by the court; the existence of any proceeding may not be concealed. This right is non-derogable under §1.19.b.</w:t>
      </w:r>
    </w:p>
    <w:p>
      <w:pPr>
        <w:spacing w:after="60" w:before="200"/>
        <w:ind w:left="431"/>
        <w:jc w:val="left"/>
      </w:pPr>
      <w:r>
        <w:rPr>
          <w:rFonts w:ascii="Courier New" w:cs="Courier New" w:eastAsia="Courier New" w:hAnsi="Courier New"/>
          <w:b/>
          <w:bCs/>
          <w:color w:val="2a2a2a"/>
          <w:sz w:val="18"/>
          <w:szCs w:val="18"/>
        </w:rPr>
        <w:t xml:space="preserve">§1.14  </w:t>
      </w:r>
      <w:r>
        <w:rPr>
          <w:rFonts w:ascii="Garamond" w:cs="Garamond" w:eastAsia="Garamond" w:hAnsi="Garamond"/>
          <w:b w:val="false"/>
          <w:bCs w:val="false"/>
          <w:i/>
          <w:iCs/>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a2a"/>
          <w:sz w:val="22"/>
          <w:szCs w:val="22"/>
        </w:rPr>
        <w:t xml:space="preserve">No person may be convicted of an act that was not a criminal offense when committed, or subjected to a penalty greater than that applicable at the time of the offense. No criminal law may be applied retroactively to the disadvantage of the accused. This right is non-derogable under §1.19.b.</w:t>
      </w:r>
    </w:p>
    <w:p>
      <w:pPr>
        <w:spacing w:after="60" w:before="200"/>
        <w:ind w:left="431"/>
        <w:jc w:val="left"/>
      </w:pPr>
      <w:r>
        <w:rPr>
          <w:rFonts w:ascii="Courier New" w:cs="Courier New" w:eastAsia="Courier New" w:hAnsi="Courier New"/>
          <w:b/>
          <w:bCs/>
          <w:color w:val="2a2a2a"/>
          <w:sz w:val="18"/>
          <w:szCs w:val="18"/>
        </w:rPr>
        <w:t xml:space="preserve">§1.15  </w:t>
      </w:r>
      <w:r>
        <w:rPr>
          <w:rFonts w:ascii="Garamond" w:cs="Garamond" w:eastAsia="Garamond" w:hAnsi="Garamond"/>
          <w:b w:val="false"/>
          <w:bCs w:val="false"/>
          <w:i/>
          <w:iCs/>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a2a"/>
          <w:sz w:val="22"/>
          <w:szCs w:val="22"/>
        </w:rPr>
        <w:t xml:space="preserve">No person may be tried or punished twice for the same offense following a final acquittal or conviction. Same offense means the same conduct regardless of how it is labeled or charged; the protection applies to any charge that does not require proof of an element distinct from those required for the original charge. The Legislature defines by statute the scope of this protection above this constitutional floor, including its application across jurisdictions.</w:t>
      </w:r>
    </w:p>
    <w:p>
      <w:pPr>
        <w:spacing w:after="60" w:before="200"/>
        <w:ind w:left="431"/>
        <w:jc w:val="left"/>
      </w:pPr>
      <w:r>
        <w:rPr>
          <w:rFonts w:ascii="Courier New" w:cs="Courier New" w:eastAsia="Courier New" w:hAnsi="Courier New"/>
          <w:b/>
          <w:bCs/>
          <w:color w:val="2a2a2a"/>
          <w:sz w:val="18"/>
          <w:szCs w:val="18"/>
        </w:rPr>
        <w:t xml:space="preserve">§1.16  </w:t>
      </w:r>
      <w:r>
        <w:rPr>
          <w:rFonts w:ascii="Garamond" w:cs="Garamond" w:eastAsia="Garamond" w:hAnsi="Garamond"/>
          <w:b w:val="false"/>
          <w:bCs w:val="false"/>
          <w:i/>
          <w:iCs/>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 The Legislature must take reasonable measures within available resources toward the progressive fulfilment of this right; no reduction in the adequacy standard below the established level is constitutionally valid absent a certified fiscal emergency under §12.2.</w:t>
      </w:r>
    </w:p>
    <w:p>
      <w:pPr>
        <w:spacing w:after="60" w:before="200"/>
        <w:ind w:left="431"/>
        <w:jc w:val="left"/>
      </w:pPr>
      <w:r>
        <w:rPr>
          <w:rFonts w:ascii="Courier New" w:cs="Courier New" w:eastAsia="Courier New" w:hAnsi="Courier New"/>
          <w:b/>
          <w:bCs/>
          <w:color w:val="2a2a2a"/>
          <w:sz w:val="18"/>
          <w:szCs w:val="18"/>
        </w:rPr>
        <w:t xml:space="preserve">§1.17  </w:t>
      </w:r>
      <w:r>
        <w:rPr>
          <w:rFonts w:ascii="Garamond" w:cs="Garamond" w:eastAsia="Garamond" w:hAnsi="Garamond"/>
          <w:b w:val="false"/>
          <w:bCs w:val="false"/>
          <w:i/>
          <w:iCs/>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established by statute. The Legislature must take reasonable measures within available resources toward the progressive fulfilment of this right; no reduction in the adequacy standard below the established level is constitutionally valid absent a certified fiscal emergency under §12.2.</w:t>
      </w:r>
    </w:p>
    <w:p>
      <w:pPr>
        <w:spacing w:after="60" w:before="200"/>
        <w:ind w:left="431"/>
        <w:jc w:val="left"/>
      </w:pPr>
      <w:r>
        <w:rPr>
          <w:rFonts w:ascii="Courier New" w:cs="Courier New" w:eastAsia="Courier New" w:hAnsi="Courier New"/>
          <w:b/>
          <w:bCs/>
          <w:color w:val="2a2a2a"/>
          <w:sz w:val="18"/>
          <w:szCs w:val="18"/>
        </w:rPr>
        <w:t xml:space="preserve">§1.18  </w:t>
      </w:r>
      <w:r>
        <w:rPr>
          <w:rFonts w:ascii="Garamond" w:cs="Garamond" w:eastAsia="Garamond" w:hAnsi="Garamond"/>
          <w:b w:val="false"/>
          <w:bCs w:val="false"/>
          <w:i/>
          <w:iCs/>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2a2a2a"/>
          <w:sz w:val="18"/>
          <w:szCs w:val="18"/>
        </w:rPr>
        <w:t xml:space="preserve">§1.19  </w:t>
      </w:r>
      <w:r>
        <w:rPr>
          <w:rFonts w:ascii="Garamond" w:cs="Garamond" w:eastAsia="Garamond" w:hAnsi="Garamond"/>
          <w:b w:val="false"/>
          <w:bCs w:val="false"/>
          <w:i/>
          <w:iCs/>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No emergency — however severe — suspends the Individual Sovereignty Floor in full. Temporary derogation of certain rights is permitted only under the strict conditions of this section; the rights enumerated in §1.19.b may not be derogated. The three Monitors continue to operate with full constitutional authority throughout any emergency — they cannot be suspended or have their mandate reduced by emergency declaration. Emergency derogation of Article I rights requires a declaration specifying the nature of the emergency, which rights are limited, the geographic scope, and the duration; blanket declarations are constitutionally invalid. The declaration is published to the NRS immediately.</w:t>
      </w:r>
    </w:p>
    <w:p>
      <w:pPr>
        <w:spacing w:after="60" w:before="200"/>
        <w:ind w:left="431"/>
        <w:jc w:val="left"/>
      </w:pPr>
      <w:r>
        <w:rPr>
          <w:rFonts w:ascii="Courier New" w:cs="Courier New" w:eastAsia="Courier New" w:hAnsi="Courier New"/>
          <w:b/>
          <w:bCs/>
          <w:color w:val="2a2a2a"/>
          <w:sz w:val="18"/>
          <w:szCs w:val="18"/>
        </w:rPr>
        <w:t xml:space="preserve">§1.19.b  </w:t>
      </w:r>
      <w:r>
        <w:rPr>
          <w:rFonts w:ascii="Garamond" w:cs="Garamond" w:eastAsia="Garamond" w:hAnsi="Garamond"/>
          <w:b w:val="false"/>
          <w:bCs w:val="false"/>
          <w:i/>
          <w:iCs/>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These six rights are absolute: the prohibition on torture (§1.3); slavery (§1.4); habeas corpus (§1.11); the right to a public trial (§1.13); no retroactive punishment (§1.14); and non-refoulement (§1.21). No emergency declaration, executive order, or legislative act may derogate any of these rights. No emergency measure, regardless of its stated purpose, may be applied in a discriminatory manner on the basis of race, ethnicity, religion, or national origin; any such application is constitutionally void.</w:t>
      </w:r>
    </w:p>
    <w:p>
      <w:pPr>
        <w:spacing w:after="60" w:before="200"/>
        <w:ind w:left="431"/>
        <w:jc w:val="left"/>
      </w:pPr>
      <w:r>
        <w:rPr>
          <w:rFonts w:ascii="Courier New" w:cs="Courier New" w:eastAsia="Courier New" w:hAnsi="Courier New"/>
          <w:b/>
          <w:bCs/>
          <w:color w:val="2a2a2a"/>
          <w:sz w:val="18"/>
          <w:szCs w:val="18"/>
        </w:rPr>
        <w:t xml:space="preserve">§1.19.e  </w:t>
      </w:r>
      <w:r>
        <w:rPr>
          <w:rFonts w:ascii="Garamond" w:cs="Garamond" w:eastAsia="Garamond" w:hAnsi="Garamond"/>
          <w:b w:val="false"/>
          <w:bCs w:val="false"/>
          <w:i/>
          <w:iCs/>
          <w:color w:val="1B2A4A"/>
          <w:sz w:val="22"/>
          <w:szCs w:val="22"/>
        </w:rPr>
        <w:t xml:space="preserve">Emergency Declaration Lifecycle</w:t>
      </w:r>
    </w:p>
    <w:p>
      <w:pPr>
        <w:spacing w:after="120" w:before="0"/>
        <w:ind w:left="431"/>
        <w:jc w:val="both"/>
      </w:pPr>
      <w:r>
        <w:rPr>
          <w:rFonts w:ascii="Garamond" w:cs="Garamond" w:eastAsia="Garamond" w:hAnsi="Garamond"/>
          <w:b w:val="false"/>
          <w:bCs w:val="false"/>
          <w:i w:val="false"/>
          <w:iCs w:val="false"/>
          <w:color w:val="2a2a2a"/>
          <w:sz w:val="22"/>
          <w:szCs w:val="22"/>
        </w:rPr>
        <w:t xml:space="preserve">Emergency measures lapse automatically at the expiry of the Declaration. The Legislature may, before a Declaration expires, extend it for one additional period not to exceed 60 days by 2/3 of both chambers in a concurrent vote; the extension is published immediately to the NRS and no further extension is available under this provision. Judicial review of any emergency measure is available to any citizen at any time, and courts may rule during the emergency that a specific measure is unconstitutional. No emergency measure may be made permanent by legislative act; any measure not re-enacted through the ordinary legislative process lapses automatically at the expiry of the Declaration. The Legislature may not re-declare an emergency measure within 60 days of its expiry. A new emergency declaration covering substantially the same geographic scope and affecting substantially the same rights as a declaration that expired within 60 days is subject to the same bar, regardless of how the new emergency is labeled; the EM publishes an assessment of whether any new declaration constitutes a relabeled continuation of the prior emergency within 14 days of its issuance.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2a2a2a"/>
          <w:sz w:val="18"/>
          <w:szCs w:val="18"/>
        </w:rPr>
        <w:t xml:space="preserve">§1.20  </w:t>
      </w:r>
      <w:r>
        <w:rPr>
          <w:rFonts w:ascii="Garamond" w:cs="Garamond" w:eastAsia="Garamond" w:hAnsi="Garamond"/>
          <w:b w:val="false"/>
          <w:bCs w:val="false"/>
          <w:i/>
          <w:iCs/>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2a2a2a"/>
          <w:sz w:val="18"/>
          <w:szCs w:val="18"/>
        </w:rPr>
        <w:t xml:space="preserve">§1.21  </w:t>
      </w:r>
      <w:r>
        <w:rPr>
          <w:rFonts w:ascii="Garamond" w:cs="Garamond" w:eastAsia="Garamond" w:hAnsi="Garamond"/>
          <w:b w:val="false"/>
          <w:bCs w:val="false"/>
          <w:i/>
          <w:iCs/>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a2a"/>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§1.19.b.</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II — The Dual Executive</w:t>
      </w:r>
    </w:p>
    <w:p>
      <w:pPr>
        <w:spacing w:after="60" w:before="200"/>
        <w:ind w:left="431"/>
        <w:jc w:val="left"/>
      </w:pPr>
      <w:r>
        <w:rPr>
          <w:rFonts w:ascii="Courier New" w:cs="Courier New" w:eastAsia="Courier New" w:hAnsi="Courier New"/>
          <w:b/>
          <w:bCs/>
          <w:color w:val="2a2a2a"/>
          <w:sz w:val="18"/>
          <w:szCs w:val="18"/>
        </w:rPr>
        <w:t xml:space="preserve">§2.1  </w:t>
      </w:r>
      <w:r>
        <w:rPr>
          <w:rFonts w:ascii="Garamond" w:cs="Garamond" w:eastAsia="Garamond" w:hAnsi="Garamond"/>
          <w:b w:val="false"/>
          <w:bCs w:val="false"/>
          <w:i/>
          <w:iCs/>
          <w:color w:val="1B2A4A"/>
          <w:sz w:val="22"/>
          <w:szCs w:val="22"/>
        </w:rPr>
        <w:t xml:space="preserve">The Legat Consul — Domain and Term</w:t>
      </w:r>
    </w:p>
    <w:p>
      <w:pPr>
        <w:spacing w:after="120" w:before="0"/>
        <w:ind w:left="431"/>
        <w:jc w:val="both"/>
      </w:pPr>
      <w:r>
        <w:rPr>
          <w:rFonts w:ascii="Garamond" w:cs="Garamond" w:eastAsia="Garamond" w:hAnsi="Garamond"/>
          <w:b w:val="false"/>
          <w:bCs w:val="false"/>
          <w:i w:val="false"/>
          <w:iCs w:val="false"/>
          <w:color w:val="2a2a2a"/>
          <w:sz w:val="22"/>
          <w:szCs w:val="22"/>
        </w:rPr>
        <w:t xml:space="preserve">To hold the office of Legat Consul, a person must have been a citizen for at least 7 years at the time of taking office and must hold no federal felony conviction. No other eligibility requirement applies. The Legat Consul holds enumerated authority over: military command and force employment; foreign affairs, treaty negotiation, recognition of foreign governments, and the receipt of foreign delegations; intelligence; trade agreements subject to §2.4; and compact relationships with recognized indigenous nations under Article XVI; and appointments within the Legat Consul’s domain. Where the domain of a proposed action is disputed, the Council of Ministers under §2.14 is the first forum; pending resolution, each executive continues only those functions clearly within their established domain; the specific action giving rise to the dispute is suspended pending SC determination. During active military operations, the Legat Consul's domain governs operational decisions; either executive may petition the SC for an expedited domain determination.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time of transfer.</w:t>
      </w:r>
    </w:p>
    <w:p>
      <w:pPr>
        <w:spacing w:after="60" w:before="200"/>
        <w:ind w:left="431"/>
        <w:jc w:val="left"/>
      </w:pPr>
      <w:r>
        <w:rPr>
          <w:rFonts w:ascii="Courier New" w:cs="Courier New" w:eastAsia="Courier New" w:hAnsi="Courier New"/>
          <w:b/>
          <w:bCs/>
          <w:color w:val="2a2a2a"/>
          <w:sz w:val="18"/>
          <w:szCs w:val="18"/>
        </w:rPr>
        <w:t xml:space="preserve">§2.2  </w:t>
      </w:r>
      <w:r>
        <w:rPr>
          <w:rFonts w:ascii="Garamond" w:cs="Garamond" w:eastAsia="Garamond" w:hAnsi="Garamond"/>
          <w:b w:val="false"/>
          <w:bCs w:val="false"/>
          <w:i/>
          <w:iCs/>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not to exceed 24 hours; the Legislature may define a shorter period by statute. Legislative authorization expires unless affirmatively renewed at intervals the Legislature defines by statute; the constitutional default on expiry is cessation of all operations — the burden is always on authorization, never on termination. Military expenditure is governed by §14.2. All military operations must state and be consistent with an authorized purpose under §14.1.</w:t>
      </w:r>
    </w:p>
    <w:p>
      <w:pPr>
        <w:spacing w:after="60" w:before="200"/>
        <w:ind w:left="431"/>
        <w:jc w:val="left"/>
      </w:pPr>
      <w:r>
        <w:rPr>
          <w:rFonts w:ascii="Courier New" w:cs="Courier New" w:eastAsia="Courier New" w:hAnsi="Courier New"/>
          <w:b/>
          <w:bCs/>
          <w:color w:val="2a2a2a"/>
          <w:sz w:val="18"/>
          <w:szCs w:val="18"/>
        </w:rPr>
        <w:t xml:space="preserve">§2.3  </w:t>
      </w:r>
      <w:r>
        <w:rPr>
          <w:rFonts w:ascii="Garamond" w:cs="Garamond" w:eastAsia="Garamond" w:hAnsi="Garamond"/>
          <w:b w:val="false"/>
          <w:bCs w:val="false"/>
          <w:i/>
          <w:iCs/>
          <w:color w:val="1B2A4A"/>
          <w:sz w:val="22"/>
          <w:szCs w:val="22"/>
        </w:rPr>
        <w:t xml:space="preserve">Consular Intelligence and Veto</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directs foreign intelligence. No intelligence operation may be conducted against Republic citizens within Republic territory on the Legat Consul's authority; such operations require independent judicial authorization.</w:t>
      </w:r>
    </w:p>
    <w:p>
      <w:pPr>
        <w:spacing w:after="60" w:before="200"/>
        <w:ind w:left="431"/>
        <w:jc w:val="left"/>
      </w:pPr>
      <w:r>
        <w:rPr>
          <w:rFonts w:ascii="Courier New" w:cs="Courier New" w:eastAsia="Courier New" w:hAnsi="Courier New"/>
          <w:b/>
          <w:bCs/>
          <w:color w:val="2a2a2a"/>
          <w:sz w:val="18"/>
          <w:szCs w:val="18"/>
        </w:rPr>
        <w:t xml:space="preserve">§2.3.a  </w:t>
      </w:r>
      <w:r>
        <w:rPr>
          <w:rFonts w:ascii="Garamond" w:cs="Garamond" w:eastAsia="Garamond" w:hAnsi="Garamond"/>
          <w:b w:val="false"/>
          <w:bCs w:val="false"/>
          <w:i/>
          <w:iCs/>
          <w:color w:val="1B2A4A"/>
          <w:sz w:val="22"/>
          <w:szCs w:val="22"/>
        </w:rPr>
        <w:t xml:space="preserve">Legat Consul Legislative Veto</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may veto legislation that raises a genuine constitutional concern within the Legat Consul's security domain — military operations, intelligence, treaty obligations, or border security. A general or speculative security connection is insufficient. Either Speaker may petition the SC for an expedited domain determination of any disputed veto; the SC must rule within the period defined by statute, not to exceed 14 days, of such petition. Under §9.1, either Speaker may request an EM assessment of the domain question, which the SC may consider as expert evidence. Where the SC confirms the veto falls outside the Legat Consul's defined domain, the veto is void and the bill proceeds to ordinary enactment without Legat Consul assent. Where the SC confirms the veto is within domain, the ordinary 2/3 override threshold applies.</w:t>
      </w:r>
    </w:p>
    <w:p>
      <w:pPr>
        <w:spacing w:after="60" w:before="200"/>
        <w:ind w:left="431"/>
        <w:jc w:val="left"/>
      </w:pPr>
      <w:r>
        <w:rPr>
          <w:rFonts w:ascii="Courier New" w:cs="Courier New" w:eastAsia="Courier New" w:hAnsi="Courier New"/>
          <w:b/>
          <w:bCs/>
          <w:color w:val="2a2a2a"/>
          <w:sz w:val="18"/>
          <w:szCs w:val="18"/>
        </w:rPr>
        <w:t xml:space="preserve">§2.4  </w:t>
      </w:r>
      <w:r>
        <w:rPr>
          <w:rFonts w:ascii="Garamond" w:cs="Garamond" w:eastAsia="Garamond" w:hAnsi="Garamond"/>
          <w:b w:val="false"/>
          <w:bCs w:val="false"/>
          <w:i/>
          <w:iCs/>
          <w:color w:val="1B2A4A"/>
          <w:sz w:val="22"/>
          <w:szCs w:val="22"/>
        </w:rPr>
        <w:t xml:space="preserve">Legat Consul International Agreements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negotiates and concludes treaties and trade agreements. Treaties are subject to ratification under §3.6. Trade agreements are subject to legislative approval under §3.6. During negotiation of any trade agreement, the Legat Consul must consult the Civic Consul on its domestic implications; the Civic Consul's response is published to the NRS. The Legat Consul nominates senior domain officers — Director of Intelligence, Director of Foreign Affairs, Director of Defense — from a pool of qualified candidates maintained by the Elections Panel under §9.12. The Legislature defines qualifications and confirmation procedures for each office by statute; acting appointments may be made pending confirmation for the period and under the conditions the Legislature defines.</w:t>
      </w:r>
    </w:p>
    <w:p>
      <w:pPr>
        <w:spacing w:after="60" w:before="200"/>
        <w:ind w:left="431"/>
        <w:jc w:val="left"/>
      </w:pPr>
      <w:r>
        <w:rPr>
          <w:rFonts w:ascii="Courier New" w:cs="Courier New" w:eastAsia="Courier New" w:hAnsi="Courier New"/>
          <w:b/>
          <w:bCs/>
          <w:color w:val="2a2a2a"/>
          <w:sz w:val="18"/>
          <w:szCs w:val="18"/>
        </w:rPr>
        <w:t xml:space="preserve">§2.5  </w:t>
      </w:r>
      <w:r>
        <w:rPr>
          <w:rFonts w:ascii="Garamond" w:cs="Garamond" w:eastAsia="Garamond" w:hAnsi="Garamond"/>
          <w:b w:val="false"/>
          <w:bCs w:val="false"/>
          <w:i/>
          <w:iCs/>
          <w:color w:val="1B2A4A"/>
          <w:sz w:val="22"/>
          <w:szCs w:val="22"/>
        </w:rPr>
        <w:t xml:space="preserve">The Civic Consul — Domain and Term</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Civic Consul holds residual executive authority over all functions not enumerated to the Legat Consul. To hold the office of Civic Consul, a person must have been a citizen for at least 7 years at the time of taking office and must hold no federal felony conviction. No other eligibility requirement applies. The Civic Consul serves at the confidence of the Assembly, subject to removal under §2.6. No person may serve more than 8 years in total as Civic Consul across all periods of service; this limit is cumulative and permanent regardless of interruption. The Civic Consul's domestic authority includes: all domestic policy and regulatory frameworks; the annual budget, which must originate with the Civic Consul and pass the Assembly; the civil service; and administration of the social state under Article XII. The Civic Consul may declare a domestic emergency in response to natural disaster, public health crisis, or infrastructure failure, subject to the constraints of Article I and renewable Assembly approval at intervals defined by statute; in the absence of a statutory interval, the constitutional default is 30 days. The Legat Consul has no role in domestic emergencies. The Civic Consul has the right to be informed on matters within the Legat Consul’s domain that bear on domestic interests or create domestic fiscal obligations. No classification or domain assertion may be used to withhold such information from the Civic Consul. The Legat Consul shall consult the Civic Consul on compact negotiations under Article XVI; the Civic Consul’s response is advisory. Where the Civic Consul is temporarily unable to exercise authority, the Civic Consul's designated Acting Civic Consul serves with authority limited to maintaining existing policy and emergency functions. Acting status ends when the Civic Consul resumes their duties or a new Civic Consul is confirmed by the Assembly.</w:t>
      </w:r>
    </w:p>
    <w:p>
      <w:pPr>
        <w:spacing w:after="60" w:before="200"/>
        <w:ind w:left="431"/>
        <w:jc w:val="left"/>
      </w:pPr>
      <w:r>
        <w:rPr>
          <w:rFonts w:ascii="Courier New" w:cs="Courier New" w:eastAsia="Courier New" w:hAnsi="Courier New"/>
          <w:b/>
          <w:bCs/>
          <w:color w:val="2a2a2a"/>
          <w:sz w:val="18"/>
          <w:szCs w:val="18"/>
        </w:rPr>
        <w:t xml:space="preserve">§2.6  </w:t>
      </w:r>
      <w:r>
        <w:rPr>
          <w:rFonts w:ascii="Garamond" w:cs="Garamond" w:eastAsia="Garamond" w:hAnsi="Garamond"/>
          <w:b w:val="false"/>
          <w:bCs w:val="false"/>
          <w:i/>
          <w:iCs/>
          <w:color w:val="1B2A4A"/>
          <w:sz w:val="22"/>
          <w:szCs w:val="22"/>
        </w:rPr>
        <w:t xml:space="preserve">Constructive Vote of No Confidence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Civic Consul is accountable to the Assembly. The Assembly may remove the Civic Consul only through a constructive vote of no confidence: a single vote that simultaneously removes the sitting Civic Consul and installs a named replacement, by absolute majority of full seated Assembly membership. A confidence vote that does not name and elect a successor has no constitutional effect. The Civic Consul must be and remain a serving member of the Assembly throughout their tenure; removal or resignation as Civic Consul does not affect Assembly membership, and a former Civic Consul who remains a member of the Assembly reverts to that role. The Civic Consul is subject to all Assembly membership rules, including term limits and the cooling-off period under §3.2.</w:t>
      </w:r>
    </w:p>
    <w:p>
      <w:pPr>
        <w:spacing w:after="60" w:before="200"/>
        <w:ind w:left="431"/>
        <w:jc w:val="left"/>
      </w:pPr>
      <w:r>
        <w:rPr>
          <w:rFonts w:ascii="Courier New" w:cs="Courier New" w:eastAsia="Courier New" w:hAnsi="Courier New"/>
          <w:b/>
          <w:bCs/>
          <w:color w:val="2a2a2a"/>
          <w:sz w:val="18"/>
          <w:szCs w:val="18"/>
        </w:rPr>
        <w:t xml:space="preserve">§2.6.a  </w:t>
      </w:r>
      <w:r>
        <w:rPr>
          <w:rFonts w:ascii="Garamond" w:cs="Garamond" w:eastAsia="Garamond" w:hAnsi="Garamond"/>
          <w:b w:val="false"/>
          <w:bCs w:val="false"/>
          <w:i/>
          <w:iCs/>
          <w:color w:val="1B2A4A"/>
          <w:sz w:val="22"/>
          <w:szCs w:val="22"/>
        </w:rPr>
        <w:t xml:space="preserve">Government Formation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Assembly elects the Civic Consul by absolute majority within the period defined by statute following any general election or vacancy; where no statutory period has been established, the constitutional default is 21 days. If the Assembly does not elect a Civic Consul within that period, the Civic Consul designates an Acting Civic Consul from the confirmed ministers. Where no ministers have been confirmed, the designation falls to a serving Assembly member. The designation is published to the NRS. The Senate may, by 2/3 supermajority, designate a serving Assembly member as Civic Consul if the Assembly has failed to elect one within the statutory period; Assembly election of a Civic Consul by absolute majority terminates any Senate designation. Where no Civic Consul has been elected and the Senate has not designated one within 45 days of the Assembly failing to elect, the Elections Panel administers a public dissolution referendum; a simple majority decides. If the Assembly elects a Civic Consul before the dissolution vote is certified, the referendum concludes without effect. Where the dissolution vote passes, a new Assembly general election follows; the Acting mechanism continues until the new Assembly elects a Civic Consul.</w:t>
      </w:r>
    </w:p>
    <w:p>
      <w:pPr>
        <w:spacing w:after="60" w:before="200"/>
        <w:ind w:left="431"/>
        <w:jc w:val="left"/>
      </w:pPr>
      <w:r>
        <w:rPr>
          <w:rFonts w:ascii="Courier New" w:cs="Courier New" w:eastAsia="Courier New" w:hAnsi="Courier New"/>
          <w:b/>
          <w:bCs/>
          <w:color w:val="2a2a2a"/>
          <w:sz w:val="18"/>
          <w:szCs w:val="18"/>
        </w:rPr>
        <w:t xml:space="preserve">§2.7  </w:t>
      </w:r>
      <w:r>
        <w:rPr>
          <w:rFonts w:ascii="Garamond" w:cs="Garamond" w:eastAsia="Garamond" w:hAnsi="Garamond"/>
          <w:b w:val="false"/>
          <w:bCs w:val="false"/>
          <w:i/>
          <w:iCs/>
          <w:color w:val="1B2A4A"/>
          <w:sz w:val="22"/>
          <w:szCs w:val="22"/>
        </w:rPr>
        <w:t xml:space="preserve">Civic Consul Legislative Instruments</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Civic Consul withholds assent from a bill passed by both chambers, the Civic Consul exercises a suspensive veto by returning the bill to the Legislature within the period defined by statute with a written statement of objection specifying constitutional, fiscal, or operational grounds, published to the NRS. The bill is suspended from taking effect during the return and reconsideration period. The Legislature may override the suspensive veto by 2/3 of both chambers in a concurrent vote; a successfully overridden bill takes effect without Civic Consul assent. Where the Legislature does not hold an override vote within the period defined by statute, the bill lapses for that session and may be reintroduced in the next. The suspensive veto may not be used on the annual budget, bills implementing a constitutional obligation, or emergency legislation. The Civic Consul may also object on specific solvency grounds — the bill would cause or materially worsen a structural deficit. The Assembly may override a solvency objection by simple majority. If the Civic Consul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2a2a2a"/>
          <w:sz w:val="18"/>
          <w:szCs w:val="18"/>
        </w:rPr>
        <w:t xml:space="preserve">§2.8  </w:t>
      </w:r>
      <w:r>
        <w:rPr>
          <w:rFonts w:ascii="Garamond" w:cs="Garamond" w:eastAsia="Garamond" w:hAnsi="Garamond"/>
          <w:b w:val="false"/>
          <w:bCs w:val="false"/>
          <w:i/>
          <w:iCs/>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a2a"/>
          <w:sz w:val="22"/>
          <w:szCs w:val="22"/>
        </w:rPr>
        <w:t xml:space="preserve">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2a2a2a"/>
          <w:sz w:val="18"/>
          <w:szCs w:val="18"/>
        </w:rPr>
        <w:t xml:space="preserve">§2.9  </w:t>
      </w:r>
      <w:r>
        <w:rPr>
          <w:rFonts w:ascii="Garamond" w:cs="Garamond" w:eastAsia="Garamond" w:hAnsi="Garamond"/>
          <w:b w:val="false"/>
          <w:bCs w:val="false"/>
          <w:i/>
          <w:iCs/>
          <w:color w:val="1B2A4A"/>
          <w:sz w:val="22"/>
          <w:szCs w:val="22"/>
        </w:rPr>
        <w:t xml:space="preserve">Legat Consul Succession and Incapacity</w:t>
      </w:r>
    </w:p>
    <w:p>
      <w:pPr>
        <w:spacing w:after="120" w:before="0"/>
        <w:ind w:left="431"/>
        <w:jc w:val="both"/>
      </w:pPr>
      <w:r>
        <w:rPr>
          <w:rFonts w:ascii="Garamond" w:cs="Garamond" w:eastAsia="Garamond" w:hAnsi="Garamond"/>
          <w:b w:val="false"/>
          <w:bCs w:val="false"/>
          <w:i w:val="false"/>
          <w:iCs w:val="false"/>
          <w:color w:val="2a2a2a"/>
          <w:sz w:val="22"/>
          <w:szCs w:val="22"/>
        </w:rPr>
        <w:t xml:space="preserve">Full succession activates on the Legat Consul’s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 Where the Senate Speaker is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Legat Consul after that moment is constitutionally void. A successor serves the remainder of the current Legat Consul's term; a successor who serves any portion of a predecessor's term must sit out one full term before standing for election as Legat Consul; after the cooling-off period the former successor may stand for and serve a full elected term. Where the Legat Consul is temporarily unable to exercise authority, a majority of the JMC assesses capacity and, on joint assessment published to the NRS, Acting Legat Consul authority transfers to the Senate Speaker without vacating the Speaker's Senate seat by constitutional operation from that moment. Acting authority ends when the Legat Consul publishes a restoration declaration to the NRS.</w:t>
      </w:r>
    </w:p>
    <w:p>
      <w:pPr>
        <w:spacing w:after="60" w:before="200"/>
        <w:ind w:left="431"/>
        <w:jc w:val="left"/>
      </w:pPr>
      <w:r>
        <w:rPr>
          <w:rFonts w:ascii="Courier New" w:cs="Courier New" w:eastAsia="Courier New" w:hAnsi="Courier New"/>
          <w:b/>
          <w:bCs/>
          <w:color w:val="2a2a2a"/>
          <w:sz w:val="18"/>
          <w:szCs w:val="18"/>
        </w:rPr>
        <w:t xml:space="preserve">§2.10  </w:t>
      </w:r>
      <w:r>
        <w:rPr>
          <w:rFonts w:ascii="Garamond" w:cs="Garamond" w:eastAsia="Garamond" w:hAnsi="Garamond"/>
          <w:b w:val="false"/>
          <w:bCs w:val="false"/>
          <w:i/>
          <w:iCs/>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a2a"/>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w:t>
      </w:r>
    </w:p>
    <w:p>
      <w:pPr>
        <w:spacing w:after="60" w:before="200"/>
        <w:ind w:left="431"/>
        <w:jc w:val="left"/>
      </w:pPr>
      <w:r>
        <w:rPr>
          <w:rFonts w:ascii="Courier New" w:cs="Courier New" w:eastAsia="Courier New" w:hAnsi="Courier New"/>
          <w:b/>
          <w:bCs/>
          <w:color w:val="2a2a2a"/>
          <w:sz w:val="18"/>
          <w:szCs w:val="18"/>
        </w:rPr>
        <w:t xml:space="preserve">§2.11  </w:t>
      </w:r>
      <w:r>
        <w:rPr>
          <w:rFonts w:ascii="Garamond" w:cs="Garamond" w:eastAsia="Garamond" w:hAnsi="Garamond"/>
          <w:b w:val="false"/>
          <w:bCs w:val="false"/>
          <w:i/>
          <w:iCs/>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Assembly is unable to function for an extended period — as defined by statute; in the absence of a statutory definition, the constitutional floor is 30 consecutive days during which the Assembly cannot achieve quorum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2a2a2a"/>
          <w:sz w:val="18"/>
          <w:szCs w:val="18"/>
        </w:rPr>
        <w:t xml:space="preserve">§2.12  </w:t>
      </w:r>
      <w:r>
        <w:rPr>
          <w:rFonts w:ascii="Garamond" w:cs="Garamond" w:eastAsia="Garamond" w:hAnsi="Garamond"/>
          <w:b w:val="false"/>
          <w:bCs w:val="false"/>
          <w:i/>
          <w:iCs/>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a2a"/>
          <w:sz w:val="22"/>
          <w:szCs w:val="22"/>
        </w:rPr>
        <w:t xml:space="preserve">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grant, and declination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2a2a2a"/>
          <w:sz w:val="18"/>
          <w:szCs w:val="18"/>
        </w:rPr>
        <w:t xml:space="preserve">§2.13  </w:t>
      </w:r>
      <w:r>
        <w:rPr>
          <w:rFonts w:ascii="Garamond" w:cs="Garamond" w:eastAsia="Garamond" w:hAnsi="Garamond"/>
          <w:b w:val="false"/>
          <w:bCs w:val="false"/>
          <w:i/>
          <w:iCs/>
          <w:color w:val="1B2A4A"/>
          <w:sz w:val="22"/>
          <w:szCs w:val="22"/>
        </w:rPr>
        <w:t xml:space="preserve">Consular Removal</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may be removed on two independent tracks. Under the legislative track, 2/3 of both chambers in a concurrent vote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§13.3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2a2a2a"/>
          <w:sz w:val="18"/>
          <w:szCs w:val="18"/>
        </w:rPr>
        <w:t xml:space="preserve">§2.14  </w:t>
      </w:r>
      <w:r>
        <w:rPr>
          <w:rFonts w:ascii="Garamond" w:cs="Garamond" w:eastAsia="Garamond" w:hAnsi="Garamond"/>
          <w:b w:val="false"/>
          <w:bCs w:val="false"/>
          <w:i/>
          <w:iCs/>
          <w:color w:val="1B2A4A"/>
          <w:sz w:val="22"/>
          <w:szCs w:val="22"/>
        </w:rPr>
        <w:t xml:space="preserve">Council of Ministers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w:t>
      </w:r>
    </w:p>
    <w:p>
      <w:pPr>
        <w:spacing w:after="60" w:before="200"/>
        <w:ind w:left="431"/>
        <w:jc w:val="left"/>
      </w:pPr>
      <w:r>
        <w:rPr>
          <w:rFonts w:ascii="Courier New" w:cs="Courier New" w:eastAsia="Courier New" w:hAnsi="Courier New"/>
          <w:b/>
          <w:bCs/>
          <w:color w:val="2a2a2a"/>
          <w:sz w:val="18"/>
          <w:szCs w:val="18"/>
        </w:rPr>
        <w:t xml:space="preserve">§2.14.a  </w:t>
      </w:r>
      <w:r>
        <w:rPr>
          <w:rFonts w:ascii="Garamond" w:cs="Garamond" w:eastAsia="Garamond" w:hAnsi="Garamond"/>
          <w:b w:val="false"/>
          <w:bCs w:val="false"/>
          <w:i/>
          <w:iCs/>
          <w:color w:val="1B2A4A"/>
          <w:sz w:val="22"/>
          <w:szCs w:val="22"/>
        </w:rPr>
        <w:t xml:space="preserve">Cross-Domain Emergency Lead</w:t>
      </w:r>
    </w:p>
    <w:p>
      <w:pPr>
        <w:spacing w:after="120" w:before="0"/>
        <w:ind w:left="431"/>
        <w:jc w:val="both"/>
      </w:pPr>
      <w:r>
        <w:rPr>
          <w:rFonts w:ascii="Garamond" w:cs="Garamond" w:eastAsia="Garamond" w:hAnsi="Garamond"/>
          <w:b w:val="false"/>
          <w:bCs w:val="false"/>
          <w:i w:val="false"/>
          <w:iCs w:val="false"/>
          <w:color w:val="2a2a2a"/>
          <w:sz w:val="22"/>
          <w:szCs w:val="22"/>
        </w:rPr>
        <w:t xml:space="preserve">In a cross-domain emergency requiring unified operational authority, either executive may propose a temporary operational lead designation. Concurrence of both executives makes it effective and is published to the NRS. Where the executives cannot agree, either may petition the SC for expedited resolution under §4.5. A lead designation assigns operational coordination only and does not affect either executive’s constitutional domain authority.</w:t>
      </w:r>
    </w:p>
    <w:p>
      <w:pPr>
        <w:spacing w:after="60" w:before="200"/>
        <w:ind w:left="431"/>
        <w:jc w:val="left"/>
      </w:pPr>
      <w:r>
        <w:rPr>
          <w:rFonts w:ascii="Courier New" w:cs="Courier New" w:eastAsia="Courier New" w:hAnsi="Courier New"/>
          <w:b/>
          <w:bCs/>
          <w:color w:val="2a2a2a"/>
          <w:sz w:val="18"/>
          <w:szCs w:val="18"/>
        </w:rPr>
        <w:t xml:space="preserve">§2.16  </w:t>
      </w:r>
      <w:r>
        <w:rPr>
          <w:rFonts w:ascii="Garamond" w:cs="Garamond" w:eastAsia="Garamond" w:hAnsi="Garamond"/>
          <w:b w:val="false"/>
          <w:bCs w:val="false"/>
          <w:i/>
          <w:iCs/>
          <w:color w:val="1B2A4A"/>
          <w:sz w:val="22"/>
          <w:szCs w:val="22"/>
        </w:rPr>
        <w:t xml:space="preserve">Federal Prosecution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Civic Consul is responsible for the enforcement of federal law and sets general prosecution policy. The Legislature shall by statute establish a Federal Prosecution Service independent in the exercise of individual prosecutorial decisions. The Civic Consul may issue directions to the Service on general prosecution policy. Any direction concerning a specific prosecution must be in writing and published to the NRS simultaneously with issuance. The Legislature may not reduce the Service’s appropriation below the prior year’s level without a 2/3 vote of both chambers.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III — The Legislature</w:t>
      </w:r>
    </w:p>
    <w:p>
      <w:pPr>
        <w:spacing w:after="60" w:before="200"/>
        <w:ind w:left="431"/>
        <w:jc w:val="left"/>
      </w:pPr>
      <w:r>
        <w:rPr>
          <w:rFonts w:ascii="Courier New" w:cs="Courier New" w:eastAsia="Courier New" w:hAnsi="Courier New"/>
          <w:b/>
          <w:bCs/>
          <w:color w:val="2a2a2a"/>
          <w:sz w:val="18"/>
          <w:szCs w:val="18"/>
        </w:rPr>
        <w:t xml:space="preserve">§3.1  </w:t>
      </w:r>
      <w:r>
        <w:rPr>
          <w:rFonts w:ascii="Garamond" w:cs="Garamond" w:eastAsia="Garamond" w:hAnsi="Garamond"/>
          <w:b w:val="false"/>
          <w:bCs w:val="false"/>
          <w:i/>
          <w:iCs/>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comprises two chambers: the Assembly and the Senate. All legislation originates in the Assembly. The Senate reviews, may amend within the subject matter of the bill, and must act on every Assembly-passed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2a2a2a"/>
          <w:sz w:val="18"/>
          <w:szCs w:val="18"/>
        </w:rPr>
        <w:t xml:space="preserve">§3.2  </w:t>
      </w:r>
      <w:r>
        <w:rPr>
          <w:rFonts w:ascii="Garamond" w:cs="Garamond" w:eastAsia="Garamond" w:hAnsi="Garamond"/>
          <w:b w:val="false"/>
          <w:bCs w:val="false"/>
          <w:i/>
          <w:iCs/>
          <w:color w:val="1B2A4A"/>
          <w:sz w:val="22"/>
          <w:szCs w:val="22"/>
        </w:rPr>
        <w:t xml:space="preserve">The Assembly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LM audits the census and allocation process. The Assembly Speaker is elected by the Assembly from its own members by absolute majority. Quorum is a majority of full seated membership. The Assembly establishes its own internal procedures. Members serve two-year terms. No member may serve more than six consecutive terms without sitting out one full electoral cycle; no cumulative lifetime restriction applies after the cooling-off period. All member financial interests are disclosed to the EM and published to the NRS. Mid-term vacancies in Assembly seats are filled by special election administered by the Elections Panel; the Legislature establishes timing and procedures by statute, ensuring no seat remains vacant within the period defined by statute, not to exceed 90 days. The Assembly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2a2a2a"/>
          <w:sz w:val="18"/>
          <w:szCs w:val="18"/>
        </w:rPr>
        <w:t xml:space="preserve">§3.3  </w:t>
      </w:r>
      <w:r>
        <w:rPr>
          <w:rFonts w:ascii="Garamond" w:cs="Garamond" w:eastAsia="Garamond" w:hAnsi="Garamond"/>
          <w:b w:val="false"/>
          <w:bCs w:val="false"/>
          <w:i/>
          <w:iCs/>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a2a"/>
          <w:sz w:val="22"/>
          <w:szCs w:val="22"/>
        </w:rPr>
        <w:t xml:space="preserve">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primary criteria.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2a2a2a"/>
          <w:sz w:val="18"/>
          <w:szCs w:val="18"/>
        </w:rPr>
        <w:t xml:space="preserve">§3.4  </w:t>
      </w:r>
      <w:r>
        <w:rPr>
          <w:rFonts w:ascii="Garamond" w:cs="Garamond" w:eastAsia="Garamond" w:hAnsi="Garamond"/>
          <w:b w:val="false"/>
          <w:bCs w:val="false"/>
          <w:i/>
          <w:iCs/>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Members must disclose all financial interests to the EM. The Legislature must establish a joint ethics committee with authority to sanction and refer members; removal requires 2/3 of the relevant chamber; under §9.1, the chamber may request an EM assessment to inform the proceeding.</w:t>
      </w:r>
    </w:p>
    <w:p>
      <w:pPr>
        <w:spacing w:after="60" w:before="200"/>
        <w:ind w:left="431"/>
        <w:jc w:val="left"/>
      </w:pPr>
      <w:r>
        <w:rPr>
          <w:rFonts w:ascii="Courier New" w:cs="Courier New" w:eastAsia="Courier New" w:hAnsi="Courier New"/>
          <w:b/>
          <w:bCs/>
          <w:color w:val="2a2a2a"/>
          <w:sz w:val="18"/>
          <w:szCs w:val="18"/>
        </w:rPr>
        <w:t xml:space="preserve">§3.5  </w:t>
      </w:r>
      <w:r>
        <w:rPr>
          <w:rFonts w:ascii="Garamond" w:cs="Garamond" w:eastAsia="Garamond" w:hAnsi="Garamond"/>
          <w:b w:val="false"/>
          <w:bCs w:val="false"/>
          <w:i/>
          <w:iCs/>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Senate comprises two senators per State regardless of population, elected for six-year staggered terms. At the first Senate seating, senators are assigned to three approximately equal cohorts by public lot: the first cohort serves an initial term of two years, the second four years, the third six years; thereafter all Senate terms are six years. The lot is conducted by the Elections Panel and published to the NRS before the first senators take the constitutional oath. No senator may serve more than two consecutive terms without sitting out one full term; no cumulative lifetime restriction applies after the cooling-off period. The Senate Speaker is elected by senators and may not serve more than two consecutive full Senate terms as Speaker without sitting out one full Senate term.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consular election. The Senate may not initiate legislation; all bills originate in the Assembly.</w:t>
      </w:r>
    </w:p>
    <w:p>
      <w:pPr>
        <w:spacing w:after="60" w:before="200"/>
        <w:ind w:left="431"/>
        <w:jc w:val="left"/>
      </w:pPr>
      <w:r>
        <w:rPr>
          <w:rFonts w:ascii="Courier New" w:cs="Courier New" w:eastAsia="Courier New" w:hAnsi="Courier New"/>
          <w:b/>
          <w:bCs/>
          <w:color w:val="2a2a2a"/>
          <w:sz w:val="18"/>
          <w:szCs w:val="18"/>
        </w:rPr>
        <w:t xml:space="preserve">§3.6  </w:t>
      </w:r>
      <w:r>
        <w:rPr>
          <w:rFonts w:ascii="Garamond" w:cs="Garamond" w:eastAsia="Garamond" w:hAnsi="Garamond"/>
          <w:b w:val="false"/>
          <w:bCs w:val="false"/>
          <w:i/>
          <w:iCs/>
          <w:color w:val="1B2A4A"/>
          <w:sz w:val="22"/>
          <w:szCs w:val="22"/>
        </w:rPr>
        <w:t xml:space="preserve">Treaty and Trade Agreement Ratification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Treaty and compact agreement ratification requires 2/3 of the full seated Senate. Trade agreements concluded by the Legat Consul take effect upon approval by simple majority of both chambers; neither chamber may amend the terms of a concluded agreement.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XVI may not be unilaterally withdrawn.</w:t>
      </w:r>
    </w:p>
    <w:p>
      <w:pPr>
        <w:spacing w:after="60" w:before="200"/>
        <w:ind w:left="431"/>
        <w:jc w:val="left"/>
      </w:pPr>
      <w:r>
        <w:rPr>
          <w:rFonts w:ascii="Courier New" w:cs="Courier New" w:eastAsia="Courier New" w:hAnsi="Courier New"/>
          <w:b/>
          <w:bCs/>
          <w:color w:val="2a2a2a"/>
          <w:sz w:val="18"/>
          <w:szCs w:val="18"/>
        </w:rPr>
        <w:t xml:space="preserve">§3.6.a  </w:t>
      </w:r>
      <w:r>
        <w:rPr>
          <w:rFonts w:ascii="Garamond" w:cs="Garamond" w:eastAsia="Garamond" w:hAnsi="Garamond"/>
          <w:b w:val="false"/>
          <w:bCs w:val="false"/>
          <w:i/>
          <w:iCs/>
          <w:color w:val="1B2A4A"/>
          <w:sz w:val="22"/>
          <w:szCs w:val="22"/>
        </w:rPr>
        <w:t xml:space="preserve">Classification and Dispute Resolution</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Senate disputes the Legat Consul's classification of an international instrument as a trade agreement, the instrument is treated as a treaty pending resolution. Either party may petition the SC for expedited classification determination; the SC must rule within the period defined by statute.</w:t>
      </w:r>
    </w:p>
    <w:p>
      <w:pPr>
        <w:spacing w:after="60" w:before="200"/>
        <w:ind w:left="431"/>
        <w:jc w:val="left"/>
      </w:pPr>
      <w:r>
        <w:rPr>
          <w:rFonts w:ascii="Courier New" w:cs="Courier New" w:eastAsia="Courier New" w:hAnsi="Courier New"/>
          <w:b/>
          <w:bCs/>
          <w:color w:val="2a2a2a"/>
          <w:sz w:val="18"/>
          <w:szCs w:val="18"/>
        </w:rPr>
        <w:t xml:space="preserve">§3.7  </w:t>
      </w:r>
      <w:r>
        <w:rPr>
          <w:rFonts w:ascii="Garamond" w:cs="Garamond" w:eastAsia="Garamond" w:hAnsi="Garamond"/>
          <w:b w:val="false"/>
          <w:bCs w:val="false"/>
          <w:i/>
          <w:iCs/>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a2a"/>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2a2a2a"/>
          <w:sz w:val="18"/>
          <w:szCs w:val="18"/>
        </w:rPr>
        <w:t xml:space="preserve">§3.8  </w:t>
      </w:r>
      <w:r>
        <w:rPr>
          <w:rFonts w:ascii="Garamond" w:cs="Garamond" w:eastAsia="Garamond" w:hAnsi="Garamond"/>
          <w:b w:val="false"/>
          <w:bCs w:val="false"/>
          <w:i/>
          <w:iCs/>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a2a"/>
          <w:sz w:val="22"/>
          <w:szCs w:val="22"/>
        </w:rPr>
        <w:t xml:space="preserve">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EM has assessed as constitutional breaches.</w:t>
      </w:r>
    </w:p>
    <w:p>
      <w:pPr>
        <w:spacing w:after="60" w:before="200"/>
        <w:ind w:left="431"/>
        <w:jc w:val="left"/>
      </w:pPr>
      <w:r>
        <w:rPr>
          <w:rFonts w:ascii="Courier New" w:cs="Courier New" w:eastAsia="Courier New" w:hAnsi="Courier New"/>
          <w:b/>
          <w:bCs/>
          <w:color w:val="2a2a2a"/>
          <w:sz w:val="18"/>
          <w:szCs w:val="18"/>
        </w:rPr>
        <w:t xml:space="preserve">§3.9  </w:t>
      </w:r>
      <w:r>
        <w:rPr>
          <w:rFonts w:ascii="Garamond" w:cs="Garamond" w:eastAsia="Garamond" w:hAnsi="Garamond"/>
          <w:b w:val="false"/>
          <w:bCs w:val="false"/>
          <w:i/>
          <w:iCs/>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may establish independent agencies operating outside the authority of both executives. Where this Constitution assigns a function to an independent agency, the Legislature must establish it. Directors of constitutionally mandated independent agencies serve fixed terms defined by statute and are removable for cause only; cause must relate to conduct, competence, or a disqualifying offense under §3.12 and may not include policy disagreement with the Legislature or either executive. The appointment process and oversight mechanism for each agency are established by statute in a manner consistent with this independence protection.</w:t>
      </w:r>
    </w:p>
    <w:p>
      <w:pPr>
        <w:spacing w:after="60" w:before="200"/>
        <w:ind w:left="431"/>
        <w:jc w:val="left"/>
      </w:pPr>
      <w:r>
        <w:rPr>
          <w:rFonts w:ascii="Courier New" w:cs="Courier New" w:eastAsia="Courier New" w:hAnsi="Courier New"/>
          <w:b/>
          <w:bCs/>
          <w:color w:val="2a2a2a"/>
          <w:sz w:val="18"/>
          <w:szCs w:val="18"/>
        </w:rPr>
        <w:t xml:space="preserve">§3.10  </w:t>
      </w:r>
      <w:r>
        <w:rPr>
          <w:rFonts w:ascii="Garamond" w:cs="Garamond" w:eastAsia="Garamond" w:hAnsi="Garamond"/>
          <w:b w:val="false"/>
          <w:bCs w:val="false"/>
          <w:i/>
          <w:iCs/>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Assembly may impeach officers serving in the Legat Consular domain and inferior court judges. The Legat Consul is removed exclusively under §2.13; the Civic Consul under §2.6; SC justices under §4.3.b; legislative members by their own chamber. A 1/3 Assembly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Assembly passage; the applicable succession and acting mechanisms under this constitution govern the exercise of any suspended functions.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ind w:left="431"/>
        <w:jc w:val="left"/>
      </w:pPr>
      <w:r>
        <w:rPr>
          <w:rFonts w:ascii="Courier New" w:cs="Courier New" w:eastAsia="Courier New" w:hAnsi="Courier New"/>
          <w:b/>
          <w:bCs/>
          <w:color w:val="2a2a2a"/>
          <w:sz w:val="18"/>
          <w:szCs w:val="18"/>
        </w:rPr>
        <w:t xml:space="preserve">§3.11  </w:t>
      </w:r>
      <w:r>
        <w:rPr>
          <w:rFonts w:ascii="Garamond" w:cs="Garamond" w:eastAsia="Garamond" w:hAnsi="Garamond"/>
          <w:b w:val="false"/>
          <w:bCs w:val="false"/>
          <w:i/>
          <w:iCs/>
          <w:color w:val="1B2A4A"/>
          <w:sz w:val="22"/>
          <w:szCs w:val="22"/>
        </w:rPr>
        <w:t xml:space="preserve">Inviolability of Electoral Mandates</w:t>
      </w:r>
    </w:p>
    <w:p>
      <w:pPr>
        <w:spacing w:after="120" w:before="0"/>
        <w:ind w:left="431"/>
        <w:jc w:val="both"/>
      </w:pPr>
      <w:r>
        <w:rPr>
          <w:rFonts w:ascii="Garamond" w:cs="Garamond" w:eastAsia="Garamond" w:hAnsi="Garamond"/>
          <w:b w:val="false"/>
          <w:bCs w:val="false"/>
          <w:i w:val="false"/>
          <w:iCs w:val="false"/>
          <w:color w:val="2a2a2a"/>
          <w:sz w:val="22"/>
          <w:szCs w:val="22"/>
        </w:rPr>
        <w:t xml:space="preserve">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§3.5; and impeachment and removal under §3.10. Any mechanism enabling the people themselves to shorten an elected mandate not already provided in this Constitution requires a constitutional amendment under Article XVII and may not be established by ordinary statute.</w:t>
      </w:r>
    </w:p>
    <w:p>
      <w:pPr>
        <w:spacing w:after="60" w:before="200"/>
        <w:ind w:left="431"/>
        <w:jc w:val="left"/>
      </w:pPr>
      <w:r>
        <w:rPr>
          <w:rFonts w:ascii="Courier New" w:cs="Courier New" w:eastAsia="Courier New" w:hAnsi="Courier New"/>
          <w:b/>
          <w:bCs/>
          <w:color w:val="2a2a2a"/>
          <w:sz w:val="18"/>
          <w:szCs w:val="18"/>
        </w:rPr>
        <w:t xml:space="preserve">§3.12  </w:t>
      </w:r>
      <w:r>
        <w:rPr>
          <w:rFonts w:ascii="Garamond" w:cs="Garamond" w:eastAsia="Garamond" w:hAnsi="Garamond"/>
          <w:b w:val="false"/>
          <w:bCs w:val="false"/>
          <w:i/>
          <w:i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a2a"/>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EM publishes to the NRS that the pardoning instrument expressly states eligibility is restored. Where a conviction is under appeal at the time a relevant constitutional determination is made, the conviction stands for constitutional purposes unless and until it is reversed by a court of competent jurisdiction.</w:t>
      </w:r>
    </w:p>
    <w:p>
      <w:pPr>
        <w:spacing w:after="60" w:before="200"/>
        <w:ind w:left="431"/>
        <w:jc w:val="left"/>
      </w:pPr>
      <w:r>
        <w:rPr>
          <w:rFonts w:ascii="Courier New" w:cs="Courier New" w:eastAsia="Courier New" w:hAnsi="Courier New"/>
          <w:b/>
          <w:bCs/>
          <w:color w:val="2a2a2a"/>
          <w:sz w:val="18"/>
          <w:szCs w:val="18"/>
        </w:rPr>
        <w:t xml:space="preserve">§3.13  </w:t>
      </w:r>
      <w:r>
        <w:rPr>
          <w:rFonts w:ascii="Garamond" w:cs="Garamond" w:eastAsia="Garamond" w:hAnsi="Garamond"/>
          <w:b w:val="false"/>
          <w:bCs w:val="false"/>
          <w:i/>
          <w:i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a2a"/>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ind w:left="431"/>
        <w:jc w:val="left"/>
      </w:pPr>
      <w:r>
        <w:rPr>
          <w:rFonts w:ascii="Courier New" w:cs="Courier New" w:eastAsia="Courier New" w:hAnsi="Courier New"/>
          <w:b/>
          <w:bCs/>
          <w:color w:val="2a2a2a"/>
          <w:sz w:val="18"/>
          <w:szCs w:val="18"/>
        </w:rPr>
        <w:t xml:space="preserve">§3.14  </w:t>
      </w:r>
      <w:r>
        <w:rPr>
          <w:rFonts w:ascii="Garamond" w:cs="Garamond" w:eastAsia="Garamond" w:hAnsi="Garamond"/>
          <w:b w:val="false"/>
          <w:bCs w:val="false"/>
          <w:i/>
          <w:iCs/>
          <w:color w:val="1B2A4A"/>
          <w:sz w:val="22"/>
          <w:szCs w:val="22"/>
        </w:rPr>
        <w:t xml:space="preserve">Federal Legislative Competence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holds general authority to legislate for the peace, order, and good governance of the Republic. It may not enact legislation that destroys the capacity of States to govern themselves as self-governing communities. Where federal law and State law conflict, federal law prevails to the extent of the conflict. The Legislature may set minimum standards that States must meet but may not direct State institutions as instruments of federal administration. Where this Constitution directs that a function, standard, procedure, or framework be established, defined, or regulated, that obligation is fulfilled by statute unless this Constitution specifies otherwise. No executive or administrative act may substitute for legislation where this Constitution requires statutory action.</w:t>
      </w:r>
    </w:p>
    <w:p>
      <w:pPr>
        <w:spacing w:after="60" w:before="200"/>
        <w:ind w:left="431"/>
        <w:jc w:val="left"/>
      </w:pPr>
      <w:r>
        <w:rPr>
          <w:rFonts w:ascii="Courier New" w:cs="Courier New" w:eastAsia="Courier New" w:hAnsi="Courier New"/>
          <w:b/>
          <w:bCs/>
          <w:color w:val="2a2a2a"/>
          <w:sz w:val="18"/>
          <w:szCs w:val="18"/>
        </w:rPr>
        <w:t xml:space="preserve">§3.15  </w:t>
      </w:r>
      <w:r>
        <w:rPr>
          <w:rFonts w:ascii="Garamond" w:cs="Garamond" w:eastAsia="Garamond" w:hAnsi="Garamond"/>
          <w:b w:val="false"/>
          <w:bCs w:val="false"/>
          <w:i/>
          <w:iCs/>
          <w:color w:val="1B2A4A"/>
          <w:sz w:val="22"/>
          <w:szCs w:val="22"/>
        </w:rPr>
        <w:t xml:space="preserve">Delegation of Authority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may by statute delegate defined authorities within its legislative competence to the Legat Consul, the Civic Consul, or independent agencies established under §3.9. Any delegation must specify the exact scope of authority delegated, the conditions on its exercise, and a maximum duration not to exceed the term of the Legislature that enacted it. The Legislature may rescind any delegation by simple majority of both chambers at any time; no recipient of delegated authority may obstruct or condition rescission. No delegation creates a permanent transfer of legislative competence. Every exercise of delegated authority is published to the NRS with attribution to both the legislative grant and the recipient's act. The EM audits the exercise of all delegated executive authority annually and publishes findings to the NRS.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IV — The Judicial Architecture</w:t>
      </w:r>
    </w:p>
    <w:p>
      <w:pPr>
        <w:spacing w:after="60" w:before="200"/>
        <w:ind w:left="431"/>
        <w:jc w:val="left"/>
      </w:pPr>
      <w:r>
        <w:rPr>
          <w:rFonts w:ascii="Courier New" w:cs="Courier New" w:eastAsia="Courier New" w:hAnsi="Courier New"/>
          <w:b/>
          <w:bCs/>
          <w:color w:val="2a2a2a"/>
          <w:sz w:val="18"/>
          <w:szCs w:val="18"/>
        </w:rPr>
        <w:t xml:space="preserve">§4.1  </w:t>
      </w:r>
      <w:r>
        <w:rPr>
          <w:rFonts w:ascii="Garamond" w:cs="Garamond" w:eastAsia="Garamond" w:hAnsi="Garamond"/>
          <w:b w:val="false"/>
          <w:bCs w:val="false"/>
          <w:i/>
          <w:iCs/>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Republic's judiciary operates at three levels: district courts, appellate courts, and the Supreme Court. The Legislature may establish, abolish, and define the jurisdiction of inferior courts by statute. The abolition of an inferior court does not take effect as to any judge currently serving on that court until their term expires or they are removed for cause under §4.2; judges whose courts are abolished may be reassigned to other inferior courts by the Civic Consul with Senate confirmation at 2/3.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2a2a2a"/>
          <w:sz w:val="18"/>
          <w:szCs w:val="18"/>
        </w:rPr>
        <w:t xml:space="preserve">§4.2  </w:t>
      </w:r>
      <w:r>
        <w:rPr>
          <w:rFonts w:ascii="Garamond" w:cs="Garamond" w:eastAsia="Garamond" w:hAnsi="Garamond"/>
          <w:b w:val="false"/>
          <w:bCs w:val="false"/>
          <w:i/>
          <w:iCs/>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a2a"/>
          <w:sz w:val="22"/>
          <w:szCs w:val="22"/>
        </w:rPr>
        <w:t xml:space="preserve">Any person meeting the basic legal qualifications defined by statute may apply to the Elections Panel; the Elections Panel enters qualifying applicants into the Judicial Pool; the JM’s ongoing audit encompasses the Judicial Pool. Exceptions to pool eligibility — including persons currently holding government positions, those with disqualifying financial interests, and those removed from a court within a recent period — are defined by statute. The Civic Consul nominates inferior court judges from the Judicial Pool maintained by the Elections Panel under §9.12. The Civic Consul must nominate within the period defined by statute following a vacancy, not to exceed 90 days where no statutory period has been defined. The Senate confirms by a 2/3 supermajority. Inferior court judges serve a single non-renewable term of 12 years and may be removed only for cause. Cause for judicial removal must relate to conduct, competence, or a disqualifying offense under §3.12; policy disagreement with judicial decisions does not constitute cause, consistent with the principle established in §3.9. The Legislature may establish a mandatory retirement age by statute, not below 70. Judicial removal occurs through three tracks: legislative removal by 2/3 of both chambers on grounds of constitutional breach or demonstrated incapacity; under §9.1, either chamber may request an EM assessment to inform the proceeding;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2a2a2a"/>
          <w:sz w:val="18"/>
          <w:szCs w:val="18"/>
        </w:rPr>
        <w:t xml:space="preserve">§4.3  </w:t>
      </w:r>
      <w:r>
        <w:rPr>
          <w:rFonts w:ascii="Garamond" w:cs="Garamond" w:eastAsia="Garamond" w:hAnsi="Garamond"/>
          <w:b w:val="false"/>
          <w:bCs w:val="false"/>
          <w:i/>
          <w:iCs/>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 A majority of the SC's seated justices — including any Temporary Associate Justices — constitutes quorum for ordinary decisions. Constitutional questions require a minimum of five justices regardless of total seated membership.</w:t>
      </w:r>
    </w:p>
    <w:p>
      <w:pPr>
        <w:spacing w:after="60" w:before="200"/>
        <w:ind w:left="431"/>
        <w:jc w:val="left"/>
      </w:pPr>
      <w:r>
        <w:rPr>
          <w:rFonts w:ascii="Courier New" w:cs="Courier New" w:eastAsia="Courier New" w:hAnsi="Courier New"/>
          <w:b/>
          <w:bCs/>
          <w:color w:val="2a2a2a"/>
          <w:sz w:val="18"/>
          <w:szCs w:val="18"/>
        </w:rPr>
        <w:t xml:space="preserve">§4.3.b  </w:t>
      </w:r>
      <w:r>
        <w:rPr>
          <w:rFonts w:ascii="Garamond" w:cs="Garamond" w:eastAsia="Garamond" w:hAnsi="Garamond"/>
          <w:b w:val="false"/>
          <w:bCs w:val="false"/>
          <w:i/>
          <w:i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a2a"/>
          <w:sz w:val="22"/>
          <w:szCs w:val="22"/>
        </w:rPr>
        <w:t xml:space="preserve">A Supreme Court justice may be removed only for cause. Three grounds constitute sufficient cause: constitutional breach in the exercise of judicial authority, as assessed by the EM under §9.1 or as determined by the removing chambers; certified permanent incapacity jointly certified by the EM and LM; or conviction for a disqualifying offense. Removal requires a 2/3 vote of both chambers in a concurrent vote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2a2a2a"/>
          <w:sz w:val="18"/>
          <w:szCs w:val="18"/>
        </w:rPr>
        <w:t xml:space="preserve">§4.4  </w:t>
      </w:r>
      <w:r>
        <w:rPr>
          <w:rFonts w:ascii="Garamond" w:cs="Garamond" w:eastAsia="Garamond" w:hAnsi="Garamond"/>
          <w:b w:val="false"/>
          <w:bCs w:val="false"/>
          <w:i/>
          <w:iCs/>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a2a"/>
          <w:sz w:val="22"/>
          <w:szCs w:val="22"/>
        </w:rPr>
        <w:t xml:space="preserve">SC justices are nominated by the Civic Consul from the Judicial Pool maintained by the Elections Panel under §9.12 — any pool member meeting the statutory qualifications for Supreme Court appointment is eligible for SC nomination. The Civic Consul nominates within the period defined by statute following a vacancy (not to exceed 90 days for anticipated vacancies, 60 days for unanticipated vacancies). The Senate must vote within the period defined by statute following nomination (not to exceed 120 days); the JM’s ongoing audit of the Judicial Pool is available on the NRS and the Senate may consider any published JM findings on the nominee; no deemed confirmation applies, but failure to vote within that period is a constitutional compliance breach. If the Senate declines, the Civic Consul nominates again within the period defined by statute. Where the Civic Consul fails to nominate within 30 days of an LM assessment of constitutional breach under this section, the Senate may select a nominee directly from the Judicial Pool by 2/3 vote of full seated membership; a Senate selection under this provision requires no further Civic Consul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2a2a2a"/>
          <w:sz w:val="18"/>
          <w:szCs w:val="18"/>
        </w:rPr>
        <w:t xml:space="preserve">§4.4.a  </w:t>
      </w:r>
      <w:r>
        <w:rPr>
          <w:rFonts w:ascii="Garamond" w:cs="Garamond" w:eastAsia="Garamond" w:hAnsi="Garamond"/>
          <w:b w:val="false"/>
          <w:bCs w:val="false"/>
          <w:i/>
          <w:i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LM has assessed and reported a Senate breach under §4.4, the Civic Consul may — with 2/3 Assembly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2a2a2a"/>
          <w:sz w:val="18"/>
          <w:szCs w:val="18"/>
        </w:rPr>
        <w:t xml:space="preserve">§4.5  </w:t>
      </w:r>
      <w:r>
        <w:rPr>
          <w:rFonts w:ascii="Garamond" w:cs="Garamond" w:eastAsia="Garamond" w:hAnsi="Garamond"/>
          <w:b w:val="false"/>
          <w:bCs w:val="false"/>
          <w:i/>
          <w:iCs/>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a2a"/>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Where a statute is ambiguous, courts apply the interpretation most consistent with this constitution. Courts may not rewrite clear statutory language. Monitor findings published to the NRS are admissible and must be given due consideration; where a court's conclusions differ from a prior finding, the court must address the inconsistency in its written decision. Any person with a concrete, articulable legal injury has the right to seek relief from a court of competent jurisdiction; the Legislature may not structure the judicial system in a manner that leaves any category of legal injury without a forum for relief.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 Where the Court has fewer than four seated justices, the emergency panel consists of all seated justices; quorum for emergency panel review is three. Where conflict between constitutional actors creates a risk of suspension of lawful governance or constitutionally mandated essential services, the constitutional default is continuity at existing scope pending formal resolution. No constitutional actor may use a refusal to certify, approve, or coordinate to achieve the functional suspension of a constitutional obligation. The SC holds expedited jurisdiction over any dispute in which continuity of lawful governance is at immediate risk.</w:t>
      </w:r>
    </w:p>
    <w:p>
      <w:pPr>
        <w:spacing w:after="60" w:before="200"/>
        <w:ind w:left="431"/>
        <w:jc w:val="left"/>
      </w:pPr>
      <w:r>
        <w:rPr>
          <w:rFonts w:ascii="Courier New" w:cs="Courier New" w:eastAsia="Courier New" w:hAnsi="Courier New"/>
          <w:b/>
          <w:bCs/>
          <w:color w:val="2a2a2a"/>
          <w:sz w:val="18"/>
          <w:szCs w:val="18"/>
        </w:rPr>
        <w:t xml:space="preserve">§4.6  </w:t>
      </w:r>
      <w:r>
        <w:rPr>
          <w:rFonts w:ascii="Garamond" w:cs="Garamond" w:eastAsia="Garamond" w:hAnsi="Garamond"/>
          <w:b w:val="false"/>
          <w:bCs w:val="false"/>
          <w:i/>
          <w:iCs/>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a2a"/>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V — Citizenship and National Identity</w:t>
      </w:r>
    </w:p>
    <w:p>
      <w:pPr>
        <w:spacing w:after="60" w:before="200"/>
        <w:ind w:left="431"/>
        <w:jc w:val="left"/>
      </w:pPr>
      <w:r>
        <w:rPr>
          <w:rFonts w:ascii="Courier New" w:cs="Courier New" w:eastAsia="Courier New" w:hAnsi="Courier New"/>
          <w:b/>
          <w:bCs/>
          <w:color w:val="2a2a2a"/>
          <w:sz w:val="18"/>
          <w:szCs w:val="18"/>
        </w:rPr>
        <w:t xml:space="preserve">§5.1  </w:t>
      </w:r>
      <w:r>
        <w:rPr>
          <w:rFonts w:ascii="Garamond" w:cs="Garamond" w:eastAsia="Garamond" w:hAnsi="Garamond"/>
          <w:b w:val="false"/>
          <w:bCs w:val="false"/>
          <w:i/>
          <w:iCs/>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a2a"/>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Citizenship may not be stripped from a natural-born citizen. Where a child born on Republic territory would hold no other citizenship, or would otherwise be stateless regardless of birthplace, citizenship is granted from birth. A legal resident may earn citizenship after the continuous residency period and clean legal record established by statute, upon passing a standardized assessment of civic and constitutional proficiency established by statute. A legal resident may alternatively earn citizenship through honorable completion of military or national service. The assessment tests knowledge of constitutional principles and civic structure — not political opinions or cultural loyalty. It is administered by a statutory independent agency under §3.9. No citizenship may be revoked as punishment once granted; the Republic may not manufacture statelessness as a punitive tool. A child born before a parent acquired legal residency or citizenship, who accompanies that parent to the Republic within a Legislature-defined window, receives derivative status.</w:t>
      </w:r>
    </w:p>
    <w:p>
      <w:pPr>
        <w:spacing w:after="60" w:before="200"/>
        <w:ind w:left="431"/>
        <w:jc w:val="left"/>
      </w:pPr>
      <w:r>
        <w:rPr>
          <w:rFonts w:ascii="Courier New" w:cs="Courier New" w:eastAsia="Courier New" w:hAnsi="Courier New"/>
          <w:b/>
          <w:bCs/>
          <w:color w:val="2a2a2a"/>
          <w:sz w:val="18"/>
          <w:szCs w:val="18"/>
        </w:rPr>
        <w:t xml:space="preserve">§5.2  </w:t>
      </w:r>
      <w:r>
        <w:rPr>
          <w:rFonts w:ascii="Garamond" w:cs="Garamond" w:eastAsia="Garamond" w:hAnsi="Garamond"/>
          <w:b w:val="false"/>
          <w:bCs w:val="false"/>
          <w:i/>
          <w:iCs/>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2a2a2a"/>
          <w:sz w:val="18"/>
          <w:szCs w:val="18"/>
        </w:rPr>
        <w:t xml:space="preserve">§5.3  </w:t>
      </w:r>
      <w:r>
        <w:rPr>
          <w:rFonts w:ascii="Garamond" w:cs="Garamond" w:eastAsia="Garamond" w:hAnsi="Garamond"/>
          <w:b w:val="false"/>
          <w:bCs w:val="false"/>
          <w:i/>
          <w:iCs/>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VI — Immigration and Residency</w:t>
      </w:r>
    </w:p>
    <w:p>
      <w:pPr>
        <w:spacing w:after="60" w:before="200"/>
        <w:ind w:left="431"/>
        <w:jc w:val="left"/>
      </w:pPr>
      <w:r>
        <w:rPr>
          <w:rFonts w:ascii="Courier New" w:cs="Courier New" w:eastAsia="Courier New" w:hAnsi="Courier New"/>
          <w:b/>
          <w:bCs/>
          <w:color w:val="2a2a2a"/>
          <w:sz w:val="18"/>
          <w:szCs w:val="18"/>
        </w:rPr>
        <w:t xml:space="preserve">§6.1  </w:t>
      </w:r>
      <w:r>
        <w:rPr>
          <w:rFonts w:ascii="Garamond" w:cs="Garamond" w:eastAsia="Garamond" w:hAnsi="Garamond"/>
          <w:b w:val="false"/>
          <w:bCs w:val="false"/>
          <w:i/>
          <w:iCs/>
          <w:color w:val="1B2A4A"/>
          <w:sz w:val="22"/>
          <w:szCs w:val="22"/>
        </w:rPr>
        <w:t xml:space="preserve">The Two-Stage Immigration System</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immigration application must clear two sequential stages: State sponsorship and federal certification. Legal residency requires passing both stages. States retain discretion over whom they sponsor but may not apply sponsorship criteria that violate §1.6. Federal certification categories are established by statute; no ideological screening or nationality-based quotas may be applied at any stage. Any denial must specify the precise ground in writing. Once an applicant clears both stages, the Legat Consul must ministerially issue residency credentials; interference with credential issuance by the Legat Consul is constitutionally prohibited. The Legislature may establish a Federal Sponsorship Category where federal agencies serve as the State sponsorship stage for applicants serving a defined federal interest; this does not bypass federal certification. The Legislature may set aggregate limits on total applications received and processed in any period, provided limits are applied without §1.6 discrimination. Asylum proceedings under §6.3 are exempt from the State sponsorship stage — no State's refusal to sponsor can extinguish a §1.21 asylum claim.</w:t>
      </w:r>
    </w:p>
    <w:p>
      <w:pPr>
        <w:spacing w:after="60" w:before="200"/>
        <w:ind w:left="431"/>
        <w:jc w:val="left"/>
      </w:pPr>
      <w:r>
        <w:rPr>
          <w:rFonts w:ascii="Courier New" w:cs="Courier New" w:eastAsia="Courier New" w:hAnsi="Courier New"/>
          <w:b/>
          <w:bCs/>
          <w:color w:val="2a2a2a"/>
          <w:sz w:val="18"/>
          <w:szCs w:val="18"/>
        </w:rPr>
        <w:t xml:space="preserve">§6.2  </w:t>
      </w:r>
      <w:r>
        <w:rPr>
          <w:rFonts w:ascii="Garamond" w:cs="Garamond" w:eastAsia="Garamond" w:hAnsi="Garamond"/>
          <w:b w:val="false"/>
          <w:bCs w:val="false"/>
          <w:i/>
          <w:iCs/>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a2a"/>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Federal certification denials are judicially challengeable on three grounds: criterion not established under the federal certification mandate; discriminatory grounds contrary to §1.6; or procedural violation affecting the outcome. State sponsorship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State sponsorship challenges brought on §1.6 grounds are published to the NRS; personally identifying information of applicants who are not public figures as defined by statute is protected consistent with §1.7. Where federal certification is denied on national security grounds, a reviewing court may examine the classified assessment in camera to determine whether it constitutes a credible, specific, and documented security concern; where the court finds the assessment insufficient, the denial is vacated and federal certification must be reconsidered on the remaining criteria. All removal proceedings and challenge proceedings under this section carry the right to legal representation; where an applicant cannot afford representation, counsel is appointed at public expense.</w:t>
      </w:r>
    </w:p>
    <w:p>
      <w:pPr>
        <w:spacing w:after="60" w:before="200"/>
        <w:ind w:left="431"/>
        <w:jc w:val="left"/>
      </w:pPr>
      <w:r>
        <w:rPr>
          <w:rFonts w:ascii="Courier New" w:cs="Courier New" w:eastAsia="Courier New" w:hAnsi="Courier New"/>
          <w:b/>
          <w:bCs/>
          <w:color w:val="2a2a2a"/>
          <w:sz w:val="18"/>
          <w:szCs w:val="18"/>
        </w:rPr>
        <w:t xml:space="preserve">§6.3  </w:t>
      </w:r>
      <w:r>
        <w:rPr>
          <w:rFonts w:ascii="Garamond" w:cs="Garamond" w:eastAsia="Garamond" w:hAnsi="Garamond"/>
          <w:b w:val="false"/>
          <w:bCs w:val="false"/>
          <w:i/>
          <w:iCs/>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State sponsorship and federal certification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the right to legal representation with appointed counsel at public expense where the applicant cannot afford representation, a written decision with grounds, and a right of appeal — regardless of point of entry. The asylum proceedings statute must ensure accessibility to persons in Territories and geographically remote areas. 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 An unaccompanied minor arriving in the Republic is an Inhabitant from the moment of contact and holds full §1.21 protection. A federal legal guardian must be appointed by the federal court with jurisdiction over the point of contact within 72 hours. No unaccompanied minor may be detained in a facility not specifically designated and resourced for children.</w:t>
      </w:r>
    </w:p>
    <w:p>
      <w:pPr>
        <w:spacing w:after="60" w:before="200"/>
        <w:ind w:left="431"/>
        <w:jc w:val="left"/>
      </w:pPr>
      <w:r>
        <w:rPr>
          <w:rFonts w:ascii="Courier New" w:cs="Courier New" w:eastAsia="Courier New" w:hAnsi="Courier New"/>
          <w:b/>
          <w:bCs/>
          <w:color w:val="2a2a2a"/>
          <w:sz w:val="18"/>
          <w:szCs w:val="18"/>
        </w:rPr>
        <w:t xml:space="preserve">§6.3.b  </w:t>
      </w:r>
      <w:r>
        <w:rPr>
          <w:rFonts w:ascii="Garamond" w:cs="Garamond" w:eastAsia="Garamond" w:hAnsi="Garamond"/>
          <w:b w:val="false"/>
          <w:bCs w:val="false"/>
          <w:i/>
          <w:iCs/>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VII — Elections</w:t>
      </w:r>
    </w:p>
    <w:p>
      <w:pPr>
        <w:spacing w:after="60" w:before="200"/>
        <w:ind w:left="431"/>
        <w:jc w:val="left"/>
      </w:pPr>
      <w:r>
        <w:rPr>
          <w:rFonts w:ascii="Courier New" w:cs="Courier New" w:eastAsia="Courier New" w:hAnsi="Courier New"/>
          <w:b/>
          <w:bCs/>
          <w:color w:val="2a2a2a"/>
          <w:sz w:val="18"/>
          <w:szCs w:val="18"/>
        </w:rPr>
        <w:t xml:space="preserve">§7.1  </w:t>
      </w:r>
      <w:r>
        <w:rPr>
          <w:rFonts w:ascii="Garamond" w:cs="Garamond" w:eastAsia="Garamond" w:hAnsi="Garamond"/>
          <w:b w:val="false"/>
          <w:bCs w:val="false"/>
          <w:i/>
          <w:iCs/>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2a2a2a"/>
          <w:sz w:val="18"/>
          <w:szCs w:val="18"/>
        </w:rPr>
        <w:t xml:space="preserve">§7.2  </w:t>
      </w:r>
      <w:r>
        <w:rPr>
          <w:rFonts w:ascii="Garamond" w:cs="Garamond" w:eastAsia="Garamond" w:hAnsi="Garamond"/>
          <w:b w:val="false"/>
          <w:bCs w:val="false"/>
          <w:i/>
          <w:iCs/>
          <w:color w:val="1B2A4A"/>
          <w:sz w:val="22"/>
          <w:szCs w:val="22"/>
        </w:rPr>
        <w:t xml:space="preserve">Consular Election System</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Where the runoff itself produces a tied result, the Elections Panel determines the winner by lot in a public session; the result is published to the NRS and is final. The Elections Panel administers and certifies all consular elections. Territory citizens vote in consular elections and their votes count in the national RCV total; Territories are not included in the State plurality calculation. 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any State or Territory government on the ground that the certification does not accurately reflect votes cast within its jurisdiction, or the Elections Panel itself where it identifies a material error in its own certification.</w:t>
      </w:r>
    </w:p>
    <w:p>
      <w:pPr>
        <w:spacing w:after="60" w:before="200"/>
        <w:ind w:left="431"/>
        <w:jc w:val="left"/>
      </w:pPr>
      <w:r>
        <w:rPr>
          <w:rFonts w:ascii="Courier New" w:cs="Courier New" w:eastAsia="Courier New" w:hAnsi="Courier New"/>
          <w:b/>
          <w:bCs/>
          <w:color w:val="2a2a2a"/>
          <w:sz w:val="18"/>
          <w:szCs w:val="18"/>
        </w:rPr>
        <w:t xml:space="preserve">§7.3  </w:t>
      </w:r>
      <w:r>
        <w:rPr>
          <w:rFonts w:ascii="Garamond" w:cs="Garamond" w:eastAsia="Garamond" w:hAnsi="Garamond"/>
          <w:b w:val="false"/>
          <w:bCs w:val="false"/>
          <w:i/>
          <w:iCs/>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Federal elections are held at regular intervals: Assembly elections every two years; Senate elections on the staggered six-year cycle; Consular elections every six years. All federal elections use Ranked Choice Voting — majority required, not plurality; Consular elections use RCV within the framework of §7.2, which adds the State plurality requirement. The Legislature defines by statute the specific timing, duration, and structure of the federal electoral period within these constitutional floors. Federal elections are administered by the States within standards established and enforced by the Elections Panel; all state election systems must connect to and operate through the National Voting System, free from executive interference.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Elections Panel standards. The Republic shall provide such financial and technical assistance as is necessary to ensure every State has the capacity to procure certified equipment and meet federal election standards; the Legislature establishes the assistance mechanism and eligibility criteria by statute; the Elections Panel certifies whether assistance has been sufficient to bring each State into compliance.</w:t>
      </w:r>
    </w:p>
    <w:p>
      <w:pPr>
        <w:spacing w:after="60" w:before="200"/>
        <w:ind w:left="431"/>
        <w:jc w:val="left"/>
      </w:pPr>
      <w:r>
        <w:rPr>
          <w:rFonts w:ascii="Courier New" w:cs="Courier New" w:eastAsia="Courier New" w:hAnsi="Courier New"/>
          <w:b/>
          <w:bCs/>
          <w:color w:val="2a2a2a"/>
          <w:sz w:val="18"/>
          <w:szCs w:val="18"/>
        </w:rPr>
        <w:t xml:space="preserve">§7.3.a  </w:t>
      </w:r>
      <w:r>
        <w:rPr>
          <w:rFonts w:ascii="Garamond" w:cs="Garamond" w:eastAsia="Garamond" w:hAnsi="Garamond"/>
          <w:b w:val="false"/>
          <w:bCs w:val="false"/>
          <w:i/>
          <w:iCs/>
          <w:color w:val="1B2A4A"/>
          <w:sz w:val="22"/>
          <w:szCs w:val="22"/>
        </w:rPr>
        <w:t xml:space="preserve">Special Elections and Postponements</w:t>
      </w:r>
    </w:p>
    <w:p>
      <w:pPr>
        <w:spacing w:after="120" w:before="0"/>
        <w:ind w:left="431"/>
        <w:jc w:val="both"/>
      </w:pPr>
      <w:r>
        <w:rPr>
          <w:rFonts w:ascii="Garamond" w:cs="Garamond" w:eastAsia="Garamond" w:hAnsi="Garamond"/>
          <w:b w:val="false"/>
          <w:bCs w:val="false"/>
          <w:i w:val="false"/>
          <w:iCs w:val="false"/>
          <w:color w:val="2a2a2a"/>
          <w:sz w:val="22"/>
          <w:szCs w:val="22"/>
        </w:rPr>
        <w:t xml:space="preserve">Special elections for vacancies are administered by the Elections Panel under procedures established by statute. Where the Elections Panel certifies that elections cannot be held across a substantial portion of the Republic due to a natural disaster or catastrophic infrastructure failure, the Legislature may by 2/3 of both chambers in a concurrent vote postpone the affected election for a period not to exceed 90 days, publishing the determination to the NRS; the mandates of sitting members extend automatically for that period only. The Elections Panel publishes a finding when conditions have normalized sufficiently for elections to proceed; elections must be held within 30 days of that publication. Either chamber may petition the SC if it disputes the Elections Panel’s finding; the SC must rule within 7 days. No further postponement may be granted without a new Elections Panel finding of impossibility and a new 2/3 legislative determination.</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VIII — Electoral Finance and Campaign Conduct</w:t>
      </w:r>
    </w:p>
    <w:p>
      <w:pPr>
        <w:spacing w:after="60" w:before="200"/>
        <w:ind w:left="431"/>
        <w:jc w:val="left"/>
      </w:pPr>
      <w:r>
        <w:rPr>
          <w:rFonts w:ascii="Courier New" w:cs="Courier New" w:eastAsia="Courier New" w:hAnsi="Courier New"/>
          <w:b/>
          <w:bCs/>
          <w:color w:val="2a2a2a"/>
          <w:sz w:val="18"/>
          <w:szCs w:val="18"/>
        </w:rPr>
        <w:t xml:space="preserve">§8.1  </w:t>
      </w:r>
      <w:r>
        <w:rPr>
          <w:rFonts w:ascii="Garamond" w:cs="Garamond" w:eastAsia="Garamond" w:hAnsi="Garamond"/>
          <w:b w:val="false"/>
          <w:bCs w:val="false"/>
          <w:i/>
          <w:iCs/>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a2a"/>
          <w:sz w:val="22"/>
          <w:szCs w:val="22"/>
        </w:rPr>
        <w:t xml:space="preserve">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2a2a2a"/>
          <w:sz w:val="18"/>
          <w:szCs w:val="18"/>
        </w:rPr>
        <w:t xml:space="preserve">§8.2  </w:t>
      </w:r>
      <w:r>
        <w:rPr>
          <w:rFonts w:ascii="Garamond" w:cs="Garamond" w:eastAsia="Garamond" w:hAnsi="Garamond"/>
          <w:b w:val="false"/>
          <w:bCs w:val="false"/>
          <w:i/>
          <w:iCs/>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a2a"/>
          <w:sz w:val="22"/>
          <w:szCs w:val="22"/>
        </w:rPr>
        <w:t xml:space="preserve">Candidates for constitutional office campaign in compliance with published Elections Panel conduct standards, which include: prohibition on impersonating other candidates; prohibition on vote suppression activities; and prohibition on interference with the electoral administration process.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2a2a2a"/>
          <w:sz w:val="18"/>
          <w:szCs w:val="18"/>
        </w:rPr>
        <w:t xml:space="preserve">§8.3  </w:t>
      </w:r>
      <w:r>
        <w:rPr>
          <w:rFonts w:ascii="Garamond" w:cs="Garamond" w:eastAsia="Garamond" w:hAnsi="Garamond"/>
          <w:b w:val="false"/>
          <w:bCs w:val="false"/>
          <w:i/>
          <w:iCs/>
          <w:color w:val="1B2A4A"/>
          <w:sz w:val="22"/>
          <w:szCs w:val="22"/>
        </w:rPr>
        <w:t xml:space="preserve">Public Spectrum Access for Campaigns</w:t>
      </w:r>
    </w:p>
    <w:p>
      <w:pPr>
        <w:spacing w:after="120" w:before="0"/>
        <w:ind w:left="431"/>
        <w:jc w:val="both"/>
      </w:pPr>
      <w:r>
        <w:rPr>
          <w:rFonts w:ascii="Garamond" w:cs="Garamond" w:eastAsia="Garamond" w:hAnsi="Garamond"/>
          <w:b w:val="false"/>
          <w:bCs w:val="false"/>
          <w:i w:val="false"/>
          <w:iCs w:val="false"/>
          <w:color w:val="2a2a2a"/>
          <w:sz w:val="22"/>
          <w:szCs w:val="22"/>
        </w:rPr>
        <w:t xml:space="preserve">Licensees operating on public broadcast spectrum — including television, radio, and licensed carriers of automated political communications — shall provide equal free access to qualified candidates during the federal electoral period. The terms and quantity of access are defined by statute. The Elections Panel certifies compliance and publishes findings to the NRS.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IX — The Monitors</w:t>
      </w:r>
    </w:p>
    <w:p>
      <w:pPr>
        <w:spacing w:after="60" w:before="200"/>
        <w:ind w:left="431"/>
        <w:jc w:val="left"/>
      </w:pPr>
      <w:r>
        <w:rPr>
          <w:rFonts w:ascii="Courier New" w:cs="Courier New" w:eastAsia="Courier New" w:hAnsi="Courier New"/>
          <w:b/>
          <w:bCs/>
          <w:color w:val="2a2a2a"/>
          <w:sz w:val="18"/>
          <w:szCs w:val="18"/>
        </w:rPr>
        <w:t xml:space="preserve">§9.1  </w:t>
      </w:r>
      <w:r>
        <w:rPr>
          <w:rFonts w:ascii="Garamond" w:cs="Garamond" w:eastAsia="Garamond" w:hAnsi="Garamond"/>
          <w:b w:val="false"/>
          <w:bCs w:val="false"/>
          <w:i/>
          <w:iCs/>
          <w:color w:val="1B2A4A"/>
          <w:sz w:val="22"/>
          <w:szCs w:val="22"/>
        </w:rPr>
        <w:t xml:space="preserve">Three Monitors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maintains three constitutionally independent Monitors — Legislative (LM), Executive (EM), and Judicial (JM) — each selected by bodies other than those it oversees. Monitors hold an information-only mandate: they observe constitutional processes, verify compliance, and publish findings to the NRS. Findings are not binding on any constitutional actor and are not a prerequisite for any legal proceeding or governmental function. Each Monitor General serves a 10-year non-renewable term with a constitutionally protected funding floor. Failure of a Monitor to act does not extinguish constitutional authority or suspend any constitutional obligation. Any constitutional officer, chamber, or body may request a focused assessment from any Monitor within that Monitor’s mandate; the Monitor publishes the assessment by the requested date where practicable; a requesting party may proceed whether or not the assessment has been published. Persistent non-responsiveness to reasonable requests may be published by the other two Monitors as a non-responsiveness finding to the NRS.</w:t>
      </w:r>
    </w:p>
    <w:p>
      <w:pPr>
        <w:spacing w:after="60" w:before="200"/>
        <w:ind w:left="431"/>
        <w:jc w:val="left"/>
      </w:pPr>
      <w:r>
        <w:rPr>
          <w:rFonts w:ascii="Courier New" w:cs="Courier New" w:eastAsia="Courier New" w:hAnsi="Courier New"/>
          <w:b/>
          <w:bCs/>
          <w:color w:val="2a2a2a"/>
          <w:sz w:val="18"/>
          <w:szCs w:val="18"/>
        </w:rPr>
        <w:t xml:space="preserve">§9.1.a  </w:t>
      </w:r>
      <w:r>
        <w:rPr>
          <w:rFonts w:ascii="Garamond" w:cs="Garamond" w:eastAsia="Garamond" w:hAnsi="Garamond"/>
          <w:b w:val="false"/>
          <w:bCs w:val="false"/>
          <w:i/>
          <w:iCs/>
          <w:color w:val="1B2A4A"/>
          <w:sz w:val="22"/>
          <w:szCs w:val="22"/>
        </w:rPr>
        <w:t xml:space="preserve">The Legislative Monitor</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LM audits the Legislature for fiscal accuracy and constitutional compliance. Responsibilities include auditing the population census for constitutional compliance; reviewing Assembly district maps against §3.3 criteria and publishing germaneness analyses; auditing the Elections Panel’s administration of the referendum eligibility process; auditing legislative mandate compliance; and publishing an annual compliance report to the NRS.</w:t>
      </w:r>
    </w:p>
    <w:p>
      <w:pPr>
        <w:spacing w:after="60" w:before="200"/>
        <w:ind w:left="431"/>
        <w:jc w:val="left"/>
      </w:pPr>
      <w:r>
        <w:rPr>
          <w:rFonts w:ascii="Courier New" w:cs="Courier New" w:eastAsia="Courier New" w:hAnsi="Courier New"/>
          <w:b/>
          <w:bCs/>
          <w:color w:val="2a2a2a"/>
          <w:sz w:val="18"/>
          <w:szCs w:val="18"/>
        </w:rPr>
        <w:t xml:space="preserve">§9.1.b  </w:t>
      </w:r>
      <w:r>
        <w:rPr>
          <w:rFonts w:ascii="Garamond" w:cs="Garamond" w:eastAsia="Garamond" w:hAnsi="Garamond"/>
          <w:b w:val="false"/>
          <w:bCs w:val="false"/>
          <w:i/>
          <w:iCs/>
          <w:color w:val="1B2A4A"/>
          <w:sz w:val="22"/>
          <w:szCs w:val="22"/>
        </w:rPr>
        <w:t xml:space="preserve">The Executive Monitor</w:t>
      </w:r>
    </w:p>
    <w:p>
      <w:pPr>
        <w:spacing w:after="120" w:before="0"/>
        <w:ind w:left="431"/>
        <w:jc w:val="both"/>
      </w:pPr>
      <w:r>
        <w:rPr>
          <w:rFonts w:ascii="Garamond" w:cs="Garamond" w:eastAsia="Garamond" w:hAnsi="Garamond"/>
          <w:b w:val="false"/>
          <w:bCs w:val="false"/>
          <w:i w:val="false"/>
          <w:iCs w:val="false"/>
          <w:color w:val="2a2a2a"/>
          <w:sz w:val="22"/>
          <w:szCs w:val="22"/>
        </w:rPr>
        <w:t xml:space="preserve">The EM audits both executives and the Monetary Authority. Annual responsibilities include: military compliance assessment covering whether military force was used for an authorized purpose under §14.1, whether legislative authorization and allocation requirements under §14.2 were observed, whether the §2.3 intelligence warrant requirement was maintained, and whether all military orders were published to the NRS within the required period; publishing clemency background reports before any executive act; reviewing disclosure records for constitutional appointments; and auditing electoral finance within the period defined by statute following any election. The EM audits constitutional officers for dereliction — failure to perform a constitutionally mandated function within the required period where that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2a2a2a"/>
          <w:sz w:val="18"/>
          <w:szCs w:val="18"/>
        </w:rPr>
        <w:t xml:space="preserve">§9.1.c  </w:t>
      </w:r>
      <w:r>
        <w:rPr>
          <w:rFonts w:ascii="Garamond" w:cs="Garamond" w:eastAsia="Garamond" w:hAnsi="Garamond"/>
          <w:b w:val="false"/>
          <w:bCs w:val="false"/>
          <w:i/>
          <w:iCs/>
          <w:color w:val="1B2A4A"/>
          <w:sz w:val="22"/>
          <w:szCs w:val="22"/>
        </w:rPr>
        <w:t xml:space="preserve">The Judicial Monitor</w:t>
      </w:r>
    </w:p>
    <w:p>
      <w:pPr>
        <w:spacing w:after="120" w:before="0"/>
        <w:ind w:left="431"/>
        <w:jc w:val="both"/>
      </w:pPr>
      <w:r>
        <w:rPr>
          <w:rFonts w:ascii="Garamond" w:cs="Garamond" w:eastAsia="Garamond" w:hAnsi="Garamond"/>
          <w:b w:val="false"/>
          <w:bCs w:val="false"/>
          <w:i w:val="false"/>
          <w:iCs w:val="false"/>
          <w:color w:val="2a2a2a"/>
          <w:sz w:val="22"/>
          <w:szCs w:val="22"/>
        </w:rPr>
        <w:t xml:space="preserve">The JM audits the courts for judicial scope and independence, and conducts annual audits of the Elections Panel for electoral integrity compliance, including the administration of the Judicial Pool and all constitutional pools. The JM reviews compliance with compact agreements under Article XVI and Associated Community compact agreements under Article XX. The JM administers all constitutional lottery draws and candidate certification functions.</w:t>
      </w:r>
    </w:p>
    <w:p>
      <w:pPr>
        <w:spacing w:after="60" w:before="200"/>
        <w:ind w:left="431"/>
        <w:jc w:val="left"/>
      </w:pPr>
      <w:r>
        <w:rPr>
          <w:rFonts w:ascii="Courier New" w:cs="Courier New" w:eastAsia="Courier New" w:hAnsi="Courier New"/>
          <w:b/>
          <w:bCs/>
          <w:color w:val="2a2a2a"/>
          <w:sz w:val="18"/>
          <w:szCs w:val="18"/>
        </w:rPr>
        <w:t xml:space="preserve">§9.1.d  </w:t>
      </w:r>
      <w:r>
        <w:rPr>
          <w:rFonts w:ascii="Garamond" w:cs="Garamond" w:eastAsia="Garamond" w:hAnsi="Garamond"/>
          <w:b w:val="false"/>
          <w:bCs w:val="false"/>
          <w:i/>
          <w:iCs/>
          <w:color w:val="1B2A4A"/>
          <w:sz w:val="22"/>
          <w:szCs w:val="22"/>
        </w:rPr>
        <w:t xml:space="preserve">Monitor General Term Expiry and Incapacity</w:t>
      </w:r>
    </w:p>
    <w:p>
      <w:pPr>
        <w:spacing w:after="120" w:before="0"/>
        <w:ind w:left="431"/>
        <w:jc w:val="both"/>
      </w:pPr>
      <w:r>
        <w:rPr>
          <w:rFonts w:ascii="Garamond" w:cs="Garamond" w:eastAsia="Garamond" w:hAnsi="Garamond"/>
          <w:b w:val="false"/>
          <w:bCs w:val="false"/>
          <w:i w:val="false"/>
          <w:iCs w:val="false"/>
          <w:color w:val="2a2a2a"/>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The Acting Monitor General holds full constitutional authority of the office. The Acting Monitor General is not eligible for permanent appointment to the position in which they serve; upon 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2a2a2a"/>
          <w:sz w:val="18"/>
          <w:szCs w:val="18"/>
        </w:rPr>
        <w:t xml:space="preserve">§9.2  </w:t>
      </w:r>
      <w:r>
        <w:rPr>
          <w:rFonts w:ascii="Garamond" w:cs="Garamond" w:eastAsia="Garamond" w:hAnsi="Garamond"/>
          <w:b w:val="false"/>
          <w:bCs w:val="false"/>
          <w:i/>
          <w:iCs/>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a2a"/>
          <w:sz w:val="22"/>
          <w:szCs w:val="22"/>
        </w:rPr>
        <w:t xml:space="preserve">Each Monitor is constituted through a process that structurally excludes the body being watched from selecting its watchers. The SC nominates the LM Monitor General, confirmed by national popular vote. The Assembly Speaker and Senate Speaker jointly nominate the EM Monitor General, confirmed by national popular vote with JM audit findings on the nominee’s disclosure record published to the NRS before the vote. The JM Monitor General is selected by public lottery from a pool of former judges audited by the LM and EM.</w:t>
      </w:r>
    </w:p>
    <w:p>
      <w:pPr>
        <w:spacing w:after="60" w:before="200"/>
        <w:ind w:left="431"/>
        <w:jc w:val="left"/>
      </w:pPr>
      <w:r>
        <w:rPr>
          <w:rFonts w:ascii="Courier New" w:cs="Courier New" w:eastAsia="Courier New" w:hAnsi="Courier New"/>
          <w:b/>
          <w:bCs/>
          <w:color w:val="2a2a2a"/>
          <w:sz w:val="18"/>
          <w:szCs w:val="18"/>
        </w:rPr>
        <w:t xml:space="preserve">§9.3  </w:t>
      </w:r>
      <w:r>
        <w:rPr>
          <w:rFonts w:ascii="Garamond" w:cs="Garamond" w:eastAsia="Garamond" w:hAnsi="Garamond"/>
          <w:b w:val="false"/>
          <w:bCs w:val="false"/>
          <w:i/>
          <w:iCs/>
          <w:color w:val="1B2A4A"/>
          <w:sz w:val="22"/>
          <w:szCs w:val="22"/>
        </w:rPr>
        <w:t xml:space="preserve">Monitor General Selection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All Monitor General confirmations follow the same process: the nominated or lottery-selected candidate is confirmed by national popular vote at the next federal electoral period by simple majority; timing is defined by statute to ensure seamless succession; if the confirmation vote fails, the §9.1.d acting mechanism activates and a new selection must begin within 60 days. The Elections Panel administers all confirmation votes. The LM Monitor General is nominated by the SC from the pool maintained by the Elections Panel and audited jointly by the EM and JM. The EM Monitor General is nominated jointly by the Assembly Speaker and Senate Speaker from the pool maintained by the Elections Panel and audited jointly by the LM and JM, with JM audit findings on the nominee’s disclosure record published to the NRS before the vote; where the Speakers fail to jointly nominate within 60 days of a vacancy, the Senate selects from the pool by 2/3 vote. The JM Monitor General is selected by public lottery under §9.12 from the JM Candidate Pool under §9.4.a. No two Monitor General terms may begin within 18 months of each other. The confirmed successor assumes full authority at the precise moment the incumbent’s term concludes.</w:t>
      </w:r>
    </w:p>
    <w:p>
      <w:pPr>
        <w:spacing w:after="60" w:before="200"/>
        <w:ind w:left="431"/>
        <w:jc w:val="left"/>
      </w:pPr>
      <w:r>
        <w:rPr>
          <w:rFonts w:ascii="Courier New" w:cs="Courier New" w:eastAsia="Courier New" w:hAnsi="Courier New"/>
          <w:b/>
          <w:bCs/>
          <w:color w:val="2a2a2a"/>
          <w:sz w:val="18"/>
          <w:szCs w:val="18"/>
        </w:rPr>
        <w:t xml:space="preserve">§9.4  </w:t>
      </w:r>
      <w:r>
        <w:rPr>
          <w:rFonts w:ascii="Garamond" w:cs="Garamond" w:eastAsia="Garamond" w:hAnsi="Garamond"/>
          <w:b w:val="false"/>
          <w:bCs w:val="false"/>
          <w:i/>
          <w:iCs/>
          <w:color w:val="1B2A4A"/>
          <w:sz w:val="22"/>
          <w:szCs w:val="22"/>
        </w:rPr>
        <w:t xml:space="preserve">Judicial Monitor Audit and Lottery Administration Mandate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JM holds two constitutional mandates: as auditor, it monitors the court system, audits the Elections Panel’s administration of the Judicial Pool, and conducts compliance audits across compact obligations; as certification administrator, it certifies lottery draws and panel selections throughout the constitution. The audit mandate is information-only; the lottery administration mandate is ministerial — the JM administers the process and certifies the result, but cannot influence the outcome.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the Elections Panel may appeal to the Appellate Court within 14 days; the Court reviews only whether eligibility criteria were correctly applied and must rule within 21 days. 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JM holds no role in constituting or certifying its own candidate pool. The Elections Panel applies the eligibility criteria and enters qualifying applicants into the pool. The LM's ongoing audit encompasses verification of judicial service records; the EM's ongoing audit encompasses financial disclosure review; both publish findings to the NRS. The JMC conducts the lottery in a public session; the outgoing JM Monitor General does not participate. The pool is publicly accessible at all times.</w:t>
      </w:r>
    </w:p>
    <w:p>
      <w:pPr>
        <w:spacing w:after="60" w:before="200"/>
        <w:ind w:left="431"/>
        <w:jc w:val="left"/>
      </w:pPr>
      <w:r>
        <w:rPr>
          <w:rFonts w:ascii="Courier New" w:cs="Courier New" w:eastAsia="Courier New" w:hAnsi="Courier New"/>
          <w:b/>
          <w:bCs/>
          <w:color w:val="2a2a2a"/>
          <w:sz w:val="18"/>
          <w:szCs w:val="18"/>
        </w:rPr>
        <w:t xml:space="preserve">§9.4.b  </w:t>
      </w:r>
      <w:r>
        <w:rPr>
          <w:rFonts w:ascii="Garamond" w:cs="Garamond" w:eastAsia="Garamond" w:hAnsi="Garamond"/>
          <w:b w:val="false"/>
          <w:bCs w:val="false"/>
          <w:i/>
          <w:iCs/>
          <w:color w:val="1B2A4A"/>
          <w:sz w:val="22"/>
          <w:szCs w:val="22"/>
        </w:rPr>
        <w:t xml:space="preserve">Judicial Pool — SC Eligibility Criteria</w:t>
      </w:r>
    </w:p>
    <w:p>
      <w:pPr>
        <w:spacing w:after="120" w:before="0"/>
        <w:ind w:left="431"/>
        <w:jc w:val="both"/>
      </w:pPr>
      <w:r>
        <w:rPr>
          <w:rFonts w:ascii="Garamond" w:cs="Garamond" w:eastAsia="Garamond" w:hAnsi="Garamond"/>
          <w:b w:val="false"/>
          <w:bCs w:val="false"/>
          <w:i w:val="false"/>
          <w:iCs w:val="false"/>
          <w:color w:val="2a2a2a"/>
          <w:sz w:val="22"/>
          <w:szCs w:val="22"/>
        </w:rPr>
        <w:t xml:space="preserve">The Elections Panel maintains the standing Judicial Pool. Any citizen meeting the eligibility criteria — at least 15 years of legal practice or 10 years of judicial service, no current government position, no disqualifying financial interest — may apply directly to the Elections Panel. The Elections Panel applies the stated eligibility criteria and enters qualifying applicants into the registry. The JM’s ongoing audit of the Elections Panel encompasses the administration of the Judicial Pool; audit findings on the registry and its members are published to the NRS as part of that audit. The EM’s ongoing audit of constitutional appointments encompasses financial disclosure review; findings are published to the NRS. Any applicant excluded from or removed from the registry may appeal to the SC within 14 days on the sole ground that the eligibility criteria were misapplied. The Registry is publicly accessible on the NRS at all times.</w:t>
      </w:r>
    </w:p>
    <w:p>
      <w:pPr>
        <w:spacing w:after="60" w:before="200"/>
        <w:ind w:left="431"/>
        <w:jc w:val="left"/>
      </w:pPr>
      <w:r>
        <w:rPr>
          <w:rFonts w:ascii="Courier New" w:cs="Courier New" w:eastAsia="Courier New" w:hAnsi="Courier New"/>
          <w:b/>
          <w:bCs/>
          <w:color w:val="2a2a2a"/>
          <w:sz w:val="18"/>
          <w:szCs w:val="18"/>
        </w:rPr>
        <w:t xml:space="preserve">§9.6  </w:t>
      </w:r>
      <w:r>
        <w:rPr>
          <w:rFonts w:ascii="Garamond" w:cs="Garamond" w:eastAsia="Garamond" w:hAnsi="Garamond"/>
          <w:b w:val="false"/>
          <w:bCs w:val="false"/>
          <w:i/>
          <w:iCs/>
          <w:color w:val="1B2A4A"/>
          <w:sz w:val="22"/>
          <w:szCs w:val="22"/>
        </w:rPr>
        <w:t xml:space="preserve">Monitor Operations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finding, report, and discrepancy notice must be published to the NRS permanently and free of charge; no official may suppress, delay, classify, or alter a Monitor report before publication. Monitor reports are permanently exempt from classification. Where any Monitor publishes a Critical Failure finding, the Legislature must publish a remediation plan with actions and timelines within the period defined by statute; failure to publish a remediation plan is a constitutional compliance breach.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2a2a2a"/>
          <w:sz w:val="18"/>
          <w:szCs w:val="18"/>
        </w:rPr>
        <w:t xml:space="preserve">§9.10  </w:t>
      </w:r>
      <w:r>
        <w:rPr>
          <w:rFonts w:ascii="Garamond" w:cs="Garamond" w:eastAsia="Garamond" w:hAnsi="Garamond"/>
          <w:b w:val="false"/>
          <w:bCs w:val="false"/>
          <w:i/>
          <w:iCs/>
          <w:color w:val="1B2A4A"/>
          <w:sz w:val="22"/>
          <w:szCs w:val="22"/>
        </w:rPr>
        <w:t xml:space="preserve">Monitor Minimum Funding Guarantee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annual appropriation for each Monitor, the Elections Panel, and the NRS Panel may not fall below the inflation-adjusted equivalent of the prior fiscal year's funding level without a 2/3 vote of both chambers in a concurrent vote. The Monetary Authority certifies each body's prior-year funding level adjusted for inflation and publishes the certified floor to the NRS before the Legislature begins its annual budget process. Where a budget reduces any protected body below its certified inflation-adjusted floor without the required supermajority, the prior-year funding level takes effect automatically for that body by constitutional operation.</w:t>
      </w:r>
    </w:p>
    <w:p>
      <w:pPr>
        <w:spacing w:after="60" w:before="200"/>
        <w:ind w:left="431"/>
        <w:jc w:val="left"/>
      </w:pPr>
      <w:r>
        <w:rPr>
          <w:rFonts w:ascii="Courier New" w:cs="Courier New" w:eastAsia="Courier New" w:hAnsi="Courier New"/>
          <w:b/>
          <w:bCs/>
          <w:color w:val="2a2a2a"/>
          <w:sz w:val="18"/>
          <w:szCs w:val="18"/>
        </w:rPr>
        <w:t xml:space="preserve">§9.11  </w:t>
      </w:r>
      <w:r>
        <w:rPr>
          <w:rFonts w:ascii="Garamond" w:cs="Garamond" w:eastAsia="Garamond" w:hAnsi="Garamond"/>
          <w:b w:val="false"/>
          <w:bCs w:val="false"/>
          <w:i/>
          <w:iCs/>
          <w:color w:val="1B2A4A"/>
          <w:sz w:val="22"/>
          <w:szCs w:val="22"/>
        </w:rPr>
        <w:t xml:space="preserve">Joint Monitor Council</w:t>
      </w:r>
    </w:p>
    <w:p>
      <w:pPr>
        <w:spacing w:after="120" w:before="0"/>
        <w:ind w:left="431"/>
        <w:jc w:val="both"/>
      </w:pPr>
      <w:r>
        <w:rPr>
          <w:rFonts w:ascii="Garamond" w:cs="Garamond" w:eastAsia="Garamond" w:hAnsi="Garamond"/>
          <w:b w:val="false"/>
          <w:bCs w:val="false"/>
          <w:i w:val="false"/>
          <w:iCs w:val="false"/>
          <w:color w:val="2a2a2a"/>
          <w:sz w:val="22"/>
          <w:szCs w:val="22"/>
        </w:rPr>
        <w:t xml:space="preserve">The three Monitor Generals jointly constitute the JMC as the standing coordination body for matters crossing Monitor jurisdictions. The JMC formally houses all jointly administered constitutional functions — including lottery draws and selection processes throughout the constitution. The chair of any joint session is the Monitor General whose domain covers the primary subject matter; where all domains are equally engaged, the chair rotates annually. Two of the three Monitor Generals constitute a quorum for all JMC functions; no mandatory joint function may be permanently blocked by a single Monitor General’s non-participation. Where a Monitor General does not participate in a joint function, their position — if stated — is published to the NRS alongside the joint determination. Where the Monitor Generals cannot reach consensus on a joint matter, each publishes their individual assessment and the disagreement is noted in the permanent NRS record. Sustained non-participation by a single Monitor General is subject to the §9.11.a Institutional Compromise Protocol.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JMC has no authority to override the individual mandate of any Monitor.</w:t>
      </w:r>
    </w:p>
    <w:p>
      <w:pPr>
        <w:spacing w:after="60" w:before="200"/>
        <w:ind w:left="431"/>
        <w:jc w:val="left"/>
      </w:pPr>
      <w:r>
        <w:rPr>
          <w:rFonts w:ascii="Courier New" w:cs="Courier New" w:eastAsia="Courier New" w:hAnsi="Courier New"/>
          <w:b/>
          <w:bCs/>
          <w:color w:val="2a2a2a"/>
          <w:sz w:val="18"/>
          <w:szCs w:val="18"/>
        </w:rPr>
        <w:t xml:space="preserve">§9.11.a  </w:t>
      </w:r>
      <w:r>
        <w:rPr>
          <w:rFonts w:ascii="Garamond" w:cs="Garamond" w:eastAsia="Garamond" w:hAnsi="Garamond"/>
          <w:b w:val="false"/>
          <w:bCs w:val="false"/>
          <w:i/>
          <w:i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two of the three Monitors jointly assess and report that the third is operating in demonstrable bad faith, they petition the SC directly for confirmation of the finding; the SC rules within 14 days. Upon filing the petition, the two petitioning Monitors jointly designate an Acting Monitor General as the longest-tenured member of the affected Monitor’s candidate pool who accepts the designation; both executives are notified immediately. The Acting Monitor General assumes all constitutional functions of the compromised Monitor from the moment of designation. If the SC does not confirm the finding, the Acting Monitor General stands down and all functions return immediately to the original Monitor General.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2a2a2a"/>
          <w:sz w:val="18"/>
          <w:szCs w:val="18"/>
        </w:rPr>
        <w:t xml:space="preserve">§9.12  </w:t>
      </w:r>
      <w:r>
        <w:rPr>
          <w:rFonts w:ascii="Garamond" w:cs="Garamond" w:eastAsia="Garamond" w:hAnsi="Garamond"/>
          <w:b w:val="false"/>
          <w:bCs w:val="false"/>
          <w:i/>
          <w:iCs/>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a2a"/>
          <w:sz w:val="22"/>
          <w:szCs w:val="22"/>
        </w:rPr>
        <w:t xml:space="preserve">The Elections Panel maintains all constitutional candidate registries and pools, including the Judicial Pool, and administers public access to their records via the NRS. Each pool is subject to ongoing Monitor audit; findings are published to the NRS. Any applicant excluded may appeal to the SC within 14 days on the sole ground that the qualification requirements were misapplied. Lottery draws are conducted by the JMC in a public session and published to the NRS. The constitutional minimum for all pools is five eligible members; where a pool falls below five, the JM publishes a compliance breach and the relevant nominating bodies must act to restore the minimum within the period defined by statute. Where a pool reaches zero before an acting designation is made, the most senior eligible federal judge by continuous service who is not currently serving in any constitutional office serves as Acting officer until the pool is restored; this fallback applies only to judicial and Monitor pools. Eligibility criteria for all pools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applicant may petition the SC within 30 days of NRS publication on the sole ground that stated grounds do not correspond to an established eligibility criterion. Changes to eligibility criteria apply prospectively only and do not affect persons already entered in a constitutional pool or registry under the criteria applicable at the time of their entry.</w:t>
      </w:r>
    </w:p>
    <w:p>
      <w:pPr>
        <w:spacing w:after="60" w:before="200"/>
        <w:ind w:left="431"/>
        <w:jc w:val="left"/>
      </w:pPr>
      <w:r>
        <w:rPr>
          <w:rFonts w:ascii="Courier New" w:cs="Courier New" w:eastAsia="Courier New" w:hAnsi="Courier New"/>
          <w:b/>
          <w:bCs/>
          <w:color w:val="2a2a2a"/>
          <w:sz w:val="18"/>
          <w:szCs w:val="18"/>
        </w:rPr>
        <w:t xml:space="preserve">§9.14  </w:t>
      </w:r>
      <w:r>
        <w:rPr>
          <w:rFonts w:ascii="Garamond" w:cs="Garamond" w:eastAsia="Garamond" w:hAnsi="Garamond"/>
          <w:b w:val="false"/>
          <w:bCs w:val="false"/>
          <w:i/>
          <w:iCs/>
          <w:color w:val="1B2A4A"/>
          <w:sz w:val="22"/>
          <w:szCs w:val="22"/>
        </w:rPr>
        <w:t xml:space="preserve">Constitutional Officer Removal — Standard Track</w:t>
      </w:r>
    </w:p>
    <w:p>
      <w:pPr>
        <w:spacing w:after="120" w:before="0"/>
        <w:ind w:left="431"/>
        <w:jc w:val="both"/>
      </w:pPr>
      <w:r>
        <w:rPr>
          <w:rFonts w:ascii="Garamond" w:cs="Garamond" w:eastAsia="Garamond" w:hAnsi="Garamond"/>
          <w:b w:val="false"/>
          <w:bCs w:val="false"/>
          <w:i w:val="false"/>
          <w:iCs w:val="false"/>
          <w:color w:val="2a2a2a"/>
          <w:sz w:val="22"/>
          <w:szCs w:val="22"/>
        </w:rPr>
        <w:t xml:space="preserve">This section governs for-cause removal of all constitutionally confirmed independent officers except Supreme Court justices under §4.3.b and elected executives. Monitor Generals are subject to for-cause removal under this section; the Judicial Track is additionally available for Monitor Generals where two of the three Monitors jointly assess and report for-cause grounds. A concurrent resolution of 1/3 of either chamber, or two of the three Monitors jointly, may initiate removal by filing stated grounds with the SC. The SC determines within 14 days whether the stated grounds constitute at least one statutory removal category for the subject office; the SC reviews constitutional category only, not factual merits. If grounds are confirmed, duty suspension activates immediately and removal requires a 2/3 concurrent vote of both chambers; no removal vote may be held within 180 days of a major national election without prior SC review within 48 hours. If grounds are not confirmed, the process closes and may not be reinitiated on the same or substantially similar grounds within six months. Where the SC fails to rule within 14 days, grounds are deemed confirmed and duty suspension activates immediately. The Legislature defines enumerated removal categories for each constitutionally confirmed office by statute.</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 — The National Record System</w:t>
      </w:r>
    </w:p>
    <w:p>
      <w:pPr>
        <w:spacing w:after="60" w:before="200"/>
        <w:ind w:left="431"/>
        <w:jc w:val="left"/>
      </w:pPr>
      <w:r>
        <w:rPr>
          <w:rFonts w:ascii="Courier New" w:cs="Courier New" w:eastAsia="Courier New" w:hAnsi="Courier New"/>
          <w:b/>
          <w:bCs/>
          <w:color w:val="2a2a2a"/>
          <w:sz w:val="18"/>
          <w:szCs w:val="18"/>
        </w:rPr>
        <w:t xml:space="preserve">§10.1  </w:t>
      </w:r>
      <w:r>
        <w:rPr>
          <w:rFonts w:ascii="Garamond" w:cs="Garamond" w:eastAsia="Garamond" w:hAnsi="Garamond"/>
          <w:b w:val="false"/>
          <w:bCs w:val="false"/>
          <w:i/>
          <w:iCs/>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a2a"/>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this Constitution is published to the NRS as a permanent record; no provision need state this obligation individually. All electoral records — voter registration, ballot counts, audit trails, and certification documents — must be published to the NRS within the timeframes specified by the Elections Panel's constitutional mandate under Article XI; no classification exception applies to electoral records. Where a specific publication timeline is provided it governs; otherwise publication occurs at or before the effective moment of the act. Records may not be deleted, altered, or reclassified after publication; corrections are published as new entries alongside the original. Where the NRS Panel determines by unanimous vote that a record poses an imminent, specific, and documented threat to individual safety, it may temporarily restrict access for up to 30 days while the SC reviews the restriction; the SC must rule within 14 days; the record is permanently restored unless the SC confirms the restriction on the narrowest possible grounds. The original timestamp and the restriction record both remain as permanent NRS entries. Government acts take legal effect from the moment of issuance regardless of NRS status — the NRS is the record of government, not a condition of it. The JM maintains a continuously operating parallel authentication system, physically independent of the NRS, capable of preserving all constitutional acts with full constitutional effect from issuance; upon NRS restoration, parallel records migrate with their original timestamps. Where the NRS has not been restored within 180 days, the parallel system becomes the constitutional record; the Legislature must establish permanent restoration obligations by statute within 90 days of that threshold. The Legislature defines technical standards for both systems by statute. Records published by any Republic jurisdiction are recognized as authentic without re-certification. Monitor reports are permanently exempt from classification. Classification used to conceal a constitutional violation or illegal order is a constitutional offense. Funding for the NRS may not fall below the prior year’s level without a 2/3 vote of both chambers.</w:t>
      </w:r>
    </w:p>
    <w:p>
      <w:pPr>
        <w:spacing w:after="60" w:before="200"/>
        <w:ind w:left="431"/>
        <w:jc w:val="left"/>
      </w:pPr>
      <w:r>
        <w:rPr>
          <w:rFonts w:ascii="Courier New" w:cs="Courier New" w:eastAsia="Courier New" w:hAnsi="Courier New"/>
          <w:b/>
          <w:bCs/>
          <w:color w:val="2a2a2a"/>
          <w:sz w:val="18"/>
          <w:szCs w:val="18"/>
        </w:rPr>
        <w:t xml:space="preserve">§10.3  </w:t>
      </w:r>
      <w:r>
        <w:rPr>
          <w:rFonts w:ascii="Garamond" w:cs="Garamond" w:eastAsia="Garamond" w:hAnsi="Garamond"/>
          <w:b w:val="false"/>
          <w:bCs w:val="false"/>
          <w:i/>
          <w:i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a2a"/>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 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 — NRS Panel and Elections Panel</w:t>
      </w:r>
    </w:p>
    <w:p>
      <w:pPr>
        <w:spacing w:after="60" w:before="200"/>
        <w:ind w:left="431"/>
        <w:jc w:val="left"/>
      </w:pPr>
      <w:r>
        <w:rPr>
          <w:rFonts w:ascii="Courier New" w:cs="Courier New" w:eastAsia="Courier New" w:hAnsi="Courier New"/>
          <w:b/>
          <w:bCs/>
          <w:color w:val="2a2a2a"/>
          <w:sz w:val="18"/>
          <w:szCs w:val="18"/>
        </w:rPr>
        <w:t xml:space="preserve">§11.1  </w:t>
      </w:r>
      <w:r>
        <w:rPr>
          <w:rFonts w:ascii="Garamond" w:cs="Garamond" w:eastAsia="Garamond" w:hAnsi="Garamond"/>
          <w:b w:val="false"/>
          <w:bCs w:val="false"/>
          <w:i/>
          <w:iCs/>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a2a"/>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establishes and maintains the National Voting System, sets administrative and technical standards for federal elections, certifies election equipment for state procurement, audits state compliance with federal election standards, administers referenda and confirmation votes, and certifies all federal election results. Where the Elections Panel certifies a State’s election system as non-compliant before an election, the Panel may withhold result certification for affected districts pending compliance or a special election under §7.3.a. Each panel is operationally independent of the other, of both executives, and of the Legislature in the exercise of its functions.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 The Chair of each panel is its most senior member by continuous service; where two or more members have equal continuous service, the Chair is determined by lot conducted by the JMC. Each panel exercises only those ministerial functions expressly granted by this Constitution and by statute. The Legislature must establish by statute a procedure for each panel to adopt temporary technical measures in response to imminent security threats or system failures within its domain; such measures may not change electoral rules, timelines, or NRS record permanence, and expire within 72 hours unless ratified by a majority of the panel's seated members.</w:t>
      </w:r>
    </w:p>
    <w:p>
      <w:pPr>
        <w:spacing w:after="60" w:before="200"/>
        <w:ind w:left="431"/>
        <w:jc w:val="left"/>
      </w:pPr>
      <w:r>
        <w:rPr>
          <w:rFonts w:ascii="Courier New" w:cs="Courier New" w:eastAsia="Courier New" w:hAnsi="Courier New"/>
          <w:b/>
          <w:bCs/>
          <w:color w:val="2a2a2a"/>
          <w:sz w:val="18"/>
          <w:szCs w:val="18"/>
        </w:rPr>
        <w:t xml:space="preserve">§11.2  </w:t>
      </w:r>
      <w:r>
        <w:rPr>
          <w:rFonts w:ascii="Garamond" w:cs="Garamond" w:eastAsia="Garamond" w:hAnsi="Garamond"/>
          <w:b w:val="false"/>
          <w:bCs w:val="false"/>
          <w:i/>
          <w:iCs/>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2a2a2a"/>
          <w:sz w:val="18"/>
          <w:szCs w:val="18"/>
        </w:rPr>
        <w:t xml:space="preserve">§11.3  </w:t>
      </w:r>
      <w:r>
        <w:rPr>
          <w:rFonts w:ascii="Garamond" w:cs="Garamond" w:eastAsia="Garamond" w:hAnsi="Garamond"/>
          <w:b w:val="false"/>
          <w:bCs w:val="false"/>
          <w:i/>
          <w:iCs/>
          <w:color w:val="1B2A4A"/>
          <w:sz w:val="22"/>
          <w:szCs w:val="22"/>
        </w:rPr>
        <w:t xml:space="preserve">State Election Non-Compliance</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Elections Panel finds through audit that a State's election administration materially fails to meet the constitutional standards required under §11.1, it publishes the finding to the NRS and notifies the State formally. The State has the period defined by statute to cure the identified failures. Where the State does not cure within that period, the Elections Panel administers the relevant federal election directly within that State for that electoral period only; State administration resumes automatically at the conclusion of that period. The State may petition the SC for expedited review of the Elections Panel's finding at any point; the SC must rule within the period defined by statute. A finding of non-compliance does not affect the validity of votes cast; the Elections Panel's administration obligation is to ensure constitutional standards are met going forward.</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XII — Social State and Economic Rights</w:t>
      </w:r>
    </w:p>
    <w:p>
      <w:pPr>
        <w:spacing w:after="60" w:before="200"/>
        <w:ind w:left="431"/>
        <w:jc w:val="left"/>
      </w:pPr>
      <w:r>
        <w:rPr>
          <w:rFonts w:ascii="Courier New" w:cs="Courier New" w:eastAsia="Courier New" w:hAnsi="Courier New"/>
          <w:b/>
          <w:bCs/>
          <w:color w:val="2a2a2a"/>
          <w:sz w:val="18"/>
          <w:szCs w:val="18"/>
        </w:rPr>
        <w:t xml:space="preserve">§12.1  </w:t>
      </w:r>
      <w:r>
        <w:rPr>
          <w:rFonts w:ascii="Garamond" w:cs="Garamond" w:eastAsia="Garamond" w:hAnsi="Garamond"/>
          <w:b w:val="false"/>
          <w:bCs w:val="false"/>
          <w:i/>
          <w:iCs/>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w:t>
      </w:r>
    </w:p>
    <w:p>
      <w:pPr>
        <w:spacing w:after="60" w:before="200"/>
        <w:ind w:left="431"/>
        <w:jc w:val="left"/>
      </w:pPr>
      <w:r>
        <w:rPr>
          <w:rFonts w:ascii="Courier New" w:cs="Courier New" w:eastAsia="Courier New" w:hAnsi="Courier New"/>
          <w:b/>
          <w:bCs/>
          <w:color w:val="2a2a2a"/>
          <w:sz w:val="18"/>
          <w:szCs w:val="18"/>
        </w:rPr>
        <w:t xml:space="preserve">§12.1.a  </w:t>
      </w:r>
      <w:r>
        <w:rPr>
          <w:rFonts w:ascii="Garamond" w:cs="Garamond" w:eastAsia="Garamond" w:hAnsi="Garamond"/>
          <w:b w:val="false"/>
          <w:bCs w:val="false"/>
          <w:i/>
          <w:iCs/>
          <w:color w:val="1B2A4A"/>
          <w:sz w:val="22"/>
          <w:szCs w:val="22"/>
        </w:rPr>
        <w:t xml:space="preserve">The Monetary Authority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must establish the Monetary Authority as an independent agency under §3.9, responsible for monetary policy, currency issuance, and fiscal integrity certification. The MA has exclusive authority to issue the Republic’s currency; no State, Territory, or other body may issue instruments intended to function as legal tender within the Republic. The Legislature may not define MA independence standards in a manner that compromises the credibility of its certification functions; the EM audits MA operations and independence annually and publishes findings to the NRS.</w:t>
      </w:r>
    </w:p>
    <w:p>
      <w:pPr>
        <w:spacing w:after="60" w:before="200"/>
        <w:ind w:left="431"/>
        <w:jc w:val="left"/>
      </w:pPr>
      <w:r>
        <w:rPr>
          <w:rFonts w:ascii="Courier New" w:cs="Courier New" w:eastAsia="Courier New" w:hAnsi="Courier New"/>
          <w:b/>
          <w:bCs/>
          <w:color w:val="2a2a2a"/>
          <w:sz w:val="18"/>
          <w:szCs w:val="18"/>
        </w:rPr>
        <w:t xml:space="preserve">§12.2  </w:t>
      </w:r>
      <w:r>
        <w:rPr>
          <w:rFonts w:ascii="Garamond" w:cs="Garamond" w:eastAsia="Garamond" w:hAnsi="Garamond"/>
          <w:b w:val="false"/>
          <w:bCs w:val="false"/>
          <w:i/>
          <w:iCs/>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the Legislature fails to enact a budget by the constitutional deadline defined by statute, an interim automatic appropriation takes effect by constitutional operation covering: judicial operations, active defense authorizations under §14.2, and social state continuity under §12.1; civil service compensation; and debt service obligations. The interim appropriation continues at the prior fiscal year’s inflation-adjusted level until a budget is enacted; no new programs may be initiated or expanded under the interim appropriation.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adequately fund the Endowment is a constitutional compliance breach.</w:t>
      </w:r>
    </w:p>
    <w:p>
      <w:pPr>
        <w:spacing w:after="60" w:before="200"/>
        <w:ind w:left="431"/>
        <w:jc w:val="left"/>
      </w:pPr>
      <w:r>
        <w:rPr>
          <w:rFonts w:ascii="Courier New" w:cs="Courier New" w:eastAsia="Courier New" w:hAnsi="Courier New"/>
          <w:b/>
          <w:bCs/>
          <w:color w:val="2a2a2a"/>
          <w:sz w:val="18"/>
          <w:szCs w:val="18"/>
        </w:rPr>
        <w:t xml:space="preserve">§12.3  </w:t>
      </w:r>
      <w:r>
        <w:rPr>
          <w:rFonts w:ascii="Garamond" w:cs="Garamond" w:eastAsia="Garamond" w:hAnsi="Garamond"/>
          <w:b w:val="false"/>
          <w:bCs w:val="false"/>
          <w:i/>
          <w:iCs/>
          <w:color w:val="1B2A4A"/>
          <w:sz w:val="22"/>
          <w:szCs w:val="22"/>
        </w:rPr>
        <w:t xml:space="preserve">Taxing Power and National Revenue Fund</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has exclusive authority to levy taxes, duties, and tariffs by statute; no other body may impose a tax, duty, or levy of any kind. All public money received by the Republic — including tax revenue, fees, and other receipts — is deposited into the National Revenue Fund. No money may be withdrawn from the National Revenue Fund except by legislative appropriation. The EM audits the Fund's receipts and disbursements as part of its annual fiscal mandate and publishes findings to the NRS. No tax may discriminate on the basis of the characteristics listed in §1.6. Tariff rates established by a ratified treaty or approved trade agreement under §3.6 constitute legislatively authorized rates for the duration of that instrument; the Legislature may set tariff schedules within which the Legat Consul may negotiate specific rates.</w:t>
      </w:r>
    </w:p>
    <w:p>
      <w:pPr>
        <w:spacing w:after="60" w:before="200"/>
        <w:ind w:left="431"/>
        <w:jc w:val="left"/>
      </w:pPr>
      <w:r>
        <w:rPr>
          <w:rFonts w:ascii="Courier New" w:cs="Courier New" w:eastAsia="Courier New" w:hAnsi="Courier New"/>
          <w:b/>
          <w:bCs/>
          <w:color w:val="2a2a2a"/>
          <w:sz w:val="18"/>
          <w:szCs w:val="18"/>
        </w:rPr>
        <w:t xml:space="preserve">§12.4  </w:t>
      </w:r>
      <w:r>
        <w:rPr>
          <w:rFonts w:ascii="Garamond" w:cs="Garamond" w:eastAsia="Garamond" w:hAnsi="Garamond"/>
          <w:b w:val="false"/>
          <w:bCs w:val="false"/>
          <w:i/>
          <w:iCs/>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a2a"/>
          <w:sz w:val="22"/>
          <w:szCs w:val="22"/>
        </w:rPr>
        <w:t xml:space="preserve">All constitutional officers must disclose all financial interests, holdings, income sources, and liabilities to the EM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relevant chamber may void the decision by simple majority within 90 days of an EM finding of conflict. Constitutional officers may not, for a period defined by statute after leaving office — which may not be less than two years — engage in any activity that monetizes or draws on non-public information, relationships, or access accumulated during service; the EM audits post-service activities of constitutional officers for compliance with this restriction and publishes findings to the NRS; enforcement is through the appropriate legal authority. Officers may not accept gifts above a de minimis threshold; all gifts above the threshold must be disclosed to the EM and deposited with the relevant treasury. All records created in the exercise of official functions are public records and may not be retained, destroyed, or removed by departing officers. The EM investigates alleged violations and publishes findings to the NRS; where findings warrant further action, the EM refers to the appropriate authority.</w:t>
      </w:r>
    </w:p>
    <w:p>
      <w:pPr>
        <w:spacing w:after="60" w:before="200"/>
        <w:ind w:left="431"/>
        <w:jc w:val="left"/>
      </w:pPr>
      <w:r>
        <w:rPr>
          <w:rFonts w:ascii="Courier New" w:cs="Courier New" w:eastAsia="Courier New" w:hAnsi="Courier New"/>
          <w:b/>
          <w:bCs/>
          <w:color w:val="2a2a2a"/>
          <w:sz w:val="18"/>
          <w:szCs w:val="18"/>
        </w:rPr>
        <w:t xml:space="preserve">§12.4.a  </w:t>
      </w:r>
      <w:r>
        <w:rPr>
          <w:rFonts w:ascii="Garamond" w:cs="Garamond" w:eastAsia="Garamond" w:hAnsi="Garamond"/>
          <w:b w:val="false"/>
          <w:bCs w:val="false"/>
          <w:i/>
          <w:iCs/>
          <w:color w:val="1B2A4A"/>
          <w:sz w:val="22"/>
          <w:szCs w:val="22"/>
        </w:rPr>
        <w:t xml:space="preserve">Codes of Conduct and Recusal</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may by statute establish codes of conduct and procedural rules for any constitutionally established office outside the Legislature, including standards for recusal from specific proceedings, disclosure obligations beyond those required by §12.4, and disciplinary procedures for conduct falling short of removal grounds under §9.14. Such rules must be consistent with the independence protections of the relevant office and may not be used to constrain the substantive exercise of any constitutionally assigned function. In the absence of statute establishing recusal standards for a given office, an officer must recuse where their impartiality could reasonably be questioned. An officer who fails to recuse in circumstances requiring recusal — whether defined by statute or this default standard — acts in constitutional breach; the act or determination in which they participated remains subject to challenge on that ground. No statute enacted under this provision may be amended or repealed within the legislative session immediately following the session of its enactment; thereafter, amendment or repeal requires a 2/3 majority of both chambers.</w:t>
      </w:r>
    </w:p>
    <w:p>
      <w:pPr>
        <w:spacing w:after="60" w:before="200"/>
        <w:ind w:left="431"/>
        <w:jc w:val="left"/>
      </w:pPr>
      <w:r>
        <w:rPr>
          <w:rFonts w:ascii="Courier New" w:cs="Courier New" w:eastAsia="Courier New" w:hAnsi="Courier New"/>
          <w:b/>
          <w:bCs/>
          <w:color w:val="2a2a2a"/>
          <w:sz w:val="18"/>
          <w:szCs w:val="18"/>
        </w:rPr>
        <w:t xml:space="preserve">§12.5  </w:t>
      </w:r>
      <w:r>
        <w:rPr>
          <w:rFonts w:ascii="Garamond" w:cs="Garamond" w:eastAsia="Garamond" w:hAnsi="Garamond"/>
          <w:b w:val="false"/>
          <w:bCs w:val="false"/>
          <w:i/>
          <w:iCs/>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National Endowment is a constitutionally established reserve fund that backstops the Republic’s social state obligations under §12.1 during periods of Severe Revenue Contraction, as certified by the Monetary Authority. The Endowment operates independently of the annual budget process and is managed by the Monetary Authority as part of its constitutional mandate; the Monetary Authority’s sole obligation with respect to the Endowment is to preserve and grow it for social state backstop purposes. Disbursements are activated on Monetary Authority certification of Severe Revenue Contraction and continue until the Monetary Authority certifies the contraction has ended. The EM audits the Monetary Authority’s management of the Endowment annually and publishes findings to the NRS.</w:t>
      </w:r>
    </w:p>
    <w:p>
      <w:pPr>
        <w:spacing w:after="60" w:before="200"/>
        <w:ind w:left="431"/>
        <w:jc w:val="left"/>
      </w:pPr>
      <w:r>
        <w:rPr>
          <w:rFonts w:ascii="Courier New" w:cs="Courier New" w:eastAsia="Courier New" w:hAnsi="Courier New"/>
          <w:b/>
          <w:bCs/>
          <w:color w:val="2a2a2a"/>
          <w:sz w:val="18"/>
          <w:szCs w:val="18"/>
        </w:rPr>
        <w:t xml:space="preserve">§12.6  </w:t>
      </w:r>
      <w:r>
        <w:rPr>
          <w:rFonts w:ascii="Garamond" w:cs="Garamond" w:eastAsia="Garamond" w:hAnsi="Garamond"/>
          <w:b w:val="false"/>
          <w:bCs w:val="false"/>
          <w:i/>
          <w:iCs/>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a2a"/>
          <w:sz w:val="22"/>
          <w:szCs w:val="22"/>
        </w:rPr>
        <w:t xml:space="preserve">No government official may set their own compensation or the compensation of their direct supervisors. All official compensation is set by statute and is a public record on the NRS. The Legislature may by statute set the compensation of elected constitutional officers; no such change takes effect until after the next election for the relevant office following the session in which it was enacted. Official benefits and accommodations reflect the functional requirements of the office, not the status of the officeholder; no benefit may exceed what the function genuinely requires.</w:t>
      </w:r>
    </w:p>
    <w:p>
      <w:pPr>
        <w:spacing w:after="60" w:before="200"/>
        <w:ind w:left="431"/>
        <w:jc w:val="left"/>
      </w:pPr>
      <w:r>
        <w:rPr>
          <w:rFonts w:ascii="Courier New" w:cs="Courier New" w:eastAsia="Courier New" w:hAnsi="Courier New"/>
          <w:b/>
          <w:bCs/>
          <w:color w:val="2a2a2a"/>
          <w:sz w:val="18"/>
          <w:szCs w:val="18"/>
        </w:rPr>
        <w:t xml:space="preserve">§12.7  </w:t>
      </w:r>
      <w:r>
        <w:rPr>
          <w:rFonts w:ascii="Garamond" w:cs="Garamond" w:eastAsia="Garamond" w:hAnsi="Garamond"/>
          <w:b w:val="false"/>
          <w:bCs w:val="false"/>
          <w:i/>
          <w:iCs/>
          <w:color w:val="1B2A4A"/>
          <w:sz w:val="22"/>
          <w:szCs w:val="22"/>
        </w:rPr>
        <w:t xml:space="preserve">Internal Commerce</w:t>
      </w:r>
    </w:p>
    <w:p>
      <w:pPr>
        <w:spacing w:after="120" w:before="0"/>
        <w:ind w:left="431"/>
        <w:jc w:val="both"/>
      </w:pPr>
      <w:r>
        <w:rPr>
          <w:rFonts w:ascii="Garamond" w:cs="Garamond" w:eastAsia="Garamond" w:hAnsi="Garamond"/>
          <w:b w:val="false"/>
          <w:bCs w:val="false"/>
          <w:i w:val="false"/>
          <w:iCs w:val="false"/>
          <w:color w:val="2a2a2a"/>
          <w:sz w:val="22"/>
          <w:szCs w:val="22"/>
        </w:rPr>
        <w:t xml:space="preserve">No State or Territory may impose requirements on goods, services, or economic activity originating in another State or Territory that are more burdensome than those applied to its own. The Legislature may establish uniform internal commerce standards by statute.</w:t>
      </w:r>
    </w:p>
    <w:p>
      <w:pPr>
        <w:spacing w:after="60" w:before="200"/>
        <w:ind w:left="431"/>
        <w:jc w:val="left"/>
      </w:pPr>
      <w:r>
        <w:rPr>
          <w:rFonts w:ascii="Courier New" w:cs="Courier New" w:eastAsia="Courier New" w:hAnsi="Courier New"/>
          <w:b/>
          <w:bCs/>
          <w:color w:val="2a2a2a"/>
          <w:sz w:val="18"/>
          <w:szCs w:val="18"/>
        </w:rPr>
        <w:t xml:space="preserve">§12.8  </w:t>
      </w:r>
      <w:r>
        <w:rPr>
          <w:rFonts w:ascii="Garamond" w:cs="Garamond" w:eastAsia="Garamond" w:hAnsi="Garamond"/>
          <w:b w:val="false"/>
          <w:bCs w:val="false"/>
          <w:i/>
          <w:iCs/>
          <w:color w:val="1B2A4A"/>
          <w:sz w:val="22"/>
          <w:szCs w:val="22"/>
        </w:rPr>
        <w:t xml:space="preserve">Fiscal Equalization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shall by statute establish a mechanism ensuring that every State and Territory has fiscal capacity reasonably sufficient to fulfil the Social State obligations under §12.1 and the rights guaranteed under Article I. The mechanism is reviewed at intervals the Legislature defines by statute. The EM certifies whether the mechanism is operating as required and publishes its finding to the NRS annually. Where the EM finds the mechanism has failed, the Legislature must respond within 90 days.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XIII — Direct Democracy</w:t>
      </w:r>
    </w:p>
    <w:p>
      <w:pPr>
        <w:spacing w:after="60" w:before="200"/>
        <w:ind w:left="431"/>
        <w:jc w:val="left"/>
      </w:pPr>
      <w:r>
        <w:rPr>
          <w:rFonts w:ascii="Courier New" w:cs="Courier New" w:eastAsia="Courier New" w:hAnsi="Courier New"/>
          <w:b/>
          <w:bCs/>
          <w:color w:val="2a2a2a"/>
          <w:sz w:val="18"/>
          <w:szCs w:val="18"/>
        </w:rPr>
        <w:t xml:space="preserve">§13.1  </w:t>
      </w:r>
      <w:r>
        <w:rPr>
          <w:rFonts w:ascii="Garamond" w:cs="Garamond" w:eastAsia="Garamond" w:hAnsi="Garamond"/>
          <w:b w:val="false"/>
          <w:bCs w:val="false"/>
          <w:i/>
          <w:iCs/>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a2a"/>
          <w:sz w:val="22"/>
          <w:szCs w:val="22"/>
        </w:rPr>
        <w:t xml:space="preserve">Citizens may initiate a national referendum to repeal enacted legislation. The petition process begins within 90 days of enactment and proceeds in two phases, each authenticated through the NVS using Citizen Voting Credentials. Phase One, lasting up to 8 months, requires signatures from citizens equal to a percentage of eligible voters — defined by statute at not less than 0.5% nor more than 3% — in each of at least one-third of all States and Territories. Phase Two, lasting up to 8 months following Phase One’s completion, requires signatures from 5% of eligible voters nationally; signatures gathered in Phase One carry over and count toward this threshold. Laws that solely or primarily expand an Article I right, budget laws, and laws implementing a constitutionally mandated obligation are ineligible. The Elections Panel applies these ineligibility categories when administering petitions; the LM’s ongoing audit of legislative compliance encompasses published findings on the character of enacted laws, which the Elections Panel and any party may reference. Any eligibility determination is challengeable in the Appellate Court within 14 days. If the threshold is met, the Elections Panel administers the referendum within 90 days of verification. A simple majority of votes cast, subject to a turnout threshold defined by the Legislature not to exceed 50%, repeals the law immediately upon certification. A failed referendum may not be re-initiated on the same or substantially similar grounds; the Legislature may re-enact a repealed law, which is again subject to referendum.</w:t>
      </w:r>
    </w:p>
    <w:p>
      <w:pPr>
        <w:spacing w:after="60" w:before="200"/>
        <w:ind w:left="431"/>
        <w:jc w:val="left"/>
      </w:pPr>
      <w:r>
        <w:rPr>
          <w:rFonts w:ascii="Courier New" w:cs="Courier New" w:eastAsia="Courier New" w:hAnsi="Courier New"/>
          <w:b/>
          <w:bCs/>
          <w:color w:val="2a2a2a"/>
          <w:sz w:val="18"/>
          <w:szCs w:val="18"/>
        </w:rPr>
        <w:t xml:space="preserve">§13.2  </w:t>
      </w:r>
      <w:r>
        <w:rPr>
          <w:rFonts w:ascii="Garamond" w:cs="Garamond" w:eastAsia="Garamond" w:hAnsi="Garamond"/>
          <w:b w:val="false"/>
          <w:bCs w:val="false"/>
          <w:i/>
          <w:iCs/>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a2a"/>
          <w:sz w:val="22"/>
          <w:szCs w:val="22"/>
        </w:rPr>
        <w:t xml:space="preserve">Citizens may propose legislation directly to the Legislature. The petition process proceeds in two phases, each authenticated through the NVS using Citizen Voting Credentials. Phase One, lasting up to 10 months, requires signatures from citizens equal to a percentage of eligible voters — defined by statute at not less than 0.5% nor more than 3% — in each of at least one-third of all States and Territories. Phase Two, lasting up to 10 months following Phase One’s completion, requires signatures from 10% of eligible voters nationally; signatures gathered in Phase One carry over and count toward this threshold. Once the threshold is met, the Legislature must vote on the proposal within 90 days; if it fails or is not voted on, the proposal proceeds to a direct citizen referendum; passage requires 60% of votes cast with at least 50% citizen participation. A failed initiative may not be re-initiated on the same or substantially similar grounds.</w:t>
      </w:r>
    </w:p>
    <w:p>
      <w:pPr>
        <w:spacing w:after="60" w:before="200"/>
        <w:ind w:left="431"/>
        <w:jc w:val="left"/>
      </w:pPr>
      <w:r>
        <w:rPr>
          <w:rFonts w:ascii="Courier New" w:cs="Courier New" w:eastAsia="Courier New" w:hAnsi="Courier New"/>
          <w:b/>
          <w:bCs/>
          <w:color w:val="2a2a2a"/>
          <w:sz w:val="18"/>
          <w:szCs w:val="18"/>
        </w:rPr>
        <w:t xml:space="preserve">§13.3  </w:t>
      </w:r>
      <w:r>
        <w:rPr>
          <w:rFonts w:ascii="Garamond" w:cs="Garamond" w:eastAsia="Garamond" w:hAnsi="Garamond"/>
          <w:b w:val="false"/>
          <w:bCs w:val="false"/>
          <w:i/>
          <w:i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a2a"/>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(§7.2); public confirmation of a Supreme Court justice under the Senate bypass mechanism (§4.4.a); and public election removal of a constitutional officer under §9.14. The Legislature may not set a higher or lower threshold for any direct electoral supermajority determination without a constitutional amendment. This provision does not govern the optional referendum under §13.1 (simple majority of votes cast subject to a 50% turnout ceiling) or the citizen legislative initiative under §13.2 (60% of votes cast with at least 50% participation where the Legislature has not acted); it governs determinations that require constitutional supermajority democratic consent.</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XIV — Military Authorization and Accountability</w:t>
      </w:r>
    </w:p>
    <w:p>
      <w:pPr>
        <w:spacing w:after="60" w:before="200"/>
        <w:ind w:left="431"/>
        <w:jc w:val="left"/>
      </w:pPr>
      <w:r>
        <w:rPr>
          <w:rFonts w:ascii="Courier New" w:cs="Courier New" w:eastAsia="Courier New" w:hAnsi="Courier New"/>
          <w:b/>
          <w:bCs/>
          <w:color w:val="2a2a2a"/>
          <w:sz w:val="18"/>
          <w:szCs w:val="18"/>
        </w:rPr>
        <w:t xml:space="preserve">§14.1  </w:t>
      </w:r>
      <w:r>
        <w:rPr>
          <w:rFonts w:ascii="Garamond" w:cs="Garamond" w:eastAsia="Garamond" w:hAnsi="Garamond"/>
          <w:b w:val="false"/>
          <w:bCs w:val="false"/>
          <w:i/>
          <w:iCs/>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a2a"/>
          <w:sz w:val="22"/>
          <w:szCs w:val="22"/>
        </w:rPr>
        <w:t xml:space="preserve">Military force serves two authorized purposes: protection of the Republic's territory, citizens, and treaty allies; and, with legislative authorization stating the specific grounds, response to crimes against humanity as defined under international law. The Legislature applies that definition directly in each authorization; no prior international recognition or finding is required.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 The SC’s review under this section is limited to whether the Legislature linked the authorization to one of the purposes enumerated above; the SC does not review whether the underlying facts satisfy that purpose’s legal threshold.</w:t>
      </w:r>
    </w:p>
    <w:p>
      <w:pPr>
        <w:spacing w:after="60" w:before="200"/>
        <w:ind w:left="431"/>
        <w:jc w:val="left"/>
      </w:pPr>
      <w:r>
        <w:rPr>
          <w:rFonts w:ascii="Courier New" w:cs="Courier New" w:eastAsia="Courier New" w:hAnsi="Courier New"/>
          <w:b/>
          <w:bCs/>
          <w:color w:val="2a2a2a"/>
          <w:sz w:val="18"/>
          <w:szCs w:val="18"/>
        </w:rPr>
        <w:t xml:space="preserve">§14.2  </w:t>
      </w:r>
      <w:r>
        <w:rPr>
          <w:rFonts w:ascii="Garamond" w:cs="Garamond" w:eastAsia="Garamond" w:hAnsi="Garamond"/>
          <w:b w:val="false"/>
          <w:bCs w:val="false"/>
          <w:i/>
          <w:iCs/>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Military expenditure requires legislative authorization under §14.1 and budget passage under §2.5; the Legat Consul executes that funding. Where authorization specifies categories or amounts, the Legat Consul is bound by them; otherwise, the Legat Consul determines allocation within the authorized total. The Legat Consul answers public questions before the Senate at intervals defined by statute and provides classified briefings to the Senate during active operations. Neither obligation constitutes Senate approval or conditions the Legat Consul’s authority to act. The Legat Consul keeps the Civic Consul informed of expenditure and its budgetary implications through the Council of Ministers under §2.14. When legislative authorization expires or lapses, all expenditure ceases; contracts may wind down for up to 90 days, with no new commitments permitted after expiration. The EM audits expenditure during active operations and publishes findings to the NRS, including intelligence activities conducted in support of those operations, published in classified summary form. The EM publishes a comprehensive accountability report within 180 days of an operation’s conclusion.</w:t>
      </w:r>
    </w:p>
    <w:p>
      <w:pPr>
        <w:spacing w:after="60" w:before="200"/>
        <w:ind w:left="431"/>
        <w:jc w:val="left"/>
      </w:pPr>
      <w:r>
        <w:rPr>
          <w:rFonts w:ascii="Courier New" w:cs="Courier New" w:eastAsia="Courier New" w:hAnsi="Courier New"/>
          <w:b/>
          <w:bCs/>
          <w:color w:val="2a2a2a"/>
          <w:sz w:val="18"/>
          <w:szCs w:val="18"/>
        </w:rPr>
        <w:t xml:space="preserve">§14.3  </w:t>
      </w:r>
      <w:r>
        <w:rPr>
          <w:rFonts w:ascii="Garamond" w:cs="Garamond" w:eastAsia="Garamond" w:hAnsi="Garamond"/>
          <w:b w:val="false"/>
          <w:bCs w:val="false"/>
          <w:i/>
          <w:iCs/>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a2a"/>
          <w:sz w:val="22"/>
          <w:szCs w:val="22"/>
        </w:rPr>
        <w:t xml:space="preserve">Within the period defined by statute following legislative military authorization being renewed for a second time, the Legat Consul submits a Transition and Reconstruction Plan to the Senate specifying the Republic’s post-conflict obligations: status of alliance obligations, civilian reconstruction support, transitional justice support, and withdrawal timeline. The Senate reviews and approves the Plan, and may amend it in consultation and coordination with the Legat Consul. The approved Plan is published to the NRS and is binding on both executives within their respective domains. Legislative authorization may not be renewed beyond that point unless the Senate has approved a Plan; where authorization is not renewed, expenditure ceases under §14.2.</w:t>
      </w:r>
    </w:p>
    <w:p>
      <w:pPr>
        <w:spacing w:after="60" w:before="200"/>
        <w:ind w:left="431"/>
        <w:jc w:val="left"/>
      </w:pPr>
      <w:r>
        <w:rPr>
          <w:rFonts w:ascii="Courier New" w:cs="Courier New" w:eastAsia="Courier New" w:hAnsi="Courier New"/>
          <w:b/>
          <w:bCs/>
          <w:color w:val="2a2a2a"/>
          <w:sz w:val="18"/>
          <w:szCs w:val="18"/>
        </w:rPr>
        <w:t xml:space="preserve">§14.4  </w:t>
      </w:r>
      <w:r>
        <w:rPr>
          <w:rFonts w:ascii="Garamond" w:cs="Garamond" w:eastAsia="Garamond" w:hAnsi="Garamond"/>
          <w:b w:val="false"/>
          <w:bCs w:val="false"/>
          <w:i/>
          <w:iCs/>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an existing treaty requires military action, the Legat Consul may act immediately and must notify both chambers and the Civic Consul within 12 hours, citing the specific treaty obligation triggered. Senate ratification of a treaty by the required supermajority constitutes legislative authorization for all military actions required by that treaty when its obligations are triggered; no separate legislative authorization is required for operations the treaty obligates. The Legislature’s authority over treaty-based operations runs through appropriations and through the treaty withdrawal mechanism under §3.6. The oversight and accountability provisions of §14.2 apply from the moment of action. Where the SC determines that a treaty’s trigger conditions were not met, military operations are limited to a defensive posture, and both chambers of the Legislature must vote on whether to authorize continuation of the action no later than 30 days after the SC’s decision is published. An affirmative vote in both chambers constitutes legislative authorization, and the action proceeds under the ordinary terms of this Article from that point. Absent an affirmative vote within the 30-day period, §14.2’s expiration and wind-down provisions apply.</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XV — Territorial Structure and Statehood</w:t>
      </w:r>
    </w:p>
    <w:p>
      <w:pPr>
        <w:spacing w:after="60" w:before="200"/>
        <w:ind w:left="431"/>
        <w:jc w:val="left"/>
      </w:pPr>
      <w:r>
        <w:rPr>
          <w:rFonts w:ascii="Courier New" w:cs="Courier New" w:eastAsia="Courier New" w:hAnsi="Courier New"/>
          <w:b/>
          <w:bCs/>
          <w:color w:val="2a2a2a"/>
          <w:sz w:val="18"/>
          <w:szCs w:val="18"/>
        </w:rPr>
        <w:t xml:space="preserve">§15.1  </w:t>
      </w:r>
      <w:r>
        <w:rPr>
          <w:rFonts w:ascii="Garamond" w:cs="Garamond" w:eastAsia="Garamond" w:hAnsi="Garamond"/>
          <w:b w:val="false"/>
          <w:bCs w:val="false"/>
          <w:i/>
          <w:iCs/>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a2a"/>
          <w:sz w:val="22"/>
          <w:szCs w:val="22"/>
        </w:rPr>
        <w:t xml:space="preserve">A Territory operates under a Territorial Compact — the restructuring agreement under §15.4 or the incorporation agreement under §15.6 where the Territory results from one of those processes, or otherwise a standard statutory framework the Legislature defines, which must provide for an elected local governing authority over matters of local concern —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2a2a2a"/>
          <w:sz w:val="18"/>
          <w:szCs w:val="18"/>
        </w:rPr>
        <w:t xml:space="preserve">§15.2  </w:t>
      </w:r>
      <w:r>
        <w:rPr>
          <w:rFonts w:ascii="Garamond" w:cs="Garamond" w:eastAsia="Garamond" w:hAnsi="Garamond"/>
          <w:b w:val="false"/>
          <w:bCs w:val="false"/>
          <w:i/>
          <w:iCs/>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pathway from Territory to State is automatic upon passing the Statehood Audit and Provisional Membership Period — no political vote is required once the audit is passed. The audit has two components: the LM audits fiscal integrity; the JM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LM may publish a provisional audit status finding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2a2a2a"/>
          <w:sz w:val="18"/>
          <w:szCs w:val="18"/>
        </w:rPr>
        <w:t xml:space="preserve">§15.3  </w:t>
      </w:r>
      <w:r>
        <w:rPr>
          <w:rFonts w:ascii="Garamond" w:cs="Garamond" w:eastAsia="Garamond" w:hAnsi="Garamond"/>
          <w:b w:val="false"/>
          <w:bCs w:val="false"/>
          <w:i/>
          <w:iCs/>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State enters Mandatory Devolution upon three consecutive annual Statehood Audit findings of failure published by the LM. After each failing audit, the LM publishes an Early Warning specifying compliance requirements; the State must publish a Remediation Plan within the period defined by statute. After three consecutive failures, citizens vote, administered by the Elections Panel under Article XI, on one of two paths: a two-year federal remediation commission, or Provisional status.
A State in Provisional status retains its existing governing structure and continues under the Statehood Audit cycle; passing the Statehood Audit restores full Statehood immediately, with no additional vote required. Where Provisional status continues for one year without a passed audit, citizens vote, administered by the Elections Panel under Article XI, on the principle of pursuing devolution, on the same terms as §15.4’s voluntary process. An affirmative vote proceeds through negotiation and Senate ratification under §15.4; absent an affirmative vote, the State continues in Provisional status under this section.
Sitting senators complete their current elected terms — Senate seats are not vacated — but no new Senate elections may be held while a State remains in Provisional status or after devolution takes effect, until Statehood is restored; existing Assembly members complete their current terms; Article I rights and social state protections continue without interruption.
Within 30 days of a State entering Provisional status,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2a2a2a"/>
          <w:sz w:val="18"/>
          <w:szCs w:val="18"/>
        </w:rPr>
        <w:t xml:space="preserve">§15.4  </w:t>
      </w:r>
      <w:r>
        <w:rPr>
          <w:rFonts w:ascii="Garamond" w:cs="Garamond" w:eastAsia="Garamond" w:hAnsi="Garamond"/>
          <w:b w:val="false"/>
          <w:bCs w:val="false"/>
          <w:i/>
          <w:iCs/>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State may voluntarily restructure its relationship with the Republic. The process requires, first, a State referendum achieving 60% approval of eligible voters on the principle of pursuing devolution; and second, upon approval, negotiation of a restructuring agreement between the State and the Legislature, ratified by Senate approval by 2/3 majority. The agreement specifies asset and liability allocation, transition timeline, constitutional status of successor jurisdictions, fiscal obligations to the Republic, and continuing obligations; it is published to the NRS and legally binding. Social state protections and Article I rights continue through the transition.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2a2a2a"/>
          <w:sz w:val="18"/>
          <w:szCs w:val="18"/>
        </w:rPr>
        <w:t xml:space="preserve">§15.5  </w:t>
      </w:r>
      <w:r>
        <w:rPr>
          <w:rFonts w:ascii="Garamond" w:cs="Garamond" w:eastAsia="Garamond" w:hAnsi="Garamond"/>
          <w:b w:val="false"/>
          <w:bCs w:val="false"/>
          <w:i/>
          <w:iCs/>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a2a"/>
          <w:sz w:val="22"/>
          <w:szCs w:val="22"/>
        </w:rPr>
        <w:t xml:space="preserve">A Territory resulting from mandatory or voluntary devolution enters the Statehood re-qualification pathway under §15.2 immediately upon the effective date of devolution. No additional political vote is required to begin the pathway. Where a defined geographic subdivision of the Territory separately achieves Statehood under §15.2 or merges with an existing State under §15.4, the remainder continues under this section without interruption or loss of any progress already accrued toward re-qualification.</w:t>
      </w:r>
    </w:p>
    <w:p>
      <w:pPr>
        <w:spacing w:after="60" w:before="200"/>
        <w:ind w:left="431"/>
        <w:jc w:val="left"/>
      </w:pPr>
      <w:r>
        <w:rPr>
          <w:rFonts w:ascii="Courier New" w:cs="Courier New" w:eastAsia="Courier New" w:hAnsi="Courier New"/>
          <w:b/>
          <w:bCs/>
          <w:color w:val="2a2a2a"/>
          <w:sz w:val="18"/>
          <w:szCs w:val="18"/>
        </w:rPr>
        <w:t xml:space="preserve">§15.6  </w:t>
      </w:r>
      <w:r>
        <w:rPr>
          <w:rFonts w:ascii="Garamond" w:cs="Garamond" w:eastAsia="Garamond" w:hAnsi="Garamond"/>
          <w:b w:val="false"/>
          <w:bCs w:val="false"/>
          <w:i/>
          <w:iCs/>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Upon confirmation, the entity and the Legislature negotiate an incorporation agreement specifying a transition period not exceeding 48 months; the Legislature ratifies the agreement by 2/3 of both chambers. Under §9.1, either chamber may request a JM assessment of the entity's compliance with §1.19.b before that ratification vote; published JM findings must be given due consideration. Any person with standing may challenge the incorporation before the SC on the ground that the entity systematically violates §1.19.b. No constitutional officer may condition treaty obligations, trade relations, military cooperation, or foreign aid on any entity's decision to initiate or advance this process. An indigenous nation recognized under Article XVI must make a status election under §16.7 before this provision applies.</w:t>
      </w:r>
    </w:p>
    <w:p>
      <w:pPr>
        <w:spacing w:after="60" w:before="200"/>
        <w:ind w:left="431"/>
        <w:jc w:val="left"/>
      </w:pPr>
      <w:r>
        <w:rPr>
          <w:rFonts w:ascii="Courier New" w:cs="Courier New" w:eastAsia="Courier New" w:hAnsi="Courier New"/>
          <w:b/>
          <w:bCs/>
          <w:color w:val="2a2a2a"/>
          <w:sz w:val="18"/>
          <w:szCs w:val="18"/>
        </w:rPr>
        <w:t xml:space="preserve">§15.7  </w:t>
      </w:r>
      <w:r>
        <w:rPr>
          <w:rFonts w:ascii="Garamond" w:cs="Garamond" w:eastAsia="Garamond" w:hAnsi="Garamond"/>
          <w:b w:val="false"/>
          <w:bCs w:val="false"/>
          <w:i/>
          <w:iCs/>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 A status election under §16.7 constitutes the consent mechanism required by this section for the purposes of indigenous territorial transitions; no additional Popular Ratification is required.</w:t>
      </w:r>
    </w:p>
    <w:p>
      <w:pPr>
        <w:spacing w:after="60" w:before="200"/>
        <w:ind w:left="431"/>
        <w:jc w:val="left"/>
      </w:pPr>
      <w:r>
        <w:rPr>
          <w:rFonts w:ascii="Courier New" w:cs="Courier New" w:eastAsia="Courier New" w:hAnsi="Courier New"/>
          <w:b/>
          <w:bCs/>
          <w:color w:val="2a2a2a"/>
          <w:sz w:val="18"/>
          <w:szCs w:val="18"/>
        </w:rPr>
        <w:t xml:space="preserve">§15.8  </w:t>
      </w:r>
      <w:r>
        <w:rPr>
          <w:rFonts w:ascii="Garamond" w:cs="Garamond" w:eastAsia="Garamond" w:hAnsi="Garamond"/>
          <w:b w:val="false"/>
          <w:bCs w:val="false"/>
          <w:i/>
          <w:iCs/>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a2a"/>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ind w:left="431"/>
        <w:jc w:val="left"/>
      </w:pPr>
      <w:r>
        <w:rPr>
          <w:rFonts w:ascii="Courier New" w:cs="Courier New" w:eastAsia="Courier New" w:hAnsi="Courier New"/>
          <w:b/>
          <w:bCs/>
          <w:color w:val="2a2a2a"/>
          <w:sz w:val="18"/>
          <w:szCs w:val="18"/>
        </w:rPr>
        <w:t xml:space="preserve">§15.9  </w:t>
      </w:r>
      <w:r>
        <w:rPr>
          <w:rFonts w:ascii="Garamond" w:cs="Garamond" w:eastAsia="Garamond" w:hAnsi="Garamond"/>
          <w:b w:val="false"/>
          <w:bCs w:val="false"/>
          <w:i/>
          <w:iCs/>
          <w:color w:val="1B2A4A"/>
          <w:sz w:val="22"/>
          <w:szCs w:val="22"/>
        </w:rPr>
        <w:t xml:space="preserve">Voluntary State Independence</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State may seek independence from the Republic through a two-stage process. Stage One requires the State legislature to resolve by 2/3 majority to submit the independence question to the State's eligible voters; the referendum must achieve 60% of votes cast with at least 60% participation among the State's eligible voters; a failed referendum may not be reinitiated on the same or substantially similar grounds for five years. Upon certification of the referendum result, the Elections Panel publishes the independence petition to the NRS; the election is irrevocable from the moment of publication. The Republic may not prefer, discourage, or offer inducements toward any independence petition or referendum; the Republic must provide factual information about the process upon request. Stage Two requires both chambers to hold a concurrent ratification vote within 90 days of NRS publication; Assembly members elected from districts within the petitioning State and senators whose allocation derives from the petitioning State's population are recused from this vote, and the required 60% majority and quorum for each chamber are calculated from the remaining seated members; if either chamber fails to achieve 60% or fails to vote within 90 days, the petition lapses and the State may reinitiate Stage One without restriction.</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XVI — Indigenous Sovereignty</w:t>
      </w:r>
    </w:p>
    <w:p>
      <w:pPr>
        <w:spacing w:after="60" w:before="200"/>
        <w:ind w:left="431"/>
        <w:jc w:val="left"/>
      </w:pPr>
      <w:r>
        <w:rPr>
          <w:rFonts w:ascii="Courier New" w:cs="Courier New" w:eastAsia="Courier New" w:hAnsi="Courier New"/>
          <w:b/>
          <w:bCs/>
          <w:color w:val="2a2a2a"/>
          <w:sz w:val="18"/>
          <w:szCs w:val="18"/>
        </w:rPr>
        <w:t xml:space="preserve">§16.1  </w:t>
      </w:r>
      <w:r>
        <w:rPr>
          <w:rFonts w:ascii="Garamond" w:cs="Garamond" w:eastAsia="Garamond" w:hAnsi="Garamond"/>
          <w:b w:val="false"/>
          <w:bCs w:val="false"/>
          <w:i/>
          <w:iCs/>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a2a"/>
          <w:sz w:val="22"/>
          <w:szCs w:val="22"/>
        </w:rPr>
        <w:t xml:space="preserve">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pPr>
        <w:spacing w:after="60" w:before="200"/>
        <w:ind w:left="431"/>
        <w:jc w:val="left"/>
      </w:pPr>
      <w:r>
        <w:rPr>
          <w:rFonts w:ascii="Courier New" w:cs="Courier New" w:eastAsia="Courier New" w:hAnsi="Courier New"/>
          <w:b/>
          <w:bCs/>
          <w:color w:val="2a2a2a"/>
          <w:sz w:val="18"/>
          <w:szCs w:val="18"/>
        </w:rPr>
        <w:t xml:space="preserve">§16.2  </w:t>
      </w:r>
      <w:r>
        <w:rPr>
          <w:rFonts w:ascii="Garamond" w:cs="Garamond" w:eastAsia="Garamond" w:hAnsi="Garamond"/>
          <w:b w:val="false"/>
          <w:bCs w:val="false"/>
          <w:i/>
          <w:iCs/>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Civic Consul, with JM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2a2a2a"/>
          <w:sz w:val="18"/>
          <w:szCs w:val="18"/>
        </w:rPr>
        <w:t xml:space="preserve">§16.3  </w:t>
      </w:r>
      <w:r>
        <w:rPr>
          <w:rFonts w:ascii="Garamond" w:cs="Garamond" w:eastAsia="Garamond" w:hAnsi="Garamond"/>
          <w:b w:val="false"/>
          <w:bCs w:val="false"/>
          <w:i/>
          <w:iCs/>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a2a"/>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2a2a2a"/>
          <w:sz w:val="18"/>
          <w:szCs w:val="18"/>
        </w:rPr>
        <w:t xml:space="preserve">§16.4  </w:t>
      </w:r>
      <w:r>
        <w:rPr>
          <w:rFonts w:ascii="Garamond" w:cs="Garamond" w:eastAsia="Garamond" w:hAnsi="Garamond"/>
          <w:b w:val="false"/>
          <w:bCs w:val="false"/>
          <w:i/>
          <w:iCs/>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a2a"/>
          <w:sz w:val="22"/>
          <w:szCs w:val="22"/>
        </w:rPr>
        <w:t xml:space="preserve">Each compact establishes a working mechanism for implementation and day-to-day administration in a form the parties agree. The Legat Consul designates a ministerial counterpart within the Legat Consul’s office for each compact or treaty relationship recognized under this Article; this designation is published to the NRS. Disputes not resolved through the compact’s working mechanism are referred to independent adjudication on terms the compact specifies. Constitutional questions arising from compact interpretation are appealed to the SC, which must rule within 90 days of petition; where the SC fails to rule within 90 days, the Nation’s position is upheld by constitutional operation pending any subsequent ruling. The Executive Monitor audits the Republic’s compliance with its compact obligations annually and publishes findings to the NRS. Compact terms may be modified only by mutual agreement, negotiated by the Legat Consul and ratified by the Senate under §3.6. Compacts are reviewed on a schedule defined in their terms with a minimum review every 20 years; either party may request a review outside that schedule. A compact continues in force until the Nation files a valid status election under §16.7. For Territorial Integration, the compact ends upon ratification of the incorporation agreement under §15.6. For Full Sovereign Independence, the compact ends upon ratification of the independence treaty under §16.7, or upon the provisional framework taking effect under §16.7.a if no treaty is concluded.</w:t>
      </w:r>
    </w:p>
    <w:p>
      <w:pPr>
        <w:spacing w:after="60" w:before="200"/>
        <w:ind w:left="431"/>
        <w:jc w:val="left"/>
      </w:pPr>
      <w:r>
        <w:rPr>
          <w:rFonts w:ascii="Courier New" w:cs="Courier New" w:eastAsia="Courier New" w:hAnsi="Courier New"/>
          <w:b/>
          <w:bCs/>
          <w:color w:val="2a2a2a"/>
          <w:sz w:val="18"/>
          <w:szCs w:val="18"/>
        </w:rPr>
        <w:t xml:space="preserve">§16.5  </w:t>
      </w:r>
      <w:r>
        <w:rPr>
          <w:rFonts w:ascii="Garamond" w:cs="Garamond" w:eastAsia="Garamond" w:hAnsi="Garamond"/>
          <w:b w:val="false"/>
          <w:bCs w:val="false"/>
          <w:i/>
          <w:iCs/>
          <w:color w:val="1B2A4A"/>
          <w:sz w:val="22"/>
          <w:szCs w:val="22"/>
        </w:rPr>
        <w:t xml:space="preserve">Federal Obligations and Emergency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holds affirmative obligations to compact territories: federal education funding, healthcare access, infrastructure investment, and emergency response. These obligations are enforceable by the Nation through the compact’s dispute resolution mechanism. Any resident of compact territory who believes an Article I right has been violated may bring an Emergency Rights Writ directly to the SC, bypassing all lower courts and the compact’s dispute resolution mechanism; the SC must rule within 7 days; where the SC fails to rule within 7 days, the Writ is granted and the alleged violation is treated as confirmed pending full SC review.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2a2a2a"/>
          <w:sz w:val="18"/>
          <w:szCs w:val="18"/>
        </w:rPr>
        <w:t xml:space="preserve">§16.6  </w:t>
      </w:r>
      <w:r>
        <w:rPr>
          <w:rFonts w:ascii="Garamond" w:cs="Garamond" w:eastAsia="Garamond" w:hAnsi="Garamond"/>
          <w:b w:val="false"/>
          <w:bCs w:val="false"/>
          <w:i/>
          <w:iCs/>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a2a"/>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§16.2 and §16.4. Where a treaty’s administration depends on a predecessor-government institution or mechanism with no Republic equivalent, the treaty’s substantive rights and obligations continue in full regardless; the Legat Consul and the Nation must begin discussions to identify an analogous Republic institution or a negotiated substitute mechanism within the Republic’s first year, and pending resolution, the ministerial counterpart designated under §16.4 administers the treaty’s institutional functions on an interim basis. A treaty alone does not constitute a compact under this Article; the protections specific to compacts under §16.3 and §16.4 apply only where the Nation holds a compact, and a Nation whose relationship with the Republic rests solely on a predecessor treaty may petition for a compact under §16.2 at any time, on the same terms as a Nation with no prior treaty.</w:t>
      </w:r>
    </w:p>
    <w:p>
      <w:pPr>
        <w:spacing w:after="60" w:before="200"/>
        <w:ind w:left="431"/>
        <w:jc w:val="left"/>
      </w:pPr>
      <w:r>
        <w:rPr>
          <w:rFonts w:ascii="Courier New" w:cs="Courier New" w:eastAsia="Courier New" w:hAnsi="Courier New"/>
          <w:b/>
          <w:bCs/>
          <w:color w:val="2a2a2a"/>
          <w:sz w:val="18"/>
          <w:szCs w:val="18"/>
        </w:rPr>
        <w:t xml:space="preserve">§16.7  </w:t>
      </w:r>
      <w:r>
        <w:rPr>
          <w:rFonts w:ascii="Garamond" w:cs="Garamond" w:eastAsia="Garamond" w:hAnsi="Garamond"/>
          <w:b w:val="false"/>
          <w:bCs w:val="false"/>
          <w:i/>
          <w:iCs/>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An indigenous nation recognized under this Article holds the constitutional right to initiate a status transition through its own democratic or traditional governance process. Three status options are available: (a) Continued Status — the Nation’s existing compact or treaty relationship under this Article continues (default; no election required to remain); (b) Territorial Integration — election to pursue territorial incorporation through §15.6, entering as a Territory with the standard §15.2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Council of Ministers under §2.14, with the Legat Consul holding primary authority on border and defense terms under §2.1 and the Civic Consul holding primary authority on domestic implementation terms under §2.5; the Legislature ratifies the treaty by 2/3 of both chambers.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2a2a2a"/>
          <w:sz w:val="18"/>
          <w:szCs w:val="18"/>
        </w:rPr>
        <w:t xml:space="preserve">§16.7.a  </w:t>
      </w:r>
      <w:r>
        <w:rPr>
          <w:rFonts w:ascii="Garamond" w:cs="Garamond" w:eastAsia="Garamond" w:hAnsi="Garamond"/>
          <w:b w:val="false"/>
          <w:bCs w:val="false"/>
          <w:i/>
          <w:iCs/>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status election under §16.7 requires: (1) a decision by the nation's own governance process, meeting the standards the nation itself defines for major governance decisions; and (2) publication of the election to the NRS within the period defined by statute following the governance decision. An election of Territorial Integration constitutes the principle step required by §15.6; once published, the Nation and the Legislature proceed directly to negotiation of the incorporation agreement under §15.6, which the Legislature ratifies by 2/3 of both chambers. A status election is irrevocable — a Nation that elects Territorial Integration or Full Sovereign Independence may not subsequently return to Article XVI status. Once a Nation has transitioned to Territory or State status, any further changes follow the standard constitutional processes applicable to that status under Articles XIII and XIX — including mandatory devolution under §15.3 if three consecutive Statehood Audits are failed. A Territory or State that formerly held Article XVI status has no special pathway back to it;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Article XVI status. Where no treaty is concluded within 24 months following a status election of Full Sovereign Independence, either party may propose one 12-month extension by mutual agreement published to the NRS. Absent a concluded treaty or a mutually agreed extension, independence takes effect with a provisional framework: existing compact terms govern borders, trade, and infrastructure on a provisional basis until replaced by treaty; citizenship arrangements follow §5.1; the Legat Consul publishes the provisional framework to the NRS. Either party may petition the SC to resolve specific disputes within the provisional framework. At ratification, the Republic must formally notify all recognized indigenous nations of their rights under §16.7.</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XVII — Constitutional Amendments</w:t>
      </w:r>
    </w:p>
    <w:p>
      <w:pPr>
        <w:spacing w:after="60" w:before="200"/>
        <w:ind w:left="431"/>
        <w:jc w:val="left"/>
      </w:pPr>
      <w:r>
        <w:rPr>
          <w:rFonts w:ascii="Courier New" w:cs="Courier New" w:eastAsia="Courier New" w:hAnsi="Courier New"/>
          <w:b/>
          <w:bCs/>
          <w:color w:val="2a2a2a"/>
          <w:sz w:val="18"/>
          <w:szCs w:val="18"/>
        </w:rPr>
        <w:t xml:space="preserve">§17.1  </w:t>
      </w:r>
      <w:r>
        <w:rPr>
          <w:rFonts w:ascii="Garamond" w:cs="Garamond" w:eastAsia="Garamond" w:hAnsi="Garamond"/>
          <w:b w:val="false"/>
          <w:bCs w:val="false"/>
          <w:i/>
          <w:iCs/>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a2a"/>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 proposed constitutional amendment proceeds through the same two-phase petition process as §13.2, with Phase Two requiring signatures from 15% of eligible voters nationally rather than §13.2’s 10%. Once the Phase Two threshold is met, the proposal proceeds directly to a national referendum, with no legislative or executive action required to place it on the ballot; the Elections Panel administers the referendum within 180 days of Phase Two threshold verification. Passage requires 70% of votes cast with a minimum 65% citizen participation; where the participation floor is not met the initiative fails and may not be resubmitted on the same or substantially similar grounds for five years. Citizen initiative amendments are subject to §17.3 consistency analysis by the JM, advisory only. Amendment of the following provisions requires Popular Ratification regardless of the amendment’s origin: the Monitor selection mechanisms and independence protections (§9.2–§9.4), the Monitor information-only mandate and non-dependency principle (§9.1), the Monitor funding guarantee (§9.10), the NRS architecture and permanence requirements (§10.1), and the Elections Panel and NRS Panel independence (§11.1). These provisions may not be amended by State Ratification alone; a Citizen Initiative Amendment satisfies this requirement through its own referendum under this section without separately clearing the Popular Ratification threshold.</w:t>
      </w:r>
    </w:p>
    <w:p>
      <w:pPr>
        <w:spacing w:after="60" w:before="200"/>
        <w:ind w:left="431"/>
        <w:jc w:val="left"/>
      </w:pPr>
      <w:r>
        <w:rPr>
          <w:rFonts w:ascii="Courier New" w:cs="Courier New" w:eastAsia="Courier New" w:hAnsi="Courier New"/>
          <w:b/>
          <w:bCs/>
          <w:color w:val="2a2a2a"/>
          <w:sz w:val="18"/>
          <w:szCs w:val="18"/>
        </w:rPr>
        <w:t xml:space="preserve">§17.2  </w:t>
      </w:r>
      <w:r>
        <w:rPr>
          <w:rFonts w:ascii="Garamond" w:cs="Garamond" w:eastAsia="Garamond" w:hAnsi="Garamond"/>
          <w:b w:val="false"/>
          <w:bCs w:val="false"/>
          <w:i/>
          <w:iCs/>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a2a"/>
          <w:sz w:val="22"/>
          <w:szCs w:val="22"/>
        </w:rPr>
        <w:t xml:space="preserve">Neither the Legat Consul nor the Civic Consul has any role in the constitutional amendment process. No signature required. No veto available. An amendment takes effect immediately upon LM certification (State Ratification), Elections Panel certification (Popular Ratification), or Elections Panel certification (Citizen Initiative Amendment), and NRS publication — no implementation delay, no executive discretion over timing.</w:t>
      </w:r>
    </w:p>
    <w:p>
      <w:pPr>
        <w:spacing w:after="60" w:before="200"/>
        <w:ind w:left="431"/>
        <w:jc w:val="left"/>
      </w:pPr>
      <w:r>
        <w:rPr>
          <w:rFonts w:ascii="Courier New" w:cs="Courier New" w:eastAsia="Courier New" w:hAnsi="Courier New"/>
          <w:b/>
          <w:bCs/>
          <w:color w:val="2a2a2a"/>
          <w:sz w:val="18"/>
          <w:szCs w:val="18"/>
        </w:rPr>
        <w:t xml:space="preserve">§17.3  </w:t>
      </w:r>
      <w:r>
        <w:rPr>
          <w:rFonts w:ascii="Garamond" w:cs="Garamond" w:eastAsia="Garamond" w:hAnsi="Garamond"/>
          <w:b w:val="false"/>
          <w:bCs w:val="false"/>
          <w:i/>
          <w:iCs/>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a2a"/>
          <w:sz w:val="22"/>
          <w:szCs w:val="22"/>
        </w:rPr>
        <w:t xml:space="preserve">An amendment that is logically inconsistent with an existing provision must either explicitly repeal the inconsistent provision or the inconsistency is treated as void. The JM publishes a consistency analysis of any proposed amendment within 30 days of passage by both chambers for a parliamentary amendment, or within 30 days of Elections Panel Phase Two threshold verification for a citizen initiative amendment — advisory, but a permanent public record of what the amendment changes. If a ratified amendment's consistency with existing provisions is disputed, the SC resolves the dispute on expedited review on petition of any person with standing; the SC may not refuse to apply an amendment that has met its procedural thresholds, except that no constitutional amendment may extinguish a right designated non-derogable under §1.19.b; any amendment purporting to do so is void to the extent of the extinguishment, and the SC must so rule on petition of any person with standing.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2a2a2a"/>
          <w:sz w:val="18"/>
          <w:szCs w:val="18"/>
        </w:rPr>
        <w:t xml:space="preserve">§17.4  </w:t>
      </w:r>
      <w:r>
        <w:rPr>
          <w:rFonts w:ascii="Garamond" w:cs="Garamond" w:eastAsia="Garamond" w:hAnsi="Garamond"/>
          <w:b w:val="false"/>
          <w:bCs w:val="false"/>
          <w:i/>
          <w:iCs/>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XVIII — Federal Property and National Trust</w:t>
      </w:r>
    </w:p>
    <w:p>
      <w:pPr>
        <w:spacing w:after="60" w:before="200"/>
        <w:ind w:left="431"/>
        <w:jc w:val="left"/>
      </w:pPr>
      <w:r>
        <w:rPr>
          <w:rFonts w:ascii="Courier New" w:cs="Courier New" w:eastAsia="Courier New" w:hAnsi="Courier New"/>
          <w:b/>
          <w:bCs/>
          <w:color w:val="2a2a2a"/>
          <w:sz w:val="18"/>
          <w:szCs w:val="18"/>
        </w:rPr>
        <w:t xml:space="preserve">§18.1  </w:t>
      </w:r>
      <w:r>
        <w:rPr>
          <w:rFonts w:ascii="Garamond" w:cs="Garamond" w:eastAsia="Garamond" w:hAnsi="Garamond"/>
          <w:b w:val="false"/>
          <w:bCs w:val="false"/>
          <w:i/>
          <w:iCs/>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a2a"/>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 disputes over registration validity are resolved under §18.3.</w:t>
      </w:r>
    </w:p>
    <w:p>
      <w:pPr>
        <w:spacing w:after="60" w:before="200"/>
        <w:ind w:left="431"/>
        <w:jc w:val="left"/>
      </w:pPr>
      <w:r>
        <w:rPr>
          <w:rFonts w:ascii="Courier New" w:cs="Courier New" w:eastAsia="Courier New" w:hAnsi="Courier New"/>
          <w:b/>
          <w:bCs/>
          <w:color w:val="2a2a2a"/>
          <w:sz w:val="18"/>
          <w:szCs w:val="18"/>
        </w:rPr>
        <w:t xml:space="preserve">§18.2  </w:t>
      </w:r>
      <w:r>
        <w:rPr>
          <w:rFonts w:ascii="Garamond" w:cs="Garamond" w:eastAsia="Garamond" w:hAnsi="Garamond"/>
          <w:b w:val="false"/>
          <w:bCs w:val="false"/>
          <w:i/>
          <w:iCs/>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holds no territorial sovereignty at its Seat of Government. The Seat is hosted by a State or Territory selected through a competitive process defined by statute; any State or Territory may submit a bid, and the selected host must satisfy minimum requirements published to the NRS in advance of the selection. A State or Territory whose bid is rejected may challenge the selection before the SC on the ground that the selected bid did not satisfy the published requirements. The hosting arrangement grants the federal government Operational Use Rights over the designated footprint under §18.1;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host selection must be reconsidered through a new competitive process no less often than every 20 years; the Legislature may not suspend or indefinitely extend this requirement by statute. Absent a qualifying new selection, the existing arrangement continues.</w:t>
      </w:r>
    </w:p>
    <w:p>
      <w:pPr>
        <w:spacing w:after="60" w:before="200"/>
        <w:ind w:left="431"/>
        <w:jc w:val="left"/>
      </w:pPr>
      <w:r>
        <w:rPr>
          <w:rFonts w:ascii="Courier New" w:cs="Courier New" w:eastAsia="Courier New" w:hAnsi="Courier New"/>
          <w:b/>
          <w:bCs/>
          <w:color w:val="2a2a2a"/>
          <w:sz w:val="18"/>
          <w:szCs w:val="18"/>
        </w:rPr>
        <w:t xml:space="preserve">§18.3  </w:t>
      </w:r>
      <w:r>
        <w:rPr>
          <w:rFonts w:ascii="Garamond" w:cs="Garamond" w:eastAsia="Garamond" w:hAnsi="Garamond"/>
          <w:b w:val="false"/>
          <w:bCs w:val="false"/>
          <w:i/>
          <w:iCs/>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registration validity,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2a2a2a"/>
          <w:sz w:val="18"/>
          <w:szCs w:val="18"/>
        </w:rPr>
        <w:t xml:space="preserve">§18.4  </w:t>
      </w:r>
      <w:r>
        <w:rPr>
          <w:rFonts w:ascii="Garamond" w:cs="Garamond" w:eastAsia="Garamond" w:hAnsi="Garamond"/>
          <w:b w:val="false"/>
          <w:bCs w:val="false"/>
          <w:i/>
          <w:iCs/>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2/3 legislative threshold plus a national referendum administered by the Elections Panel within 180 days of the legislative vote, achieving 60% affirmative support with a minimum 50% citizen participation, and must comply with existing treaties and other obligations established in this article.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pPr>
        <w:spacing w:after="60" w:before="200"/>
        <w:ind w:left="431"/>
        <w:jc w:val="left"/>
      </w:pPr>
      <w:r>
        <w:rPr>
          <w:rFonts w:ascii="Courier New" w:cs="Courier New" w:eastAsia="Courier New" w:hAnsi="Courier New"/>
          <w:b/>
          <w:bCs/>
          <w:color w:val="2a2a2a"/>
          <w:sz w:val="18"/>
          <w:szCs w:val="18"/>
        </w:rPr>
        <w:t xml:space="preserve">§18.5  </w:t>
      </w:r>
      <w:r>
        <w:rPr>
          <w:rFonts w:ascii="Garamond" w:cs="Garamond" w:eastAsia="Garamond" w:hAnsi="Garamond"/>
          <w:b w:val="false"/>
          <w:bCs w:val="false"/>
          <w:i/>
          <w:iCs/>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a2a"/>
          <w:sz w:val="22"/>
          <w:szCs w:val="22"/>
        </w:rPr>
        <w:t xml:space="preserve">Federal operational use rights in Territories follow the same framework as in States under §18.3 and §18.4. Where §18.4 requires host State legislative consent, that consent is not required for a Territory because Territories have no State legislature; instead, the Territory's representative body must publish a written position to the NRS within 60 days of the proposed use right registration; where no position is published within 60 days, registration may proceed; the LM's ongoing audit of territorial use rights encompasses verification of Territory publication compliance and publishes findings to the NRS.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XIX — Transition and Ratification</w:t>
      </w:r>
    </w:p>
    <w:p>
      <w:pPr>
        <w:spacing w:after="60" w:before="200"/>
        <w:ind w:left="431"/>
        <w:jc w:val="left"/>
      </w:pPr>
      <w:r>
        <w:rPr>
          <w:rFonts w:ascii="Courier New" w:cs="Courier New" w:eastAsia="Courier New" w:hAnsi="Courier New"/>
          <w:b/>
          <w:bCs/>
          <w:color w:val="2a2a2a"/>
          <w:sz w:val="18"/>
          <w:szCs w:val="18"/>
        </w:rPr>
        <w:t xml:space="preserve">§19.1  </w:t>
      </w:r>
      <w:r>
        <w:rPr>
          <w:rFonts w:ascii="Garamond" w:cs="Garamond" w:eastAsia="Garamond" w:hAnsi="Garamond"/>
          <w:b w:val="false"/>
          <w:bCs w:val="false"/>
          <w:i/>
          <w:iCs/>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This constitution takes effect upon: (1) interim Elections Panel certification that the NVS is operational and meets §11.2;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 Where the Legislature fails to meet this deadline, the LM publishes a compliance finding to the NRS, and the LM's ongoing audit encompasses the unresolved relationship until the statute is passed.</w:t>
      </w:r>
    </w:p>
    <w:p>
      <w:pPr>
        <w:spacing w:after="60" w:before="200"/>
        <w:ind w:left="431"/>
        <w:jc w:val="left"/>
      </w:pPr>
      <w:r>
        <w:rPr>
          <w:rFonts w:ascii="Courier New" w:cs="Courier New" w:eastAsia="Courier New" w:hAnsi="Courier New"/>
          <w:b/>
          <w:bCs/>
          <w:color w:val="2a2a2a"/>
          <w:sz w:val="18"/>
          <w:szCs w:val="18"/>
        </w:rPr>
        <w:t xml:space="preserve">§19.2  </w:t>
      </w:r>
      <w:r>
        <w:rPr>
          <w:rFonts w:ascii="Garamond" w:cs="Garamond" w:eastAsia="Garamond" w:hAnsi="Garamond"/>
          <w:b w:val="false"/>
          <w:bCs w:val="false"/>
          <w:i/>
          <w:iCs/>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a2a"/>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2a2a2a"/>
          <w:sz w:val="18"/>
          <w:szCs w:val="18"/>
        </w:rPr>
        <w:t xml:space="preserve">§19.3  </w:t>
      </w:r>
      <w:r>
        <w:rPr>
          <w:rFonts w:ascii="Garamond" w:cs="Garamond" w:eastAsia="Garamond" w:hAnsi="Garamond"/>
          <w:b w:val="false"/>
          <w:bCs w:val="false"/>
          <w:i/>
          <w:iCs/>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a2a"/>
          <w:sz w:val="22"/>
          <w:szCs w:val="22"/>
        </w:rPr>
        <w:t xml:space="preserve">All existing government officials serve as caretakers during the Transition Window — restricted to maintaining existing services only; no new permanent legislation. Legislation enacted in violation of this restriction is void; the joint Monitor panel's supervision includes monitoring for such violations and publishing findings to the NRS; any Inhabitant may challenge such legislation before a court of competent jurisdiction. Transition is supervised by a joint Monitor panel of one representative per Monitor; the panel dissolves automatically at the Transition Window's conclusion. During Phase 0, before Monitor Generals are constituted, the interim Elections Panel constitutes the panel from a pre-qualified pool established by the ratification convention; from Phase 2, each Monitor General appoints their representative to the panel for the remainder of the Transition Window. A Monitor General appointment supersedes any interim Elections Panel appointment for that Monitor's seat.</w:t>
      </w:r>
    </w:p>
    <w:p>
      <w:pPr>
        <w:spacing w:after="60" w:before="200"/>
        <w:ind w:left="431"/>
        <w:jc w:val="left"/>
      </w:pPr>
      <w:r>
        <w:rPr>
          <w:rFonts w:ascii="Courier New" w:cs="Courier New" w:eastAsia="Courier New" w:hAnsi="Courier New"/>
          <w:b/>
          <w:bCs/>
          <w:color w:val="2a2a2a"/>
          <w:sz w:val="18"/>
          <w:szCs w:val="18"/>
        </w:rPr>
        <w:t xml:space="preserve">§19.4  </w:t>
      </w:r>
      <w:r>
        <w:rPr>
          <w:rFonts w:ascii="Garamond" w:cs="Garamond" w:eastAsia="Garamond" w:hAnsi="Garamond"/>
          <w:b w:val="false"/>
          <w:bCs w:val="false"/>
          <w:i/>
          <w:iCs/>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must establish a Classification Review Commission within 90 days of Phase 4 activation. Where the Legislature fails to meet this deadline, the LM publishes a compliance finding to the NRS, and the LM's ongoing audit encompasses the unestablished Commission until it is created.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pPr>
        <w:spacing w:after="60" w:before="200"/>
        <w:ind w:left="431"/>
        <w:jc w:val="left"/>
      </w:pPr>
      <w:r>
        <w:rPr>
          <w:rFonts w:ascii="Courier New" w:cs="Courier New" w:eastAsia="Courier New" w:hAnsi="Courier New"/>
          <w:b/>
          <w:bCs/>
          <w:color w:val="2a2a2a"/>
          <w:sz w:val="18"/>
          <w:szCs w:val="18"/>
        </w:rPr>
        <w:t xml:space="preserve">§19.5  </w:t>
      </w:r>
      <w:r>
        <w:rPr>
          <w:rFonts w:ascii="Garamond" w:cs="Garamond" w:eastAsia="Garamond" w:hAnsi="Garamond"/>
          <w:b w:val="false"/>
          <w:bCs w:val="false"/>
          <w:i/>
          <w:iCs/>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military authorization framework can apply; the Legat Consul, once inaugurated, must assess each active operation against the authorized purposes under §14.1 and either link it to legislative authorization within 14 days or begin orderly cessation; operations not so linked within 60 days cease unless the Legislature grants a one-time authorization.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Where an assumed international obligation conflicts with this constitution, the Republic is bound to renegotiate or formally supersede the obligation through the treaty process under §3.6; until that process is complete, the obligation is honored to the minimum extent required by international law without requiring any constitutional officer to violate Article I or any non-derogable right under §1.19.b.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2a2a2a"/>
          <w:sz w:val="18"/>
          <w:szCs w:val="18"/>
        </w:rPr>
        <w:t xml:space="preserve">§19.6  </w:t>
      </w:r>
      <w:r>
        <w:rPr>
          <w:rFonts w:ascii="Garamond" w:cs="Garamond" w:eastAsia="Garamond" w:hAnsi="Garamond"/>
          <w:b w:val="false"/>
          <w:bCs w:val="false"/>
          <w:i/>
          <w:iCs/>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a2a"/>
          <w:sz w:val="22"/>
          <w:szCs w:val="22"/>
        </w:rPr>
        <w:t xml:space="preserve">Territories or subdivisions meeting the Statehood Audit by Phase 2 end may petition to enter as State or Territory. Those failing the Baseline enter as Territory and may begin the Statehood Audit immediately. Any territory may choose Territory status by simple legislative vote regardless of whether it meets the Statehood Audit.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pPr>
        <w:spacing w:after="60" w:before="200"/>
        <w:ind w:left="431"/>
        <w:jc w:val="left"/>
      </w:pPr>
      <w:r>
        <w:rPr>
          <w:rFonts w:ascii="Courier New" w:cs="Courier New" w:eastAsia="Courier New" w:hAnsi="Courier New"/>
          <w:b/>
          <w:bCs/>
          <w:color w:val="2a2a2a"/>
          <w:sz w:val="18"/>
          <w:szCs w:val="18"/>
        </w:rPr>
        <w:t xml:space="preserve">§19.7  </w:t>
      </w:r>
      <w:r>
        <w:rPr>
          <w:rFonts w:ascii="Garamond" w:cs="Garamond" w:eastAsia="Garamond" w:hAnsi="Garamond"/>
          <w:b w:val="false"/>
          <w:bCs w:val="false"/>
          <w:i/>
          <w:iCs/>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joint Monitor panel assembles the initial Candidate Registers for all constitutionally established positions before Phase 3 elections can occur. The panel performs the register-assembly and qualification review function that permanent Monitors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MA board members within 90 days of Phase 4 activation. Where the Civic Consul fails to meet this deadline, the LM publishes a compliance finding to the NRS, and the LM's ongoing audit encompasses the unfilled nomination until it is made.</w:t>
      </w:r>
    </w:p>
    <w:p>
      <w:pPr>
        <w:spacing w:after="60" w:before="200"/>
        <w:ind w:left="431"/>
        <w:jc w:val="left"/>
      </w:pPr>
      <w:r>
        <w:rPr>
          <w:rFonts w:ascii="Courier New" w:cs="Courier New" w:eastAsia="Courier New" w:hAnsi="Courier New"/>
          <w:b/>
          <w:bCs/>
          <w:color w:val="2a2a2a"/>
          <w:sz w:val="18"/>
          <w:szCs w:val="18"/>
        </w:rPr>
        <w:t xml:space="preserve">§19.8  </w:t>
      </w:r>
      <w:r>
        <w:rPr>
          <w:rFonts w:ascii="Garamond" w:cs="Garamond" w:eastAsia="Garamond" w:hAnsi="Garamond"/>
          <w:b w:val="false"/>
          <w:bCs w:val="false"/>
          <w:i/>
          <w:iCs/>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 not to exceed ten years in duration —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2a2a2a"/>
          <w:sz w:val="18"/>
          <w:szCs w:val="18"/>
        </w:rPr>
        <w:t xml:space="preserve">§19.9  </w:t>
      </w:r>
      <w:r>
        <w:rPr>
          <w:rFonts w:ascii="Garamond" w:cs="Garamond" w:eastAsia="Garamond" w:hAnsi="Garamond"/>
          <w:b w:val="false"/>
          <w:bCs w:val="false"/>
          <w:i/>
          <w:iCs/>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this Constitution assigns a specific function to a statutory independent agency under §3.9, the Legislature must establish that agency within the following timeframes from Phase 4 activation: the civic proficiency assessment administrator under §5.1, within 180 days; the Census Bureau under §3.2, within 18 months; the Monetary Authority under §12.1, within 180 days. Where the Legislature fails to meet a deadline, §3.9 applies: the LM publishes a compliance finding to the NRS, and the responsible Monitor’s ongoing audit encompasses the unfilled mandate until the agency is established. The LM publishes a compliance finding to the NRS when any establishment deadline is missed and again when the agency becomes operational. The Legislature may not permanently delegate a constitutionally required statutory function to an Monitor in lieu of establishing the required agency. The Legislature must by statute establish the transition from any predecessor voting infrastructure to the constitutionally required NVS, ensuring no gap in democratic participation.</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XX — Associated Communities</w:t>
      </w:r>
    </w:p>
    <w:p>
      <w:pPr>
        <w:spacing w:after="60" w:before="200"/>
        <w:ind w:left="431"/>
        <w:jc w:val="left"/>
      </w:pPr>
      <w:r>
        <w:rPr>
          <w:rFonts w:ascii="Courier New" w:cs="Courier New" w:eastAsia="Courier New" w:hAnsi="Courier New"/>
          <w:b/>
          <w:bCs/>
          <w:color w:val="2a2a2a"/>
          <w:sz w:val="18"/>
          <w:szCs w:val="18"/>
        </w:rPr>
        <w:t xml:space="preserve">§20.1  </w:t>
      </w:r>
      <w:r>
        <w:rPr>
          <w:rFonts w:ascii="Garamond" w:cs="Garamond" w:eastAsia="Garamond" w:hAnsi="Garamond"/>
          <w:b w:val="false"/>
          <w:bCs w:val="false"/>
          <w:i/>
          <w:iCs/>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a2a"/>
          <w:sz w:val="22"/>
          <w:szCs w:val="22"/>
        </w:rPr>
        <w:t xml:space="preserve">Exclusively for sovereign entities — not a form of State or Territory status, not transitional, not incorporation. Available to sovereign nations — those that have achieved full sovereignty through a status election under §16.7 or through the constitutional amendment process — and to independent nations outside the Republic seeking a defined relationship. Indigenous nations holding rights under Article XVI may not substitute an Article XX compact for their Article XVI compact relationship without first completing a status election under §16.7.a.</w:t>
      </w:r>
    </w:p>
    <w:p>
      <w:pPr>
        <w:spacing w:after="60" w:before="200"/>
        <w:ind w:left="431"/>
        <w:jc w:val="left"/>
      </w:pPr>
      <w:r>
        <w:rPr>
          <w:rFonts w:ascii="Courier New" w:cs="Courier New" w:eastAsia="Courier New" w:hAnsi="Courier New"/>
          <w:b/>
          <w:bCs/>
          <w:color w:val="2a2a2a"/>
          <w:sz w:val="18"/>
          <w:szCs w:val="18"/>
        </w:rPr>
        <w:t xml:space="preserve">§20.2  </w:t>
      </w:r>
      <w:r>
        <w:rPr>
          <w:rFonts w:ascii="Garamond" w:cs="Garamond" w:eastAsia="Garamond" w:hAnsi="Garamond"/>
          <w:b w:val="false"/>
          <w:bCs w:val="false"/>
          <w:i/>
          <w:iCs/>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a2a"/>
          <w:sz w:val="22"/>
          <w:szCs w:val="22"/>
        </w:rPr>
        <w:t xml:space="preserve">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2a2a2a"/>
          <w:sz w:val="18"/>
          <w:szCs w:val="18"/>
        </w:rPr>
        <w:t xml:space="preserve">§20.3  </w:t>
      </w:r>
      <w:r>
        <w:rPr>
          <w:rFonts w:ascii="Garamond" w:cs="Garamond" w:eastAsia="Garamond" w:hAnsi="Garamond"/>
          <w:b w:val="false"/>
          <w:bCs w:val="false"/>
          <w:i/>
          <w:iCs/>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a2a"/>
          <w:sz w:val="22"/>
          <w:szCs w:val="22"/>
        </w:rPr>
        <w:t xml:space="preserve">No compact may be entered or ratified with any entity whose governance practices include, authorize, or systematically permit violations of any of the non-derogable rights established in §1.19.b, committed against any person within its jurisdiction. The JM conducts annual compliance reviews and publishes findings to the NRS. Where the JM finds systematic violations of §1.19.b rights or any party challenges a compact on those grounds, the compact is suspended pending SC review; the SC must rule within 90 days of suspension, and where the SC fails to rule within that period, the suspension lifts and the compact resumes pending any subsequent ruling. The SC may terminate the compact on confirmed violations without remediation within the period the Legislature defines by statute. Economic value of the compact relationship is not a factor in JM assessment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Compact suspension means the Associated Community's observer delegate participation rights are suspended for the duration of the review; all other compact obligations of both parties continue in effect pending the SC's determination.</w:t>
      </w:r>
    </w:p>
    <w:p>
      <w:pPr>
        <w:spacing w:after="60" w:before="200"/>
        <w:ind w:left="431"/>
        <w:jc w:val="left"/>
      </w:pPr>
      <w:r>
        <w:rPr>
          <w:rFonts w:ascii="Courier New" w:cs="Courier New" w:eastAsia="Courier New" w:hAnsi="Courier New"/>
          <w:b/>
          <w:bCs/>
          <w:color w:val="2a2a2a"/>
          <w:sz w:val="18"/>
          <w:szCs w:val="18"/>
        </w:rPr>
        <w:t xml:space="preserve">§20.4  </w:t>
      </w:r>
      <w:r>
        <w:rPr>
          <w:rFonts w:ascii="Garamond" w:cs="Garamond" w:eastAsia="Garamond" w:hAnsi="Garamond"/>
          <w:b w:val="false"/>
          <w:bCs w:val="false"/>
          <w:i/>
          <w:iCs/>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2a2a2a"/>
          <w:sz w:val="18"/>
          <w:szCs w:val="18"/>
        </w:rPr>
        <w:t xml:space="preserve">§20.5  </w:t>
      </w:r>
      <w:r>
        <w:rPr>
          <w:rFonts w:ascii="Garamond" w:cs="Garamond" w:eastAsia="Garamond" w:hAnsi="Garamond"/>
          <w:b w:val="false"/>
          <w:bCs w:val="false"/>
          <w:i/>
          <w:iCs/>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2a2a2a"/>
          <w:sz w:val="18"/>
          <w:szCs w:val="18"/>
        </w:rPr>
        <w:t xml:space="preserve">§20.6  </w:t>
      </w:r>
      <w:r>
        <w:rPr>
          <w:rFonts w:ascii="Garamond" w:cs="Garamond" w:eastAsia="Garamond" w:hAnsi="Garamond"/>
          <w:b w:val="false"/>
          <w:bCs w:val="false"/>
          <w:i/>
          <w:iCs/>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Under §9.1, either chamber may request a JM assessment of compact compliance before proceeding to ratification.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2a2a2a"/>
          <w:sz w:val="18"/>
          <w:szCs w:val="18"/>
        </w:rPr>
        <w:t xml:space="preserve">§20.7  </w:t>
      </w:r>
      <w:r>
        <w:rPr>
          <w:rFonts w:ascii="Garamond" w:cs="Garamond" w:eastAsia="Garamond" w:hAnsi="Garamond"/>
          <w:b w:val="false"/>
          <w:bCs w:val="false"/>
          <w:i/>
          <w:iCs/>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a2a"/>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2026-06-24T23:09:59.688Z</dcterms:created>
  <dcterms:modified xsi:type="dcterms:W3CDTF">2026-06-24T23:09:59.689Z</dcterms:modified>
</cp:coreProperties>
</file>

<file path=docProps/custom.xml><?xml version="1.0" encoding="utf-8"?>
<Properties xmlns="http://schemas.openxmlformats.org/officeDocument/2006/custom-properties" xmlns:vt="http://schemas.openxmlformats.org/officeDocument/2006/docPropsVTypes"/>
</file>