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 without a specific judicial warrant meeting the standards of §1.11.a — identifying the particular key sought and the purpose for which it is sought, issued by a judicial officer on an individualized finding of necessity.</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social assistance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Social Assistance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social assistance obligation under §10.1.b.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Government's legitimate role is professional licensing, scope of practice, and safety standards — not directing the content of medical decisions or penalizing their exercise. No government may impose civil or criminal liability on any person solely for receiving medical care that was lawful where it was received, or for assisting another in accessing such care, or for providing accurate information about it.</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that require new domestic legislation to implement; and provisions creating direct obligations on domestic persons or entities. Tariff schedules, market access terms in foreign markets, and international negotiating positions are within the President's sole authority. Where PM concurrence is withheld on a specific provision, that provision may be transmitted to the House Speaker as ordinary legislation and the remaining agreement terms proceed to Senate ratification independently.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§2.1.k  </w:t>
      </w:r>
      <w:r>
        <w:rPr>
          <w:rFonts w:ascii="Garamond" w:cs="Garamond" w:eastAsia="Garamond" w:hAnsi="Garamond"/>
          <w:b/>
          <w:bCs/>
          <w:i w:val="false"/>
          <w:iCs w:val="false"/>
          <w:color w:val="1B2A4A"/>
          <w:sz w:val="22"/>
          <w:szCs w:val="22"/>
        </w:rPr>
        <w:t xml:space="preserve">General Domain Default and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domain of a proposed executive action is disputed outside the context of active military operations, the PM's residual authority under §2.2 is presumptive pending resolution — the President's authority is enumerated, so a Presidential domain claim must identify the enumerated power engaged. The JEC under §2.11 is the first forum for resolution. Where resolution is not achieved through the JEC, either executive may petition the SC for a domain determination; the SC must rule within 30 days of petition. Pending the SC ruling, the PM's residual authority governs except for matters expressly listed in §2.1. This provision does not apply to disputes arising during active military operations, which are governed exclusively by §2.1.h.</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them to violate a constitutional provision or any statute. Refusal of such an order creates no civil or criminal liability and constitutes no basis for dismissal, demotion, or any other penalty. The refusing person may report the order to the EI, who may investigate and publish findings to the NRS. The affected civil servant or military member may seek legal redress before any court of competent jurisdiction for any penalty imposed in connection with a refusal.</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social state obligations under §10.1,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their Senate seat is immediately vacated and the Deputy Speaker assumes the Speaker role. The successor serves the remainder of the current presidential term under §2.6.c.</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President is incapacitated and unable to exercise presidential authority, the EI and LI jointly assess capacity within 6 hours. If both Inspectorates certify incapacity, they publish a joint assessment to the NRS and Acting Presidential Authority transfers immediately to the Senate Speaker. The Speaker holds all presidential powers during the acting period; the Speaker's Senate seat is not vacated; no special presidential election is triggered; and the acting period does not constitute a succession event under §2.6.a or expend any presidential term. Acting Presidential Authority ends when the President publishes a restoration declaration to the NRS, or when the EI and LI jointly certify recovery and publish it to the NRS — in either case the President immediately resumes full authority. Where the EI and LI reach different conclusions, the President remains in office; either Inspectorate may petition the SC for a capacity determination, which must rule within 24 hours; the President remains in office pending that ruling. Where Acting Presidential Authority extends beyond 90 days without restoration, the Inspectorates must within 7 days reassess and publish findings; on joint certification of permanent incapacity, §2.6.a succession activates immediately — Acting Presidential Authority converts to full succession, the Speaker's Senate seat is vacated, and the Deputy Speaker assumes the Speaker role.</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serves the remainder of the current presidential term. No election is required to complete the term — succession is a constitutional appointment, and the successor is the President from the moment of succession. Service by succession does not constitute or consume the successor's single non-renewable presidential term; succession is a constitutional duty, not an electoral mandate. The successor is eligible to stand as a presidential candidate at the next regular presidential election under §7.2.</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social state funding continuity under §10.1,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transparency review. Within 7 days of any grant, the granting executive files a written explanatory report with the EI stating: the identity of the recipient, the nature of the offense pardoned, the grounds for the grant, and any circumstances considered. The EI reviews the report for factual accuracy and completeness within 14 days and publishes its findings to the NRS. The reviewing chamber (Senate for PM clemency; House for Presidential clemency) receives the EI report and may, within 45 days, hold a public hearing on the grant and publish formal observations to the NRS. The reviewing chamber may not void or reverse a clemency grant — clemency is the exclusive act of the granting executive, accountable through transparency and permanent NRS record rather than legislative veto. Neither executive may grant clemency for offenses committed within the other executive's domain; any such grant is void.</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under §2.1.j and the PM's Cabinet ministers under §2.2.b meeting jointly as a standing cross-executive coordination body. The Council serves as the primary forum for matters that cross executive domains. Where a proposed executive action materially affects the domain of the other executive, the proposing executive notifies the Council before acting and presents the matter for coordinated discussion at the next session — absent a declared emergency under §2.8 or an immediate operational requirement under §2.1.a. The Council makes recommendations and coordinates positions; it does not exercise executive authority, and nothing in this section limits either executive's constitutional authority within their own domain. Both the President and PM must each attend at least one Council session per calendar quarter; for sessions an executive does not attend, their officers must provide a written brief to that executive within 48 hours of the session closing. Meeting frequency, agenda procedures, chairing arrangements, and all other operational parameters are defined by statute. A summary record of each session — covering agenda items and agreed positions — is published to the NRS within 14 days. The existence and general subject of each session may not be classified.</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every ten years and whenever the Legislature requires reapportionment. The census is administered by a statutory independent agency established by the Legislature under §3.7. The Legislature defines census methodology by statute; methods may include mathematical models, statistical sampling, or administrative data integration where the Legislature determines these are more accurate or efficient than direct enumeration. The LI audits the census process and results for constitutional compliance and publishes its findings to the NRS within 30 days of census completion. Census results are published to the NRS within 90 days of completion and used as the basis for House seat allocation under §3.1.a.</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inferior court judicial appointments by a supermajority defined by statute. Failure to vote within the confirmation period triggers Deemed Confirmation at 180 days. Supreme Court justice confirmation is governed exclusively by §4.2.d, which sets an independent 2/3 threshold, no deemed confirmation, and its own time ceilings.</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Elections Panel of the Digital Infrastructure Commission — as certified by the JI following a finding that the Elections Panel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Elections Panel of the Digital Infrastructure Commission draws an interim compliant map under §3.4.b pending State compliance. A State may request drawing consulting from the Elections Panel at any point in the redistricting process; such consulting is advisory and does not transfer the State's map-drawing responsibility to the Elections Panel. Territorial district maps are drawn by the Elections Panel of the Digital Infrastructure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Elections Panel of the Digital Infrastructure Commission draws an interim compliant map using the §3.4.a criteria, which takes effect at the next election. The Elections Panel-drawn interim map is not permanent — it is retired automatically when the State submits and the LI certifies a compliant State-drawn map. Until then, elections proceed on the Elections Panel-drawn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Elections Panel administers the election directly through the NVS. For Territories holding two or more House seats, the Elections Panel of the Digital Infrastructure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Elections Panel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Elections Panel of the Digital Infrastructure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Speaker is elected by the House from among its members by absolute majority. The Speaker presides over House proceedings, manages the legislative calendar, and maintains the impartiality of the chair on all House business. The Speaker does not hold a position in the presidential succession line, which runs through the Senate under §2.6.a.</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compliance analysis of any enacted law during the legislative review period under §2.4 and §2.5, enabling citizens and legislators to assess constitutional implications before the law takes full effect. The LI may also publish a compliance analysis of any bill at any stage of the legislative process on written request from any member of either chamber; such analysis is advisory and creates no obligation on any member to act upon it. The LI does not initiate constitutional review of pending legislation on its own motion — pre-enactment review is triggered by member request only. All compliance analyses are published to the NRS.</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create independent statutory offices outside both executive domains. They exercise regulatory, quasi-judicial, or administrative functions with constitutional independence — neither executive may direct their operations. Where this Constitution assigns a specific function to a statutory independent agency, the Legislature shall establish the relevant agency; any enabling statute must meet the standards of this section and specify the establishment timeframe. An assigned function for which no agency has been established may be administered on an interim basis by the responsible Inspectorate until the agency is established.</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JI must publish a factual finding before any removal vote. The EI may certify the breach that triggers the proceeding, but the JI — which has no oversight relationship with the officer being removed — makes the independent factual finding for the removal proceeding itself.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defined by statute, ensuring Senate confirmation requires meaningful cross-party support.</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serve a single non-renewable term of 15 years. During the term a judge may be removed only for cause under §4.1.d. At the conclusion of the term the judge may not be reappointed to any inferior court seat. The Legislature may establish a mandatory retirement age by statute, provided no retirement age is set below 70; where a 15-year term would extend beyond the mandatory retirement age, the term ends at the retirement age.</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§4.1.e  </w:t>
      </w:r>
      <w:r>
        <w:rPr>
          <w:rFonts w:ascii="Garamond" w:cs="Garamond" w:eastAsia="Garamond" w:hAnsi="Garamond"/>
          <w:b/>
          <w:bCs/>
          <w:i w:val="false"/>
          <w:iCs w:val="false"/>
          <w:color w:val="1B2A4A"/>
          <w:sz w:val="22"/>
          <w:szCs w:val="22"/>
        </w:rPr>
        <w:t xml:space="preserve">Supreme Court Composition and Size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initially consists of nine justices. The Legislature may increase the number of justices by ordinary statute; any seat added is assigned to the class with the fewest current members — ties broken by public lot drawn by the JI — and must be filled through §4.2.d within 18 months of enactment or the seat expires by operation of law. The Legislature may decrease the number of justices only by statute passed by 2/3 of both chambers; a reduction takes effect through natural attrition only — by leaving the next scheduled vacancy in the designated class unfilled — and never by removing a sitting justice. The number of justices may not fall below three. Where the Court is equally divided on any question — whether by reason of court size, recusal, or vacancy — the challenged ruling of the lower court or government body stands without further order.</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nominated by the PM from the SC Candidate Registry and confirmed by the Senate by 2/3 supermajority of full seated membership. The Court is composed of the number of justices established under §4.1.e, organised into three staggered classes; each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PM Nomination and Senate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any current member of the SC Candidate Registry. For scheduled vacancies, the PM must nominate within 60 days of the outgoing justice's term ending. For mid-term vacancies, the PM must nominate within 45 days of the vacancy arising. Within 14 days of nomination, the JI confirms the nominee's current registry status and publishes that confirmation to the NRS; the nominee's full registry record — including the EI financial disclosure under §8.4.e — is simultaneously published for Senate reference. The Senate must vote within 90 days of the JI confirmation being published. Failure to vote within 90 days is a constitutional compliance breach certified by the LI. No deemed confirmation applies — the Senate must hold an affirmative vote. If the Senate declines to confirm, the PM submits a new nomination within 30 days and the process restarts. The confirmed justice takes the Official Oath; the confirmation and registry record are published to the NRS as permanent records.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mid-term vacancy triggers immediate nomination under §4.2.d using the 45-day nomination window. The full process — PM nomination, JI assessment, and Senate confirmation — must be completed within 180 days of the vacancy.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the initial nine seats are filled simultaneously by PM nomination and Senate confirmation under §4.2.d, then assigned to three classes by public lot drawn by the JI. Class A: 4-year initial term. Class B: 8-year initial term. Class C: 12-year initial term. All subsequent terms: 12 years. The lot assignment is published to the NRS before any justice takes the oath. Three seats confirmed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findings published to the NRS are admissible in any judicial proceeding where they are relevant. Courts must give such findings due consideration and appropriate weight in their determinations. Where a court's factual conclusions differ from a prior Inspectorate finding, the court must address the inconsistency in its written decision. Inspectorate findings are not judicial determinations — the court retains full and independent authority to reach different factual conclusions.</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access to social state systems under §10.1.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social state systems under §10.1,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established as an independent statutory agency under §3.7. The enabling statute must ensure structural independence from partisan influence — the CLT process may 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as founding members of the Republic, as established in §5.5.a.</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covers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access social state systems under §10.1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and Director of the Digital Infrastructure Commission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exceeds 60% of active ballots, the State plurality requirement is waived — a margin of that scale constitutes its own geographic legitimacy. Where no candidate wins outright, a runoff is conducted under §7.2.f.</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The Elections Panel of the Digital Infrastructure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Where the national RCV majority exceeds 60% of active ballots, this requirement is waived under §7.2. Territory votes count toward the national first-preference and RCV totals but not the State plurality calculation — Territories are not States for this purpose. The Elections Panel certifies State-by-State first-preference results as part of the overall election certification under §7.2.e.</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and RCV calculation. Territories are not included in the State plurality calculation under §7.2.b — their citizens are not residents of a State for this purpose. This preserves the integrity of the geographic breadth requirement while ensuring Territory citizens exercise full national voting rights.</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moment established by the transition provisions of §19.3.</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wins outright — either because no candidate achieved a national RCV majority, or because the national majority winner's margin did not exceed 60% of active ballots and the candidate failed the State plurality requirement — a runoff is conducted between the two candidates with the highest national first-preference vote totals. The runoff is determined by national RCV only. No State plurality requirement applies in the runoff. The Elections Panel administers the runoff on the same terms as the primary election under §7.2.a and §7.2.e.</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Audits the population census conducted by the statutory independent agency under §3.1.b for constitutional compliance. Reviews House district maps for compliance with §3.4.a criteria.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under §8.4.e and confirms registry status for SC nominees under §4.2.d. Audits the Digital Infrastructure Commission's Elections Panel annually for electoral integrity compliance.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and the Digital Infrastructure Advisory Council.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 Where there is no outgoing JI IG — on the first-ever selection or where the outgoing IG has been removed or is incapacitated — the draw is administered jointly by the LI and EI Inspector Generals.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SC Candidate Registry. Any citizen meeting the eligibility criteria — 15 or more years of legal practice or 10 or more years of judicial service, no current government position, no disqualifying financial interest — may apply. Registry applicants must file a financial disclosure record with the EI; the EI reviews for factual accuracy within 21 days and publishes its findings to the NRS as part of the registry entry.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 The Inspector General has a 14-day SC appeal window from publication of the Panel finding before the legislative vote proceeds.</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function is to determine, before any qualifying For-Cause removal vote, whether the stated grounds are substantiated within the enumerated constitutional categories for that office. The Panel publishes a binary finding — grounds substantiated or grounds unsubstantiated — and has no investigative authority and no institutional presence outside active proceedings.</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Eligibility requires: at least five continuous years of Republic citizenship; no current federal elected or appointed office; no such office held within the three years prior to pool entry; no pending federal criminal proceedings; and no current service in any active Panel. Pool membership is a public NRS record maintained by the LI. The Legislature defines pool administration, annual addition processes, and minimum pool thresholds by statute.</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the Joint Inspectorate Council under §8.12 constitutes the Panel by lottery within five days, drawing five members from the combined national pool plus two alternates using the standard JIC lottery procedure under §8.13. The Legislature defines draw challenge procedures, ongoing eligibility conditions during service, and session parameters by statute.</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when the Panel is fully constituted — five members having accepted service. The Legislature defines meeting parameters, document submission procedures, and any other operational requirements by statute. The Panel may request additional documentary submissions from the initiating body within the first seven days of the review period.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 determines only whether the stated grounds, as documented in the submitted record, constitute at least one of the enumerated constitutional categories for For-Cause removal applicable to the subject office. The Panel does not independently investigate, assess credibility, weigh competing factual accounts, or issue any order beyond the binary finding.</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authorizes the Legislature to proceed to a For-Cause removal vote at the applicable threshold; triggers applicable duty suspension under §8.5.a, §10.4.g, or §16.2.a; and is published permanently to the NRS. A finding of unsubstantiated: does not bar a removal vote; and is published permanently to the NRS.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social state obligations — whether the healthcare insurance system is solvent and providing universal access, whether social assistance is meeting the §10.1 dignity standard, and whether States are meeting the compulsory education constitutional floor under §10.1.c; (4) completeness of military subordination to constitutional authority; (5) comprehensiveness of NRS coverage, node distribution, and cryptographic integrity; and (6) health of the constitutional pool and lottery selection mechanisms under §8.9 and §9.3, including State participation rates and pool depth. The assessment is published to the NRS and transmitted to both chambers of the Legislature. Findings are classified by severity: No Finding, Deficiency, or Critical Failure. The Legislature must respond within 90 days. For a No Finding: acknowledgment is sufficient. For a Deficiency: the Legislature must publish a remediation plan specifying actions and timelines; acknowledgment without a plan is a constitutional compliance breach certified by the LI. For a Critical Failure: the Legislature must publish a remediation plan and any member of either chamber may petition the SC to determine whether the failure constitutes a constitutional breach requiring judicial remedy. Findings, responses, and remediation plans form a permanent longitudinal record of constitutional performance published to the NRS.</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 Generals jointly constitute the Joint Inspectorate Council, which serves as the standing coordination body for matters crossing Inspectorate jurisdictions or benefiting from joint deliberation. The Council formally houses all jointly certified constitutional functions — including the Eight-Year Assessment under §8.11, jointly certified lottery draws, and jointly certified selection processes throughout the constitution. The chair of any joint session is the Inspector General whose domain covers the primary subject matter; where all domains are equally engaged, the chair rotates annually. The Council publishes a joint annual report to both chambers and the NRS summarising cross-branch constitutional compliance and any jurisdictional matters addressed during the year. Joint findings carry the authority of all three Inspectorates simultaneously; individual Inspectorate findings within their own domains are unaffected. Where the Inspector Generals cannot reach consensus on a joint matter, each publishes their individual assessment and the disagreement is noted in the permanent NRS record. The Council has no authority to direct or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constitutional pool operates through four sequential stages: entry, certification, selection, and — where specified — confirmation. This section establishes the standard mechanics for each stage; individual pool provisions specify which variation applies and any pool-specific parameters. Entry: pool members are self-nominated (any qualifying citizen may apply), State-designated (each State nominates through its own process), or executive-nominated (each executive nominates to their respective pool). No pool entry requires Senate confirmation unless the establishing provision explicitly requires it. Certification: the JI reviews each entrant and publishes a qualification report to the NRS within 30 days, assessing whether the entrant meets the qualification requirements for that pool. Where the pool involves an office with significant financial authority, the EI reviews each entrant's financial disclosure within 21 days and publishes findings to the NRS alongside the JI report. Pool membership is established by JI certification; a rejected entrant may appeal to an Appellate Court within 14 days. Pool records are public NRS records at all times. Selection: where a pool provision specifies lottery selection, the Joint Inspectorate Council under §8.12 conducts the draw in a public session, certifies the result jointly, and publishes it to the NRS before the session closes. Drawn members must accept or decline within 48 hours; alternates fill declined seats in draw order; the JIC conducts supplemental draws if alternates are exhausted. Where a pool provision specifies deliberate nomination, the named officer nominates from certified pool members. Confirmation: where required, Senate confirmation applies to the selected individual — not to pool entry. Timeframes are specified in the establishing provision; failure to confirm within the specified period is a constitutional compliance breach certified by the LI unless deemed confirmation is specified. Pool health: the JI monitors all constitutional pools and publishes an annual status report to the NRS for each pool. Where a pool falls below its constitutional minimum, the JI publishes a deficiency notice; the relevant nominating bodies must respond within 30 days.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Digital Infrastructure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and the National Voting System are reviewed decennially by the Digital Infrastructure Advisory Council — an independent expert body that publishes advisory findings and recommendations to the Digital Infrastructure Commission. The Advisory Council has no authority to issue binding orders or direct the Commission. Findings are published jointly by all three Inspectorates to the NRS and transmitted to the Commission Director and both panel chairs simultaneously.</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Advisory Council — Mandate and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Council reviews whether the NRS and NVS architectures continue to meet their respective constitutional requirements under §9.1 and §16.3. The Council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Advisory Council findings are recommendations to the Digital Infrastructure Commission — the Commission determines what action, if any, to take and publishes its response to the NRS within 90 days of the Advisory Council's findings.</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Advisory Pool — State Nominations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nominate qualified persons to the Digital Infrastructure Advisory Pool at any time. Nominations are submitted to the JI; entry and certification follow §8.13. No more than three certified pool members may be nominees of the same State at the time of any given decennial draw. Pool nominations remain valid for ten years or until withdrawn by the nominating State. The pool is a public NRS record.</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Pool resets after each decennial review cycle. States may re-nominate the same persons with fresh JI qualification certification, or submit new nominees. Members who served on the Advisory Council are eligible for re-nomination by their State after one full cycle has elapsed since their service.</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Advisory Council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the Joint Inspectorate Council under §8.12 constitutes the Council by public lottery, drawing five members at random from the eligible pool using the standard JIC lottery procedure under §8.13. The remaining pool members constitute the standing replacement pool for the duration of the Council's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Advisory Council Member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Advisory Council member who must be replaced during the review period — through ineligibility, withdrawal, or disqualification — is replaced by JIC lottery draw from the remaining eligible pool under §8.13.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 of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Council under §8.12 certifies the draw under §9.3.d, oversees the Council's working sessions to verify that the Council has the access to records, systems, and personnel required by its statutory mandate, and reviews the Council's findings before publication to confirm the findings reflect the Council's genuine conclusions. All three Inspectorate seals appear on findings published to the NRS. The Commission Director and both panel chairs receive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Advisory Council Findings and Commission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Advisory Council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for either system. The Commission Director, both panel chairs, and both executives receive findings simultaneously with NRS publication. The Senate public session under §9.3.h must be scheduled within 30 days of publication and occur within 90 days. The Commission must publish its response within 90 days of findings publication — accepting, modifying, or declining each recommendation with published reasons. The Commission's response should ordinarily follow the Senate public session under §9.3.h so that Senate scrutiny may inform the Commission's reasoning; however the 90-day response window runs from findings publication regardless of when the session occurs. The Advisory Council's mandate ends upon publication; the Council dissolves and the pool resets under §9.3.c.</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Senate Public Session on Advisory Council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Advisory Council's findings being published to the NRS under §9.3.g, the Senate must schedule a mandatory public session. The session must occur within 90 days of publication. Advisory Council members appear before the Senate, present their findings, and respond to questions from Senators. The session is published in full to the NRS. Failure to schedule the session within 30 days is a constitutional compliance breach certified by the LI. The Commission's 90-day response period under §9.3.g runs from the date of findings publication and is not affected by the Senate session timing.</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The Republic shall maintain universally accessible healthcare insurance and social assistance systems and shall ensure free compulsory education for all children, as established in §10.1.a through §10.1.e.</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Universal Healthcare Insurance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shall maintain a universal healthcare insurance system providing every Inhabitant with access to essential medical care, preventive services, and necessary medications. The system is funded by mandatory employer, employee, and federal government contributions at rates defined by statute. The Republic is the contributor of last resort for Inhabitants without employment income — no Inhabitant may be excluded from the system by reason of inability to pay. The structure, governance, and coverage scope of the system are defined by statute; the statute must provide genuinely comprehensive coverage adequate for a dignified life. The MA certifies annually that the system is solvent and provides constitutionally required universal access. Where the MA certifies insolvency or access failure, the Legislature must respond within 90 days with a remediation plan; failure to respond is a constitutional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Social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Inhabitant cannot access the healthcare insurance system, employment income, or other means of support, the Republic provides social assistance sufficient to maintain conditions of life consistent with the §10.1 dignity standard. Eligibility, benefit levels, and delivery mechanisms are defined by statute; no statute may reduce social assistance below a level the MA certifies as consistent with the constitutional dignity standard. Social assistance is administered by the PM through the Domestic Affairs Council. The LI audits delivery annually.</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Compulsory 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in the Republic is entitled to free compulsory basic education. States deliver basic education within their territories and may establish standards above the constitutional floor. The constitutional floor requires: literacy and numeracy sufficient for full adult participation in economic and civic life; and civic education covering the structure, rights, and obligations of the Republic's constitutional framework. The Legislature establishes minimum per-pupil expenditure floors by statute. The LI audits State compliance with the constitutional education floor annually.</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Non-Discrimination in Social Systems</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the healthcare insurance system, social assistance, and compulsory education may not be conditioned on citizenship, residency status, political affiliation, or any characteristic protected under §1.9. Every Inhabitant is entitled to equal access. No statute may create tiered access or differential benefit levels based on any protected characteristic.</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Emergency Protection and Revenue Contraction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diminish access to healthcare insurance, social assistance, or compulsory education. These social state obligations are explicitly excluded from emergency powers; an executive who redirects social insurance or assistance funds during an emergency has committed a constitutional breach certified by the EI. Where the MA certifies a Severe Revenue Contraction, the National Endowment under §10.6 is automatically activated to backstop both the healthcare insurance system's solvency and social assistance appropriations below the §10.1 dignity standard — no legislative action is required for activation. Disbursements continue until the MA certifies the contraction has ended. Where the MA certifies healthcare insurance insolvency under §10.1.a and the Legislature fails to publish a remediation plan within 90 days, the National Endowment board may also authorize emergency disbursement to cover the insolvency gap for up to 6 months regardless of whether a Severe Revenue Contraction has been certified.</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social state backstop purposes under §10.1.e is established and governed under §10.6. The Legislature must fund it by appropriation in years of fiscal surplus. Failure to establish or adequately fund the Endowment within the constitutionally required period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certified by the LI,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 No deemed confirmation applies to MA board member appointments — the Senate must hold an affirmative vote.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EI; if the EI advises a potential mandate hierarchy violation exists, the Director may petition the SC for a mandate determination. Statutory timeframes for each step are defined by the Legislature and may not be set so short as to prevent effective deliberation.</w:t>
      </w:r>
    </w:p>
    <w:p>
      <w:pPr>
        <w:spacing w:after="60" w:before="200"/>
        <w:ind w:left="431"/>
        <w:jc w:val="left"/>
      </w:pPr>
      <w:r>
        <w:rPr>
          <w:rFonts w:ascii="Courier New" w:cs="Courier New" w:eastAsia="Courier New" w:hAnsi="Courier New"/>
          <w:b/>
          <w:bCs/>
          <w:color w:val="1B2A4A"/>
          <w:sz w:val="18"/>
          <w:szCs w:val="18"/>
        </w:rPr>
        <w:t xml:space="preserve">§10.4.g  </w:t>
      </w:r>
      <w:r>
        <w:rPr>
          <w:rFonts w:ascii="Garamond" w:cs="Garamond" w:eastAsia="Garamond" w:hAnsi="Garamond"/>
          <w:b/>
          <w:bCs/>
          <w:i w:val="false"/>
          <w:iCs w:val="false"/>
          <w:color w:val="1B2A4A"/>
          <w:sz w:val="22"/>
          <w:szCs w:val="22"/>
        </w:rPr>
        <w:t xml:space="preserve">MA Director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The Director is suspended from duties upon publication of a substantiated Panel finding, pending the legislative vote and any SC review. Any removal vote scheduled within 180 days of a major national election is automatically suspended pending SC review within 48 hours. Neither executive may remove the MA Director unilaterally.</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investigates alleged violations of the §10.5 ethics provisions upon written request from any constitutional officer, chamber of the Legislature, or Inspector General, or where the EI's own audit work identifies a potential violation. Investigation results and findings are published to the NRS. Where findings warrant further action, the EI refers to the appropriate authority: potential criminal violations are referred to prosecutorial authorities; violations warranting removal are referred to the Legislature under the applicable constitutional removal procedure; violations within an executive domain are referred to the responsible executive. The EI publishes facts and refers findings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§10.1.e during periods of Severe Revenue Contraction. It operates independently of the annual budget process. The Endowment's dual mandate is: (1) maintaining the solvency of the universal healthcare insurance system where contribution revenues are insufficient; and (2) supplementing social assistance appropriations that fall below the §10.1 dignity standard. Both mandates are activated simultaneously on MA certification of Severe Revenue Contraction.</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each nominee must hold demonstrable expertise in investment management, public finance, or fiduciary governance as defined by statute. Pool entry and certification follow §8.13; no Senate confirmation is required for pool entry. No more than two certified Pool members may be nominees of the same executive at any time. The Pool must maintain a minimum of ten certified members; if it falls below ten, both executives must nominate within 30 days and the JI publishes a notice of pool deficiency. The board of five trustees is selected by JIC lottery under §8.13; the Senate confirms each selected trustee within 60 days; no deemed confirmation applies.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social state backstop purposes under §10.1.e.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the Endowment is automatically activated under §10.1.e. The board must begin disbursements within 30 days: to the healthcare insurance system where its contribution revenues are insufficient to meet its obligations; and to social assistance where appropriations fall below the MA-certified dignity standard. The board may not withhold disbursements during a certified contraction. Disbursements continue until the MA certifies the contraction has ended and both social state systems are self-sufficient.</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accesses social state systems under §10.1, and may begin the Statehood pathway under §13.2.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is required once the audit is passed — statehood is a constitutional entitlement for any Territory that meets the criteria, not a political grant. The audit has two components: the LI audits fiscal integrity — basic sustainability and absence of structural insolvency that would require federal bailout; and the JI audits legal compliance with every Article I right. Both must pass. A Territory that fails either component receives specific published findings and may resubmit after addressing the identified failures. The Legislature defines detailed audit methodology and resubmission timelines by statute.</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one and three years, as the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 — it enters a remediation process, not automatic devolution.</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of a State's territory, the LI may — upon joint certification by all three Inspectorates — grant provisional audit status for that cycle, preserving the State's constitutional standing and social state protections under §10.1. Provisional status is unavailable where the Inspectorates jointly find that the State government materially contributed to the conditions producing conflict. The Legislature defines maximum provisional periods (not exceeding five years without fresh Inspectorate reassessment), monitoring requirements, and renewal conditions by statute.</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in a State referendum on whether to proceed to devolution or accept a two-year federal remediation commission; either path is published to the NRS. A devolved State returns to Territory status under §13.1. The following consequences apply immediately: Senate seats are vacated; existing House members complete their current terms; Article I rights and social state protections under §10.1 continue without interruption; and a federal tax exemption applies throughout the Territory period. State government elected officials continue their terms and govern under State law — the Domestic Affairs Council exercises oversight without replacing State government. Restoration to Statehood is automatic upon passing the Statehood Audit and completing the Provisional Membership Period — no additional vote required. The Legislature defines further conditions of the Territory period by statute; no consequences beyond those stated here may be imposed.</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a Senate Devolution vote, the affected State may petition the SC on the sole ground that the LI's published audit findings are factually insufficient to establish three consecutive failures under §13.3. The Court reviews only the factual basis of the audit findings — not the Senate's judgment, the policy merits of devolution, or the State's economic circumstances. The Court must rule within 14 days. Devolution is not stayed unless the Court orders it pending ruling.</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(subdivision, merger, Territory status, or independence path); and Senate approval of a negotiated restructuring agreement by 2/3 majority of full seated membership. The restructuring agreement specifies asset and liability allocation, transition timeline, constitutional status of successor jurisdictions, continuing federal obligations, and the Republic's obligations to the departing territory during the transition period. The agreement is published to the NRS and is legally binding on both parties. Social state protections under §10.1 and Article I rights continue without interruption through the transition. A successor subdivision that becomes a Territory enters the Statehood pathway immediately. The Legislature defines transition planning requirements by statute.</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or assembly by 2/3 majority, confirmed by a citizen referendum achieving simple majority on at least 50% participation; the JI's published assessment within 90 days of whether the entity systematically violates any unamendable Article I provision; and acceptance by the Legislature by 2/3 of both chambers. An accepted petition produces an incorporation agreement specifying a transition period not exceeding 48 months and the institutional adjustments required to meet §13.2.f. The incorporated entity immediately holds all Territory protections under §13.1. The Republic may not pressure any entity to initiate this process. An indigenous nation recognised under Article XIV must make a status election under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 geographically contiguous existing State. Merger requires: a referendum of the merging Territory's eligible voters achieving 60% affirmative with at least 50% participation; approval by the existing State through its own constitutional process; a joint Statehood Audit of the combined entity by the LI and JI confirming the existing State's integrity is maintained; and Senate ratification by simple majority of full seated membership. On ratification, the Territory is incorporated into the State by operation of law; the State's existing Senate seats are unchanged; House seat allocation is recalculated at the next census; and residents of the merging territory become full State citizens. Where a partial Territory merges, the remaining Territory continues under §13.1. The Legislature defines petition procedures, viability assessments for remaining Territory portions, and merger timelines by statute.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ind w:left="431"/>
        <w:jc w:val="left"/>
      </w:pPr>
      <w:r>
        <w:rPr>
          <w:rFonts w:ascii="Courier New" w:cs="Courier New" w:eastAsia="Courier New" w:hAnsi="Courier New"/>
          <w:b/>
          <w:bCs/>
          <w:color w:val="1B2A4A"/>
          <w:sz w:val="18"/>
          <w:szCs w:val="18"/>
        </w:rPr>
        <w:t xml:space="preserve">§13.9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§13.9.a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through §13.8.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§13.9.b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Digital Infrastructure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Commission is a constitutionally independent body responsible for the operation of the National Record System and the National Voting System. It is governed by an elected Director and two panels of three administrators each — the NRS Panel and the Elections Panel. The Commission is independent of both executives and the Legislature in the exercise of its administrative and certification functions. References in this Constitution to the "Electoral Commission" and to "the EC" refer to the Elections Panel of the Digital Infrastructure Commission .</w:t>
      </w:r>
    </w:p>
    <w:p>
      <w:pPr>
        <w:spacing w:after="60" w:before="200"/>
        <w:ind w:left="431"/>
        <w:jc w:val="left"/>
      </w:pPr>
      <w:r>
        <w:rPr>
          <w:rFonts w:ascii="Courier New" w:cs="Courier New" w:eastAsia="Courier New" w:hAnsi="Courier New"/>
          <w:b/>
          <w:bCs/>
          <w:color w:val="1B2A4A"/>
          <w:sz w:val="18"/>
          <w:szCs w:val="18"/>
        </w:rPr>
        <w:t xml:space="preserve">§16.1.a  </w:t>
      </w:r>
      <w:r>
        <w:rPr>
          <w:rFonts w:ascii="Garamond" w:cs="Garamond" w:eastAsia="Garamond" w:hAnsi="Garamond"/>
          <w:b/>
          <w:bCs/>
          <w:i w:val="false"/>
          <w:iCs w:val="false"/>
          <w:color w:val="1B2A4A"/>
          <w:sz w:val="22"/>
          <w:szCs w:val="22"/>
        </w:rPr>
        <w:t xml:space="preserve">Director — Election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is elected by national ranked-choice vote on National Election Day to a single non-renewable 8-year term, staggered from the administrator appointment cycles. The Director chairs the Commission and holds one vote on all Commission decisions. No person may serve more than one term as Director. The Director may not hold concurrent service on either panel. No person who has held elected office or party membership within ten years of their election may stand as Director. Campaigns for the Director position are publicly funded in full — no private money may be spent on Director campaigns.</w:t>
      </w:r>
    </w:p>
    <w:p>
      <w:pPr>
        <w:spacing w:after="60" w:before="200"/>
        <w:ind w:left="431"/>
        <w:jc w:val="left"/>
      </w:pPr>
      <w:r>
        <w:rPr>
          <w:rFonts w:ascii="Courier New" w:cs="Courier New" w:eastAsia="Courier New" w:hAnsi="Courier New"/>
          <w:b/>
          <w:bCs/>
          <w:color w:val="1B2A4A"/>
          <w:sz w:val="18"/>
          <w:szCs w:val="18"/>
        </w:rPr>
        <w:t xml:space="preserve">§16.1.b  </w:t>
      </w:r>
      <w:r>
        <w:rPr>
          <w:rFonts w:ascii="Garamond" w:cs="Garamond" w:eastAsia="Garamond" w:hAnsi="Garamond"/>
          <w:b/>
          <w:bCs/>
          <w:i w:val="false"/>
          <w:iCs w:val="false"/>
          <w:color w:val="1B2A4A"/>
          <w:sz w:val="22"/>
          <w:szCs w:val="22"/>
        </w:rPr>
        <w:t xml:space="preserve">Panel Composition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consists of three administrators responsible for the operation of the National Record System. The Elections Panel consists of three administrators responsible for the operation of the National Voting System and the administration of all federal elections and referenda. Administrators serve staggered non-renewable 6-year terms. Within each panel, terms are staggered so that no more than one seat per panel turns over in any two-year window. All administrators are appointed through the pool process under §16.1.c.</w:t>
      </w:r>
    </w:p>
    <w:p>
      <w:pPr>
        <w:spacing w:after="60" w:before="200"/>
        <w:ind w:left="431"/>
        <w:jc w:val="left"/>
      </w:pPr>
      <w:r>
        <w:rPr>
          <w:rFonts w:ascii="Courier New" w:cs="Courier New" w:eastAsia="Courier New" w:hAnsi="Courier New"/>
          <w:b/>
          <w:bCs/>
          <w:color w:val="1B2A4A"/>
          <w:sz w:val="18"/>
          <w:szCs w:val="18"/>
        </w:rPr>
        <w:t xml:space="preserve">§16.1.c  </w:t>
      </w:r>
      <w:r>
        <w:rPr>
          <w:rFonts w:ascii="Garamond" w:cs="Garamond" w:eastAsia="Garamond" w:hAnsi="Garamond"/>
          <w:b/>
          <w:bCs/>
          <w:i w:val="false"/>
          <w:iCs w:val="false"/>
          <w:color w:val="1B2A4A"/>
          <w:sz w:val="22"/>
          <w:szCs w:val="22"/>
        </w:rPr>
        <w:t xml:space="preserve">Digital Infrastructure Pool and 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maintains their own pool of nominees for panel appointments; pool entry and certification follow §8.13. When a panel vacancy arises, each executive selects one JI-certified nominee from their respective pool for that panel's qualification track and transmits the name to the Director. The Director selects one of the two nominees and transmits that selection to the Senate. The Senate confirms within 60 days; failure to vote is a constitutional compliance breach certified by the LI; no deemed confirmation applies. Where the Director finds neither nominee acceptable, the Director publishes reasons to the NRS and requests new nominations from both executives within 30 days. After two replacement requests from the same executive for the same vacancy, the Director must select from nominees then available. DIC panel vacancies must be filled within 90 days of opening.</w:t>
      </w:r>
    </w:p>
    <w:p>
      <w:pPr>
        <w:spacing w:after="60" w:before="200"/>
        <w:ind w:left="431"/>
        <w:jc w:val="left"/>
      </w:pPr>
      <w:r>
        <w:rPr>
          <w:rFonts w:ascii="Courier New" w:cs="Courier New" w:eastAsia="Courier New" w:hAnsi="Courier New"/>
          <w:b/>
          <w:bCs/>
          <w:color w:val="1B2A4A"/>
          <w:sz w:val="18"/>
          <w:szCs w:val="18"/>
        </w:rPr>
        <w:t xml:space="preserve">§16.1.d  </w:t>
      </w:r>
      <w:r>
        <w:rPr>
          <w:rFonts w:ascii="Garamond" w:cs="Garamond" w:eastAsia="Garamond" w:hAnsi="Garamond"/>
          <w:b/>
          <w:bCs/>
          <w:i w:val="false"/>
          <w:iCs w:val="false"/>
          <w:color w:val="1B2A4A"/>
          <w:sz w:val="22"/>
          <w:szCs w:val="22"/>
        </w:rPr>
        <w:t xml:space="preserve">Commission Decision-Making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Commission — Director and six administrators — decides on architecture standards, technical policy, budget, and institutional matters by simple majority of full seated membership. The Director holds one vote and is not entitled to a separate veto. For operational decisions within each system, the relevant panel of three administrators decides by majority vote; the Director may participate in panel discussions but does not vote on operational decisions. Where a panel is deadlocked 1-1-1, the Director casts a deciding vote on that operational matter only.</w:t>
      </w:r>
    </w:p>
    <w:p>
      <w:pPr>
        <w:spacing w:after="60" w:before="200"/>
        <w:ind w:left="431"/>
        <w:jc w:val="left"/>
      </w:pPr>
      <w:r>
        <w:rPr>
          <w:rFonts w:ascii="Courier New" w:cs="Courier New" w:eastAsia="Courier New" w:hAnsi="Courier New"/>
          <w:b/>
          <w:bCs/>
          <w:color w:val="1B2A4A"/>
          <w:sz w:val="18"/>
          <w:szCs w:val="18"/>
        </w:rPr>
        <w:t xml:space="preserve">§16.1.e  </w:t>
      </w:r>
      <w:r>
        <w:rPr>
          <w:rFonts w:ascii="Garamond" w:cs="Garamond" w:eastAsia="Garamond" w:hAnsi="Garamond"/>
          <w:b/>
          <w:bCs/>
          <w:i w:val="false"/>
          <w:iCs w:val="false"/>
          <w:color w:val="1B2A4A"/>
          <w:sz w:val="22"/>
          <w:szCs w:val="22"/>
        </w:rPr>
        <w:t xml:space="preserve">Operational Independence of Panels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has sole operational authority over the technical infrastructure, security, cryptographic standards, and system availability of the National Record System. What is published to the NRS is constitutionally determined — the NRS Panel may not withhold, delay, or restrict any record that is constitutionally required to be published. The Director and Elections Panel may not issue instructions to the NRS Panel regarding the technical operation of the system. The Elections Panel has sole operational authority over the conduct of elections, the administration of the National Voting System, and the certification of all electoral results. The Director and NRS Panel may not issue instructions to the Elections Panel regarding election conduct or result certification. These independence protections are absolute and may not be modified by Commission policy or Director directive.</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Administrator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Panel administrators must hold at least 12 years of professional expertise in cryptography, distributed systems, information security, or public records management, and must have no current or recent partisan affiliation. Elections Panel administrators must hold at least 12 years of professional expertise in elections administration, electoral technology, or public administration, and must have no current or recent partisan affiliation. All administrators must pass the Constitutional Logic Test. Qualifications are assessed by the JI at time of pool nomination and published to the NRS.</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Removal of Director and Administrators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and panel administrators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A Director or administrator is suspended from duties upon publication of a substantiated Panel finding, pending the legislative vote and any SC review. Any removal vote scheduled within 180 days of a major national election is automatically suspended pending SC review within 48 hours.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Digital Infrastructure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Commission's independence does not place it above accountability. The EI oversees the Director and the Commission as a whole. The LI audits NRS Panel operations and NRS integrity annually under §9.1.e. The JI audits Elections Panel operations and electoral integrity annually. All audit findings are published to the NRS and transmitted to both chambers of the Legislature.</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panel administrator seat becomes vacant mid-term, the vacancy process under §16.1.c runs immediately. The replacement serves the remainder of the vacated term only and may not subsequently be nominated to the pool for the same panel track. Where the Director seat becomes vacant, the six panel administrators jointly designate one as Acting Director by majority vote within 7 days; a special Director election must be held within 120 days. The Acting Director holds full Director authority except on full Commission decisions — they may not cast the deciding vote under §16.1.d on Commission-wide matters during the special election campaign period. Panel operational deadlocks may still be resolved by the Acting Director's deciding vote regardless of the election period, as panel decisions are operational rather than institutional in nature.</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Emergency Technical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the Commission to adopt temporary technical measures in imminent security threats or system failures, bypassing the normal majority decision threshold. The emergency power is narrowly constrained — it cannot change electoral rules, timelines, candidate eligibility, or NRS record permanence. It is a system-integrity tool only. Emergency measures expire within 72 hours unless ratified by the full Commission at a convened session.</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The National Trust Administrator is independently confirmed under the §2.2.h escalation framework.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whose independence is protected by statute.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established in §19.3.a through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social state system continuity under §10.1, public safety, and essential services. No new permanent legislation.</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NRS Panel administrators of the Digital Infrastructure Commission are appointed. Digital Infrastructure Commission Elections Panel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nominated by the PM and confirmed by the Senate under §4.2.d and §4.2.h. Electoral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NRS Panel administrators.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NRS Panel administrators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2026-05-22T14:07:17.957Z</dcterms:created>
  <dcterms:modified xsi:type="dcterms:W3CDTF">2026-05-22T14:07:17.968Z</dcterms:modified>
</cp:coreProperties>
</file>

<file path=docProps/custom.xml><?xml version="1.0" encoding="utf-8"?>
<Properties xmlns="http://schemas.openxmlformats.org/officeDocument/2006/custom-properties" xmlns:vt="http://schemas.openxmlformats.org/officeDocument/2006/docPropsVTypes"/>
</file>