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Government actors may not pressure, incentivize, or coerce private platforms or institutions to suppress speech on their behalf. Such an act constitutes the same constitutional violation as direct censorship. This prohibition applies equally to digital and physical media. Government may not impose viewpoint-based conditions on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protections: §1.9.a — absolute right to refuse any medical procedure or biological sampling; no mandate is permissible under any emergency without uncoerced revocable written consent. §1.9.b — individuals own their personal data, likeness, and biometric information; government data collection is subject to strict necessity limits and may not build behavioral profiles. §1.9.c — cryptographic keys are private property; no court or agency may compel their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Housing access for persons who cannot independently secure it is a Basic Needs Floor obligation under §10.1. Housing exclusion is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No person within the Republic's jurisdiction may be returned, expelled, or extradited to any territory where they face genuine risk of persecution, torture, or deprivation of life based on race, religion, nationality, political opinion, or group membership. No exception applies for immigration status, mode of entry, or any emergency declaration. A pending §6.4 asylum application stays removal.</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without individual identification is prohibited outright. Private-sector entities cannot be compelled to collect or disclose on the government's behalf beyond what independent judicial authorization would permit. The Legislature may establish data minimization and retention limits for government-held data.</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All domestic intelligence operations against Republic citizens are prohibited and constitutionally void. Any such order is reported to the NRS by the EI. This prohibition is non-derogable — no emergency, treaty, or statute can suspend it.</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The explicit provision that closes the gap between freedom of association (§1.6) and privacy in associations. §1.6 protects the right to associate; §1.29.e protects the right to keep private who you associate with and the fact that you do. A government can comply with §1.6 while violating §1.29.e — it can refrain from prohibiting membership while systematically mapping it. The NAACP v. Alabama problem: compelling a membership list doesn't stop anyone from associating, but it destroys the practical value of the protection. Government mapping of associations — who a person knows, meets, communicates with, or joins — requires the same specific judicial authorization as communications collection under §1.29.c. Bulk mapping is prohibited on the same terms as bulk collection. The general right in §1.29 listed "associations" but didn't specify this protection explicitly; §1.29.e closes that interpretive gap.</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opening provision of the Presidential domain. Authority is defined and bounded — military command, foreign affairs, intelligence, treaty negotiation, trade agreements, domain officer appointments, and the domain-scoped veto. The structure is intentional: Presidential authority is enumerated; PM authority is residual. Any question about which executive holds a function resolves to the PM unless the President can point to a specific enumerated power here.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The prohibition on domestic intelligence operations against Republic citizens is non-derogable and permanent under §1.29.d. Any order authorizing domestic intelligence operations against Republic citizens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Domain-scoped veto — deliberately the most limited presidential veto in any constitutional design. The President may veto only bills raising a genuine constitutional concern within the security domain: military operations, intelligence, treaty obligations, border security. A general or speculative security connection is not sufficient. The SC reviews any presidential veto within 48 hours on petition from either Speaker — prevents the veto from becoming a de facto policy lever dressed in security language.</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Where both executives disagree on whether a military operation falls within the Presidential military domain during active operations, either executive may file a written NRS objection within 6 hours. The executives have 12 hours to resolve the dispute by negotiation. Where no resolution is reached, either executive may petition the Supreme Court for an emergency domain determination; the Court must rule within 24 hours of petition. Pending an SC ruling, the Presidential order governs only operations directly connected to the active military situation while all other government functions follow the PM.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domain opening — residual authority. Everything not enumerated as Presidential is the PM's. Domestic policy, fiscal policy, BNF administration, legislation review, judicial nominations, independent agency appointments, PM clemency. The PM answers to the House through the confidence mechanism — unlike the President, who is directly elected and does not require legislative confidence.</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The Record System Mandate</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Duty of Refusal</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Civil Service Integrity</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PM Information Rights</w:t>
      </w:r>
    </w:p>
    <w:p>
      <w:pPr>
        <w:spacing w:after="120" w:before="0"/>
        <w:ind w:left="863"/>
        <w:jc w:val="both"/>
      </w:pPr>
      <w:r>
        <w:rPr>
          <w:rFonts w:ascii="Garamond" w:cs="Garamond" w:eastAsia="Garamond" w:hAnsi="Garamond"/>
          <w:color w:val="2a2520"/>
          <w:sz w:val="22"/>
          <w:szCs w:val="22"/>
        </w:rPr>
        <w:t xml:space="preserve">The PM has a constitutional right to full and timely briefing on all national security matters affecting domestic interests. The President may not withhold information from the PM on grounds of security classification where those matters bear on the PM's domestic responsibilities.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Acting PM provisions — who governs when the PM cannot. The most senior Domestic Affairs Council Officer (SDACO) serves as Caretaker PM. The SDACO's authority is limited to maintaining existing policy and emergency functions. Caretaker status expires when a new PM takes confidence.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Selection</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Caretaker Protocol</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Objection Limits</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Emergency Legislative Continuity</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Where the Presidency becomes vacant, the Senate Speaker serves as Acting President immediately upon the vacancy. A special presidential election must be held within 90 days of the vacancy. The Acting President holds full Presidential authority during the vacancy period subject to the constraints of §2.6.a and §2.6.b.</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Incapacity Certification</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Both executives must publish all official acts — orders, certifications, vetoes, objections, determinations — to the NRS within 48 hours of issuance. No executive may classify, delay, or suppress publication of an act this constitution requires to be published. Failure to publish within 48 hours is a constitutional compliance breach; a late-published act is not void.</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Republic's legislature is bicameral. The House of Representatives is the proportional chamber. Seats are allocated by population with a minimum of one seat per State, a floor of one seat per 750,000 citizens, and a formula that self-scales with population growth. The Legislature may set a higher membership by statute and must publish justification for any formula producing fewer than one seat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every ten years and whenever the Legislature requires reapportionment. Census methodology is published to the NRS before each census. Results are published to the NRS within 90 days of completion and used as the basis for House seat allocation.</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Caretaker Activation and PM Formation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House Term Limits</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Senator Terms and Limits</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Senate Speaker Role Limit</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requires a 2/3 majority of the full seated Senate. Two sub-provisions govern failed ratification: §3.2.e.i (where domestic provisions may proceed as ordinary legislation if they stand independently) and §3.2.e.ii (where a bilateral treaty designed as an integrated whole must be renegotiated rather than disaggregated).</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a treaty is bilateral and designed as an integrated whole — with reciprocal obligations that are interdependent — the President may not disaggregate and transmit domestic provisions separately. The treaty must be renegotiated or abandoned in its entirety.</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Impeachment Trials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Survivor Quorum — Catastrophic Casualty Events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Speaker Vacancy</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Prohibited Inputs</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Drawing Authority — States</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National Compliance Review</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Court Adjudication</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Continuity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House Expulsion</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Senate Expulsion</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Anti-Weaponization Threshold</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Consequences and Restoration</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Recall — States and Territories</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Vacancy Filling — States and Territories</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Oversight</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The most senior Appellate Court judge by continuous service is automatically designated as Temporary Associate Justice within 5 days of any SC vacancy, without nomination or confirmation. The Temporary Associate Justice holds a full vote in all cases and may not stand as a candidate for the seat they are temporarily filling.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published to the NRS are self-authenticating — no re-certification is required for use in any legal or administrative proceeding. Professional licenses issued by any State or Territory receive recognition across all States and Territories. §1.12 governs any State departure from the recognition default.</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A judgment is final for §4.4.a purposes if it is not subject to an automatic stay under the issuing jurisdiction's procedural law, regardless of whether an appeal is pending. The Legislature may refine the finality standard for specific categories but may not use pending-appeal status alone to block enforcement. The procedural framework mandate — filing forms, fee schedule, and enforcement timeline — is established by statute.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five or more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must be completed within 90 days of application.</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CLT must assess knowledge sufficient to understand the structure, powers, limits, and rights established by this Constitution. Any statute reducing the CLT below this floor is void and any citizen may challenge it in court. The Senate sets the CLT standard by statute — raising it by simple majority of both chambers, lowering it by 2/3 supermajority of both chambers. Compliance with the constitutional floor is enforced by courts on challenge. Where the CLT Administrator position is vacant, the Judicial Inspectorate administers the CLT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§6.1.a–b  </w:t>
      </w:r>
      <w:r>
        <w:rPr>
          <w:rFonts w:ascii="Garamond" w:cs="Garamond" w:eastAsia="Garamond" w:hAnsi="Garamond"/>
          <w:b/>
          <w:bCs/>
          <w:color w:val="1B2A4A"/>
          <w:sz w:val="22"/>
          <w:szCs w:val="22"/>
        </w:rPr>
        <w:t xml:space="preserve">The Dual Gate</w:t>
      </w:r>
    </w:p>
    <w:p>
      <w:pPr>
        <w:spacing w:after="120" w:before="0"/>
        <w:ind w:left="863"/>
        <w:jc w:val="both"/>
      </w:pPr>
      <w:r>
        <w:rPr>
          <w:rFonts w:ascii="Garamond" w:cs="Garamond" w:eastAsia="Garamond" w:hAnsi="Garamond"/>
          <w:color w:val="2a2520"/>
          <w:sz w:val="22"/>
          <w:szCs w:val="22"/>
        </w:rPr>
        <w:t xml:space="preserve">Legal residency requires passing both gates. Gate 1 is the federal substantive assessment — national standards that no State can circumvent. Gate 2 is State acceptance — no State can be forced to absorb unlimited immigration obligations without its participation. The dual-gate architecture prevents two failure modes simultaneously: race-to-the-bottom competition among States offering easy Gate 2 acceptance, and federal imposition of immigration outcomes that States must bear without agreement. The Presidential role (§6.1.c) is to set Gate 1 criteria by executive order within House-enacted parameters — giving the executive flexibility to respond to changing conditions without requiring constant legislative action.</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security concern — without publishing classified content. The in-camera determination is outcome-determinative: either the security concern meets the constitutional standard and the denial stands, or it does not and recertification is ordered.</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Reports</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No Classification</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No Binding Force</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Non-Pursuit Disclosure</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Inspectorate Funding Guarantee</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Citizen Discrepancy Petition</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Every eight years from the date of full constitutional operation, the three Inspectorates jointly assess the performance of the constitutional framework across all domains: enforcement of Article I rights; functioning of the Inspectorate reporting mechanism; compliance with fiscal obligations; completeness of military subordination; and comprehensiveness of NRS coverage. The assessment is published to the NRS and transmitted to both chambers of the Legislature. The Legislature must respond within 90 days with a published statement. Findings and responses form a permanent longitudinal record of constitutional performance.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 — it is a constitutional offense.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Anti-Evasion Principle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Severe Contraction Protocol — Activation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Severe Contraction Protocol — Effects</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Contraction Protocol — Parliamentary Review</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Federal Supplementation Obligation</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Tax Origination and Fiscal Objection</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Annual Budget and Continuation Spending</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BNF and Contraction Exemptions</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Official Benefits</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Financial Disclosure</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Integrity Bans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Anti-Ego Provision</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Official Gifts</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Oath of Office Requirement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Defense Readiness and Veterans Obligations</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Compensation of Public Officials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Five-Year Maximum</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Senate Armed Services Committee</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Military Authority During Presidential Succession Vacuum</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No Executive Veto</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Advisory Referenda</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Independence Transition Framework</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Framework Agreement Requirement</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Transition Period — 24 to 60 Months</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Basic Needs Floor Transition</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Executive Authority During Transition</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Simultaneous Independence Sequencing</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 No member of the EC may have held elected office or party membership within ten years of their election.</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the Electoral Commission may extend ballot information delivery to cover State and local races. The State bears the cost. The Commission may not refuse except on operational capacity grounds.</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This constitution takes effect upon ratification by the required threshold established in §19.1.a. Ratification creates binding constitutional obligations on all governmental actors, existing institutions, and successor entities within the Republic's jurisdiction from Day Zero. The ratification process, institutional accommodation, and multi-founder formation procedures are governed by §19.1.a, §19.1.b, and §19.1.c respectively.</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aa660f7a978b481e7621fd8e954716d925f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2026-05-18T02:36:34.674Z</dcterms:created>
  <dcterms:modified xsi:type="dcterms:W3CDTF">2026-05-18T02:36:34.688Z</dcterms:modified>
</cp:coreProperties>
</file>

<file path=docProps/custom.xml><?xml version="1.0" encoding="utf-8"?>
<Properties xmlns="http://schemas.openxmlformats.org/officeDocument/2006/custom-properties" xmlns:vt="http://schemas.openxmlformats.org/officeDocument/2006/docPropsVTypes"/>
</file>