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(not less than 55%, not more than 67% of full Senate membership).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registered candidates. The Board may publish an advisory assessment of any registered candidate's judicial record, legal reasoning, and professional independence — on request from the PM or any Senator, or on the Board's own motion. All assessments are published to the NRS and transmitted to the Senate before any confirmation vote. Advisory only — the Board holds no nomination authority and no ability to restrict any PM nomination.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 JI-certified candidate from the SC Candidate Registry. For scheduled vacancies, the PM must nominate within 60 days of the outgoing justice's term ending. For mid-term vacancies, the PM must nominate within 45 days of the vacancy arising. Within 30 days of nomination, the JI confirms the candidate's registry status and publishes its assessment to the NRS — covering the nominee's judicial record, legal career, and any relevant conflicts of interest. Any Judicial Selection Board assessment of the nominee is transmitted to the Senate simultaneously. The Senate must vote within 90 days of the JI assessment being published. Failure to vote within 90 days is a constitutional compliance breach certified by the LI. No deemed confirmation applies — the Senate must hold an affirmative vote. If the Senate declines to confirm, the PM submits a new nomination within 30 days and the full process restarts from that nomination. The confirmed justice takes the Official Oath; the confirmation and JI assessment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2026-05-22T11:43:59.460Z</dcterms:created>
  <dcterms:modified xsi:type="dcterms:W3CDTF">2026-05-22T11:43:59.460Z</dcterms:modified>
</cp:coreProperties>
</file>

<file path=docProps/custom.xml><?xml version="1.0" encoding="utf-8"?>
<Properties xmlns="http://schemas.openxmlformats.org/officeDocument/2006/custom-properties" xmlns:vt="http://schemas.openxmlformats.org/officeDocument/2006/docPropsVTypes"/>
</file>