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labor are absolutely prohibited. Lawfully imposed prison labor and compulsory military service under the terms established by statute do not constitute forced labor under this provision.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1B2A4A"/>
          <w:sz w:val="18"/>
          <w:szCs w:val="18"/>
        </w:rPr>
        <w:t xml:space="preserve">§1.15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§1.17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1B2A4A"/>
          <w:sz w:val="18"/>
          <w:szCs w:val="18"/>
        </w:rPr>
        <w:t xml:space="preserve">§1.18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w:t>
      </w:r>
    </w:p>
    <w:p>
      <w:pPr>
        <w:spacing w:after="60" w:before="200"/>
        <w:ind w:left="431"/>
        <w:jc w:val="left"/>
      </w:pPr>
      <w:r>
        <w:rPr>
          <w:rFonts w:ascii="Courier New" w:cs="Courier New" w:eastAsia="Courier New" w:hAnsi="Courier New"/>
          <w:b/>
          <w:bCs/>
          <w:color w:val="1B2A4A"/>
          <w:sz w:val="18"/>
          <w:szCs w:val="18"/>
        </w:rPr>
        <w:t xml:space="preserve">§1.19.a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1B2A4A"/>
          <w:sz w:val="18"/>
          <w:szCs w:val="18"/>
        </w:rPr>
        <w:t xml:space="preserve">§1.19.b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1B2A4A"/>
          <w:sz w:val="18"/>
          <w:szCs w:val="18"/>
        </w:rPr>
        <w:t xml:space="preserve">§1.19.c  </w:t>
      </w:r>
      <w:r>
        <w:rPr>
          <w:rFonts w:ascii="Garamond" w:cs="Garamond" w:eastAsia="Garamond" w:hAnsi="Garamond"/>
          <w:b/>
          <w:bCs/>
          <w:i w:val="false"/>
          <w:iCs w:val="false"/>
          <w:color w:val="1B2A4A"/>
          <w:sz w:val="22"/>
          <w:szCs w:val="22"/>
        </w:rPr>
        <w:t xml:space="preserve">Monitor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Monitors continue to operate with full constitutional authority throughout any emergency — they cannot be suspended or have their mandate reduced by emergency declaration.</w:t>
      </w:r>
    </w:p>
    <w:p>
      <w:pPr>
        <w:spacing w:after="60" w:before="200"/>
        <w:ind w:left="431"/>
        <w:jc w:val="left"/>
      </w:pPr>
      <w:r>
        <w:rPr>
          <w:rFonts w:ascii="Courier New" w:cs="Courier New" w:eastAsia="Courier New" w:hAnsi="Courier New"/>
          <w:b/>
          <w:bCs/>
          <w:color w:val="1B2A4A"/>
          <w:sz w:val="18"/>
          <w:szCs w:val="18"/>
        </w:rPr>
        <w:t xml:space="preserve">§1.19.d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§1.19.e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pending SC determination. During active military operations, the Legat Consul's domain governs operational decisions; either executive may petition the SC for an expedited domain determination.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directs foreign intelligence. No intelligence operation may be conducted against Republic citizens within Republic territory on the Legat Consul's authority; such operations require independent judicial authorization. The Legat Consul may veto legislation that raises a genuine constitutional concern within the Legat Consul's domain — military operations, intelligence, treaty obligations, or border security. A general or speculative security connection is insufficient. Either Speaker may petition the SC for an expedited domain determination of any disputed veto; the SC must rule within 7 days of such petition. Under §9.1, either Speaker may request an EM assessment of the domain question, which the SC may consider as expert evidence. Where the SC confirms the veto falls outside the Legat Consul's defined domain, the veto is void and the bill proceeds to ordinary enactment without Legat Consul assent. Where the SC confirms the veto is within domain, the ordinary 2/3 override threshold applies.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Consular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negotiates and concludes trade agreements. Civic Consul written concurrence is required only for provisions imposing national treatment obligations within Republic territory, provisions requiring new domestic legislation, or provisions creating direct obligations on domestic persons. All other trade terms are within the Legat Consul's sole authority. The Civic Consul must respond to any request for concurrence within the period defined by statute; where no statutory period has been established, the constitutional default is 30 days. Where the Civic Consul does not respond within the applicable period, concurrence is deemed given for provisions that do not require new domestic legislation; silence on provisions that require new domestic legislation is deemed withheld. Where Civic Consul concurrence is withheld on a specific provision, that provision may be transmitted to the Assembly as ordinary legislation while the remaining agreement proceeds to Senate ratification independently.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Where the executives dispute whether a provision requires new domestic legislation for purposes of the concurrence default, either executive may refer the classification question to the SC for expedited determination within the concurrence period.</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must originate with the Civic Consul and pass the Assembly;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and on trade agreement provisions creating direct domestic fiscal obligations; the Civic Consul’s response is advisory and does not constitute a concurrence requirement.</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1B2A4A"/>
          <w:sz w:val="18"/>
          <w:szCs w:val="18"/>
        </w:rPr>
        <w:t xml:space="preserve">§2.6.a  </w:t>
      </w:r>
      <w:r>
        <w:rPr>
          <w:rFonts w:ascii="Garamond" w:cs="Garamond" w:eastAsia="Garamond" w:hAnsi="Garamond"/>
          <w:b/>
          <w:bCs/>
          <w:i w:val="false"/>
          <w:iCs w:val="false"/>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Elections Panel administers a public dissolution referendum; a simple majority decides. If the Assembly elects a Civic Consul before the dissolution vote is certified, the referendum concludes without effect. Where the dissolution vote passes, a new Assembly general election follows; the Acting mechanism continues until the new Assembly elects a Civic Consul.</w:t>
      </w:r>
    </w:p>
    <w:p>
      <w:pPr>
        <w:spacing w:after="60" w:before="200"/>
        <w:ind w:left="431"/>
        <w:jc w:val="left"/>
      </w:pPr>
      <w:r>
        <w:rPr>
          <w:rFonts w:ascii="Courier New" w:cs="Courier New" w:eastAsia="Courier New" w:hAnsi="Courier New"/>
          <w:b/>
          <w:bCs/>
          <w:color w:val="1B2A4A"/>
          <w:sz w:val="18"/>
          <w:szCs w:val="18"/>
        </w:rPr>
        <w:t xml:space="preserve">§2.6.b  </w:t>
      </w:r>
      <w:r>
        <w:rPr>
          <w:rFonts w:ascii="Garamond" w:cs="Garamond" w:eastAsia="Garamond" w:hAnsi="Garamond"/>
          <w:b/>
          <w:bCs/>
          <w:i w:val="false"/>
          <w:iCs w:val="false"/>
          <w:color w:val="1B2A4A"/>
          <w:sz w:val="22"/>
          <w:szCs w:val="22"/>
        </w:rPr>
        <w:t xml:space="preserve">Temporary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is temporarily unable to exercise authority, the Civic Consul’s designated Acting Civic Consul serves with authority limited to maintaining existing policy and emergency functions.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Civic Consul withholds assent from a bill passed by both chambers, the Civic Consul exercises a suspensive veto by returning the bill to the Legislature within the period defined by statute with a written statement of objection specifying constitutional, fiscal, or operational grounds, published to the NRS. The bill is suspended from taking effect during the return and reconsideration period. The Legislature may override the suspensive veto by 2/3 of both chambers in a concurrent vote; a successfully overridden bill takes effect without Civic Consul assent. Where the Legislature does not hold an override vote within the period defined by statute, the bill lapses for that session and may be reintroduced in the next. The suspensive veto may not be used on the annual budget, bills implementing a constitutional obligation, or emergency legislation. The Civic Consul may also object on specific solvency grounds — the bill would cause or materially worsen a structural deficit. The Assembly may override a solvency objection by simple majority. If the Civic Consul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§13.3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Council of Ministers; the other executive must respond in writing within twelve hours; failure to respond within twelve hours is treated as an objection for the purposes of this provision; concurrence makes the designation effective and it is published to the NRS immediately with both executives' attributed positions; objection or non-response refers the dispute to the SC under §2.15 for expedited review. A temporary lead designation does not extinguish the other executive's domain authorities or certification functions — it assigns operational coordination, not constitutional supremacy. Either executive may petition the SC directly for emergency resolution of a coordination failure; the SC must rule within the period defined by statute, not to exceed 48 hours. Judicial review of any lead designation is conducted after the emergency is stabilized, not during it; courts do not govern active crisis management. Judicial review of any lead designation must be initiated within 90 days of the lead designation taking effect regardless of whether the emergency is characterized as ongoing; the SC holds expedited jurisdiction over such review.</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i w:val="false"/>
          <w:iCs w:val="false"/>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520"/>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1B2A4A"/>
          <w:sz w:val="18"/>
          <w:szCs w:val="18"/>
        </w:rPr>
        <w:t xml:space="preserve">§2.14.b  </w:t>
      </w:r>
      <w:r>
        <w:rPr>
          <w:rFonts w:ascii="Garamond" w:cs="Garamond" w:eastAsia="Garamond" w:hAnsi="Garamond"/>
          <w:b/>
          <w:bCs/>
          <w:i w:val="false"/>
          <w:iCs w:val="false"/>
          <w:color w:val="1B2A4A"/>
          <w:sz w:val="22"/>
          <w:szCs w:val="22"/>
        </w:rPr>
        <w:t xml:space="preserve">Coordination Failure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domains but their actions are materially incompatible, either may declare a coordination failure by NRS notice. The Legislature may resolve the deadlock by concurrent resolution. Where the Legislature does not act within 30 days, the Legat Consul retains full authority within the Legat domain and the Civic Consul’s executive authority governs the cross-domain interaction pending resolution; this applies to how the domains interact, not to the substance of either domain.</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80" w:before="200"/>
        <w:ind w:left="431"/>
      </w:pPr>
      <w:r>
        <w:rPr>
          <w:rFonts w:ascii="Courier New" w:cs="Courier New" w:hAnsi="Courier New"/>
          <w:b/>
          <w:bCs/>
          <w:color w:val="1B2A4A"/>
          <w:sz w:val="18"/>
          <w:szCs w:val="18"/>
        </w:rPr>
        <w:t xml:space="preserve">§2.16  </w:t>
      </w:r>
      <w:r>
        <w:rPr>
          <w:rFonts w:ascii="Garamond" w:cs="Garamond" w:hAnsi="Garamond"/>
          <w:b/>
          <w:bCs/>
          <w:color w:val="1B2A4A"/>
          <w:sz w:val="22"/>
          <w:szCs w:val="22"/>
        </w:rPr>
        <w:t xml:space="preserve">Federal Prosecution</w:t>
      </w:r>
    </w:p>
    <w:p>
      <w:pPr>
        <w:spacing w:after="120" w:before="0"/>
        <w:ind w:left="431"/>
        <w:jc w:val="both"/>
      </w:pPr>
      <w:r>
        <w:rPr>
          <w:rFonts w:ascii="Garamond" w:cs="Garamond" w:hAnsi="Garamond"/>
          <w:color w:val="2a2520"/>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a primary criterion.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 The Republic provides standard residential accommodation at the Seat of Government to every serving member of both chambers during their period of service. The standard is defined by statute and applies equally to all members regardless of tenure, seniority, or political affiliation. </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its own law a recall mechanism for its senators; where a senator is recalled under State law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and compact agreement ratification requires 2/3 of the full seated Senate.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1B2A4A"/>
          <w:sz w:val="18"/>
          <w:szCs w:val="18"/>
        </w:rPr>
        <w:t xml:space="preserve">§3.11  </w:t>
      </w:r>
      <w:r>
        <w:rPr>
          <w:rFonts w:ascii="Garamond" w:cs="Garamond" w:eastAsia="Garamond" w:hAnsi="Garamond"/>
          <w:b/>
          <w:bCs/>
          <w:color w:val="1B2A4A"/>
          <w:sz w:val="22"/>
          <w:szCs w:val="22"/>
        </w:rPr>
        <w:t>Inviolability of Electoral Mandates</w:t>
      </w:r>
    </w:p>
    <w:p>
      <w:pPr>
        <w:spacing w:after="120" w:before="0"/>
        <w:ind w:left="431"/>
        <w:jc w:val="both"/>
      </w:pPr>
      <w:r>
        <w:rPr>
          <w:rFonts w:ascii="Garamond" w:cs="Garamond" w:eastAsia="Garamond" w:hAnsi="Garamond"/>
          <w:b w:val="false"/>
          <w:bCs w:val="false"/>
          <w:i w:val="false"/>
          <w:iCs w:val="false"/>
          <w:color w:val="auto"/>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§3.5; and impeachment and removal under §3.10. Any mechanism enabling the people themselves to shorten an elected mandate not already provided in this Constitution requires a constitutional amendment under Article XVII and may not be established by ordinary statute.</w:t>
      </w:r>
    </w:p>
    <w:p>
      <w:pPr>
        <w:spacing w:after="60" w:before="200"/>
        <w:ind w:left="431"/>
        <w:jc w:val="left"/>
      </w:pPr>
      <w:r>
        <w:rPr>
          <w:rFonts w:ascii="Courier New" w:cs="Courier New" w:eastAsia="Courier New" w:hAnsi="Courier New"/>
          <w:b/>
          <w:bCs/>
          <w:color w:val="1B2A4A"/>
          <w:sz w:val="18"/>
          <w:szCs w:val="18"/>
        </w:rPr>
        <w:t xml:space="preserve">§3.12  </w:t>
      </w:r>
      <w:r>
        <w:rPr>
          <w:rFonts w:ascii="Garamond" w:cs="Garamond" w:eastAsia="Garamond" w:hAnsi="Garamond"/>
          <w:b/>
          <w:b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520"/>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1B2A4A"/>
          <w:sz w:val="18"/>
          <w:szCs w:val="18"/>
        </w:rPr>
        <w:t xml:space="preserve">§3.13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80" w:before="200"/>
        <w:ind w:left="431"/>
      </w:pPr>
      <w:r>
        <w:rPr>
          <w:rFonts w:ascii="Courier New" w:cs="Courier New" w:eastAsia="Courier New" w:hAnsi="Courier New"/>
          <w:b/>
          <w:bCs/>
          <w:color w:val="1B2A4A"/>
          <w:sz w:val="18"/>
          <w:szCs w:val="18"/>
        </w:rPr>
        <w:t xml:space="preserve">§3.14  </w:t>
      </w:r>
      <w:r>
        <w:rPr>
          <w:rFonts w:ascii="Garamond" w:cs="Garamond" w:eastAsia="Garamond" w:hAnsi="Garamond"/>
          <w:b/>
          <w:bCs/>
          <w:i w:val="false"/>
          <w:iCs w:val="false"/>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w:t>
      </w:r>
    </w:p>
    <w:p>
      <w:pPr>
        <w:spacing w:after="80" w:before="200"/>
        <w:ind w:left="431"/>
      </w:pPr>
      <w:r>
        <w:rPr>
          <w:rFonts w:ascii="Courier New" w:cs="Courier New" w:eastAsia="Courier New" w:hAnsi="Courier New"/>
          <w:b/>
          <w:bCs/>
          <w:color w:val="1B2A4A"/>
          <w:sz w:val="18"/>
          <w:szCs w:val="18"/>
        </w:rPr>
        <w:t xml:space="preserve">§3.15  </w:t>
      </w:r>
      <w:r>
        <w:rPr>
          <w:rFonts w:ascii="Garamond" w:cs="Garamond" w:eastAsia="Garamond" w:hAnsi="Garamond"/>
          <w:b/>
          <w:bCs/>
          <w:i w:val="false"/>
          <w:iCs w:val="false"/>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by statute delegate defined authorities within its legislative competence to the Legat Consul, the Civic Consul, or established agencies. Any delegation must specify the exact scope of authority delegated, the conditions on its exercise, and a maximum duration.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and publishes findings to the NRS annually.</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Any person meeting the basic legal qualifications defined by statute may apply to the Elections Panel; the Elections Panel enters qualifying applicants into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The Legislature establishes by statute the procedure for filling any remaining Temporary Associate Justice positions.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w:t>
      </w:r>
    </w:p>
    <w:p>
      <w:pPr>
        <w:spacing w:after="60" w:before="200"/>
        <w:ind w:left="431"/>
        <w:jc w:val="left"/>
      </w:pPr>
      <w:r>
        <w:rPr>
          <w:rFonts w:ascii="Courier New" w:cs="Courier New" w:eastAsia="Courier New" w:hAnsi="Courier New"/>
          <w:b/>
          <w:bCs/>
          <w:color w:val="1B2A4A"/>
          <w:sz w:val="18"/>
          <w:szCs w:val="18"/>
        </w:rPr>
        <w:t xml:space="preserve">§5.1.a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§5.1.b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1B2A4A"/>
          <w:sz w:val="18"/>
          <w:szCs w:val="18"/>
        </w:rPr>
        <w:t xml:space="preserve">§6.3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§6.3.a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§6.3.b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§6.3.c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§7.2.a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 </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1B2A4A"/>
          <w:sz w:val="18"/>
          <w:szCs w:val="18"/>
        </w:rPr>
        <w:t xml:space="preserve">§7.3.a  </w:t>
      </w:r>
      <w:r>
        <w:rPr>
          <w:rFonts w:ascii="Garamond" w:cs="Garamond" w:eastAsia="Garamond" w:hAnsi="Garamond"/>
          <w:b/>
          <w:bCs/>
          <w:i w:val="false"/>
          <w:iCs w:val="false"/>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if it disputes the Elections Panel’s finding; the SC must rule within 7 days. No further postponement may be granted without a new Elections Panel finding of impossibility and a new 2/3 legislative determination.</w:t>
      </w:r>
    </w:p>
    <w:p>
      <w:pPr>
        <w:spacing w:after="60" w:before="200"/>
        <w:jc w:val="left"/>
      </w:pPr>
      <w:r>
        <w:rPr>
          <w:rFonts w:ascii="Garamond" w:cs="Garamond" w:eastAsia="Garamond" w:hAnsi="Garamond"/>
          <w:b/>
          <w:bCs/>
          <w:i w:val="false"/>
          <w:iCs w:val="false"/>
          <w:color w:val="1B2A4A"/>
          <w:sz w:val="34"/>
          <w:szCs w:val="34"/>
        </w:rPr>
        <w:t xml:space="preserve">Article 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520"/>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IX — The Monitors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1B2A4A"/>
          <w:sz w:val="18"/>
          <w:szCs w:val="18"/>
        </w:rPr>
        <w:t xml:space="preserve">§9.1.a  </w:t>
      </w:r>
      <w:r>
        <w:rPr>
          <w:rFonts w:ascii="Garamond" w:cs="Garamond" w:eastAsia="Garamond" w:hAnsi="Garamond"/>
          <w:b/>
          <w:bCs/>
          <w:i w:val="false"/>
          <w:iCs w:val="false"/>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§9.1.b  </w:t>
      </w:r>
      <w:r>
        <w:rPr>
          <w:rFonts w:ascii="Garamond" w:cs="Garamond" w:eastAsia="Garamond" w:hAnsi="Garamond"/>
          <w:b/>
          <w:bCs/>
          <w:i w:val="false"/>
          <w:iCs w:val="false"/>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1B2A4A"/>
          <w:sz w:val="18"/>
          <w:szCs w:val="18"/>
        </w:rPr>
        <w:t xml:space="preserve">§9.1.c  </w:t>
      </w:r>
      <w:r>
        <w:rPr>
          <w:rFonts w:ascii="Garamond" w:cs="Garamond" w:eastAsia="Garamond" w:hAnsi="Garamond"/>
          <w:b/>
          <w:bCs/>
          <w:i w:val="false"/>
          <w:iCs w:val="false"/>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§9.2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1B2A4A"/>
          <w:sz w:val="18"/>
          <w:szCs w:val="18"/>
        </w:rPr>
        <w:t xml:space="preserve">§9.3  </w:t>
      </w:r>
      <w:r>
        <w:rPr>
          <w:rFonts w:ascii="Garamond" w:cs="Garamond" w:eastAsia="Garamond" w:hAnsi="Garamond"/>
          <w:b/>
          <w:bCs/>
          <w:i w:val="false"/>
          <w:iCs w:val="false"/>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§9.4.a  </w:t>
      </w:r>
      <w:r>
        <w:rPr>
          <w:rFonts w:ascii="Garamond" w:cs="Garamond" w:eastAsia="Garamond" w:hAnsi="Garamond"/>
          <w:b/>
          <w:bCs/>
          <w:i w:val="false"/>
          <w:iCs w:val="false"/>
          <w:color w:val="1B2A4A"/>
          <w:sz w:val="22"/>
          <w:szCs w:val="22"/>
        </w:rPr>
        <w:t xml:space="preserve">Judicial Monitor General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Joint Monitor Council conducts the lottery from the pool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§9.4.b  </w:t>
      </w:r>
      <w:r>
        <w:rPr>
          <w:rFonts w:ascii="Garamond" w:cs="Garamond" w:eastAsia="Garamond" w:hAnsi="Garamond"/>
          <w:b/>
          <w:bCs/>
          <w:i w:val="false"/>
          <w:iCs w:val="false"/>
          <w:color w:val="1B2A4A"/>
          <w:sz w:val="22"/>
          <w:szCs w:val="22"/>
        </w:rPr>
        <w:t xml:space="preserve">Judicial Pool — SC Eligibility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the standing Judicial Pool. Any citizen meeting the eligibility criteria — at least 15 years of legal practice or 10 years of judicial service, no current government position, no disqualifying financial interest — may apply directly to the Elections Panel. The Elections Panel applies the stated eligibility criteria and enters qualifying applicants into the registry.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i w:val="false"/>
          <w:iCs w:val="false"/>
          <w:color w:val="1B2A4A"/>
          <w:sz w:val="22"/>
          <w:szCs w:val="22"/>
        </w:rPr>
        <w:t xml:space="preserve">Monitor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Monitor General follows §9.14 Standard Track. The Judicial Track under §9.14 is additionally available where two of the three Monitors jointly assess and report for-cause grounds.</w:t>
      </w:r>
    </w:p>
    <w:p>
      <w:pPr>
        <w:spacing w:after="60" w:before="200"/>
        <w:ind w:left="431"/>
        <w:jc w:val="left"/>
      </w:pPr>
      <w:r>
        <w:rPr>
          <w:rFonts w:ascii="Courier New" w:cs="Courier New" w:eastAsia="Courier New" w:hAnsi="Courier New"/>
          <w:b/>
          <w:bCs/>
          <w:color w:val="1B2A4A"/>
          <w:sz w:val="18"/>
          <w:szCs w:val="18"/>
        </w:rPr>
        <w:t xml:space="preserve">§9.6  </w:t>
      </w:r>
      <w:r>
        <w:rPr>
          <w:rFonts w:ascii="Garamond" w:cs="Garamond" w:eastAsia="Garamond" w:hAnsi="Garamond"/>
          <w:b/>
          <w:bCs/>
          <w:i w:val="false"/>
          <w:iCs w:val="false"/>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§9.9  </w:t>
      </w:r>
      <w:r>
        <w:rPr>
          <w:rFonts w:ascii="Garamond" w:cs="Garamond" w:eastAsia="Garamond" w:hAnsi="Garamond"/>
          <w:b/>
          <w:bCs/>
          <w:i w:val="false"/>
          <w:iCs w:val="false"/>
          <w:color w:val="1B2A4A"/>
          <w:sz w:val="22"/>
          <w:szCs w:val="22"/>
        </w:rPr>
        <w:t xml:space="preserve">Monitor Removal Obstruction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constitutional actor may obstruct or delay a Monitor’s access to records, personnel, or systems within that Monitor’s audit mandate. Obstruction of a Monitor in the performance of its mandate is a constitutional breach, published to the NRS by the remaining two Monitors.</w:t>
      </w:r>
    </w:p>
    <w:p>
      <w:pPr>
        <w:spacing w:after="60" w:before="200"/>
        <w:ind w:left="431"/>
        <w:jc w:val="left"/>
      </w:pPr>
      <w:r>
        <w:rPr>
          <w:rFonts w:ascii="Courier New" w:cs="Courier New" w:eastAsia="Courier New" w:hAnsi="Courier New"/>
          <w:b/>
          <w:bCs/>
          <w:color w:val="1B2A4A"/>
          <w:sz w:val="18"/>
          <w:szCs w:val="18"/>
        </w:rPr>
        <w:t xml:space="preserve">§9.10  </w:t>
      </w:r>
      <w:r>
        <w:rPr>
          <w:rFonts w:ascii="Garamond" w:cs="Garamond" w:eastAsia="Garamond" w:hAnsi="Garamond"/>
          <w:b/>
          <w:bCs/>
          <w:i w:val="false"/>
          <w:iCs w:val="false"/>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1B2A4A"/>
          <w:sz w:val="18"/>
          <w:szCs w:val="18"/>
        </w:rPr>
        <w:t xml:space="preserve">§9.11  </w:t>
      </w:r>
      <w:r>
        <w:rPr>
          <w:rFonts w:ascii="Garamond" w:cs="Garamond" w:eastAsia="Garamond" w:hAnsi="Garamond"/>
          <w:b/>
          <w:bCs/>
          <w:i w:val="false"/>
          <w:iCs w:val="false"/>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1B2A4A"/>
          <w:sz w:val="18"/>
          <w:szCs w:val="18"/>
        </w:rPr>
        <w:t xml:space="preserve">§9.11.a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Monitors jointly assess and report that the third is operating in demonstrable bad faith, they petition the SC directly for confirmation of the finding; the SC rules within 14 days. Upon filing the petition, the two petitioning Monitors jointly designate an Acting Monitor General as the longest-tenured member of the affected Monitor’s candidate pool who accepts the designation; both executives are notified immediately. The Acting Monitor General assumes all constitutional functions of the compromised Monitor from the moment of designation. If the SC does not confirm the finding, the Acting Monitor General stands down and all functions return immediately to the original Monitor General.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§9.12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§9.13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JMC annual audit must evaluate each registry for pool depth, distribution, and patterns in exclusion decisions.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1B2A4A"/>
          <w:sz w:val="18"/>
          <w:szCs w:val="18"/>
        </w:rPr>
        <w:t xml:space="preserve">§9.14  </w:t>
      </w:r>
      <w:r>
        <w:rPr>
          <w:rFonts w:ascii="Garamond" w:cs="Garamond" w:eastAsia="Garamond" w:hAnsi="Garamond"/>
          <w:b/>
          <w:b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under §4.3.b and elected executives.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Where the SC fails to rule within 14 days, grounds are deemed confirmed and duty suspension activates immediately. The Legislature defines enumerated removal categories for each constitutionally confirmed office by statute.</w:t>
      </w:r>
    </w:p>
    <w:p>
      <w:pPr>
        <w:spacing w:after="60" w:before="200"/>
        <w:ind w:left="431"/>
        <w:jc w:val="left"/>
      </w:pPr>
      <w:r>
        <w:rPr>
          <w:rFonts w:ascii="Courier New" w:cs="Courier New" w:eastAsia="Courier New" w:hAnsi="Courier New"/>
          <w:b/>
          <w:bCs/>
          <w:color w:val="1B2A4A"/>
          <w:sz w:val="18"/>
          <w:szCs w:val="18"/>
        </w:rPr>
        <w:t xml:space="preserve">§9.14.a  </w:t>
      </w:r>
      <w:r>
        <w:rPr>
          <w:rFonts w:ascii="Garamond" w:cs="Garamond" w:eastAsia="Garamond" w:hAnsi="Garamond"/>
          <w:b/>
          <w:bCs/>
          <w:color w:val="1B2A4A"/>
          <w:sz w:val="22"/>
          <w:szCs w:val="22"/>
        </w:rPr>
        <w:t xml:space="preserve">Constitutional Officer Removal — Judicial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Judicial Track is available where the Standard Track’s legislative threshold appears unreachable due to demonstrated political gridlock. Where two of the three Monitors jointly assess and report for-cause grounds and petition the SC, the SC determines within 30 days whether the grounds constitute sufficient cause for suspension; where the SC fails to rule within 30 days, cause is deemed found. If cause is found or deemed found, the officer is suspended and the most senior deputy acts in the interim. The Senate has 60 days to hold a removal vote; 3/5 of full seated membership is required for permanent removal. A vote failing 3/5 reinstates the officer and closes the process. Where the Senate fails to vote within 60 days, the matter is placed before the next federal electoral period ballot; removal requires 60% of votes cast. Officers of independent agencies established under §3.9 are not subject to this framework; their removal is governed by the establishing statute, which must preserve the for-cause removal principle.</w:t>
      </w:r>
    </w:p>
    <w:p>
      <w:pPr>
        <w:spacing w:after="60" w:before="200"/>
        <w:jc w:val="left"/>
      </w:pPr>
      <w:r>
        <w:rPr>
          <w:rFonts w:ascii="Garamond" w:cs="Garamond" w:eastAsia="Garamond" w:hAnsi="Garamond"/>
          <w:b/>
          <w:bCs/>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while the SC reviews the restriction; the SC must rule within 14 days; the record is permanently restored unless the SC confirms the restriction on the narrowest possible grounds.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XI — NRS Panel and Elections Panel</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520"/>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Panel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seated members of the panel ratify them by majority vote of those able to act.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XII — Social State and Economic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the functions protected under §2.15;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120" w:before="0"/>
        <w:ind w:left="431"/>
        <w:jc w:val="both"/>
      </w:pPr>
      <w:r>
        <w:rPr>
          <w:rFonts w:ascii="Garamond" w:cs="Garamond" w:eastAsia="Garamond" w:hAnsi="Garamond"/>
          <w:b w:val="false"/>
          <w:bCs w:val="false"/>
          <w:i w:val="false"/>
          <w:iCs w:val="false"/>
          <w:color w:val="2a2520"/>
          <w:sz w:val="22"/>
          <w:szCs w:val="22"/>
        </w:rPr>
        <w:t xml:space="preserve"/>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has exclusive authority to levy taxes, duties, and tariffs by statute; no other body may impose a tax, duty, or levy. All public money received by the Republic — including tax revenue, fees, and other receipts — is deposited into the National Revenue Fund. No money may be withdrawn from the National Revenue Fund except by legislative appropriation under §12.2; the EM audits the Fund’s receipts and disbursements as part of its annual fiscal mandate. No tax may discriminate on the basis of the characteristics listed in §1.6. The Legislature sets tax rates for all jurisdictions within the Republic, including States, Territories, and Associated Communities. Tariff rates established by a ratified treaty under §3.6 constitute legislatively authorized rates for the duration of that treaty;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 Departures from ordinary professional standards require a demonstrable operational need, documented and published to the NRS, and are limited to the minimum extent that need requires.</w:t>
      </w:r>
    </w:p>
    <w:p>
      <w:pPr>
        <w:spacing w:after="8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8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pPr>
        <w:spacing w:after="60" w:before="200"/>
        <w:jc w:val="left"/>
      </w:pPr>
      <w:r>
        <w:rPr>
          <w:rFonts w:ascii="Garamond" w:cs="Garamond" w:eastAsia="Garamond" w:hAnsi="Garamond"/>
          <w:b/>
          <w:bCs/>
          <w:i w:val="false"/>
          <w:iCs w:val="false"/>
          <w:color w:val="1B2A4A"/>
          <w:sz w:val="34"/>
          <w:szCs w:val="34"/>
        </w:rPr>
        <w:t xml:space="preserve">Article XIII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the Judicial Track (§9.14.a). The Legislature may not set a higher or lower threshold for any direct electoral supermajority determination without a constitutional amendment. This provision does not govern the optional referendum under §13.1 or the citizen legislative initiative under §13.2, which state their own thresholds;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XIV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requires legislative authorization under §14.1 and budget passage under §2.5; the Legat Consul executes that funding. Where authorization specifies categories or amounts, the Legat Consul is bound by them; otherwise, the Legat Consul determines allocation within the authorized total.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spacing w:after="60" w:before="200"/>
        <w:jc w:val="left"/>
      </w:pPr>
      <w:r>
        <w:rPr>
          <w:rFonts w:ascii="Garamond" w:cs="Garamond" w:eastAsia="Garamond" w:hAnsi="Garamond"/>
          <w:b/>
          <w:bCs/>
          <w:i w:val="false"/>
          <w:iCs w:val="false"/>
          <w:color w:val="1B2A4A"/>
          <w:sz w:val="34"/>
          <w:szCs w:val="34"/>
        </w:rPr>
        <w:t xml:space="preserve">Article XV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§15.3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§15.4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1B2A4A"/>
          <w:sz w:val="18"/>
          <w:szCs w:val="18"/>
        </w:rPr>
        <w:t xml:space="preserve">§15.7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1B2A4A"/>
          <w:sz w:val="18"/>
          <w:szCs w:val="18"/>
        </w:rPr>
        <w:t xml:space="preserve">§15.8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jc w:val="left"/>
      </w:pPr>
      <w:r>
        <w:rPr>
          <w:rFonts w:ascii="Garamond" w:cs="Garamond" w:eastAsia="Garamond" w:hAnsi="Garamond"/>
          <w:b/>
          <w:bCs/>
          <w:i w:val="false"/>
          <w:iCs w:val="false"/>
          <w:color w:val="1B2A4A"/>
          <w:sz w:val="34"/>
          <w:szCs w:val="34"/>
        </w:rPr>
        <w:t xml:space="preserve">Article XVI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1B2A4A"/>
          <w:sz w:val="18"/>
          <w:szCs w:val="18"/>
        </w:rPr>
        <w:t xml:space="preserve">§16.2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§16.4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Constitutional questions arising from compact interpretation are appealed to the SC, which must rule within 90 days of petition; where the SC fails to rule within 90 days, the Nation’s position is upheld by constitutional operation pending any subsequent ruling.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Federal Obligations and Emergency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where the SC fails to rule within 7 days, the Writ is granted and the alleged violation is treated as confirmed pending full SC review.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§16.6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pPr>
        <w:spacing w:after="60" w:before="200"/>
        <w:ind w:left="431"/>
        <w:jc w:val="left"/>
      </w:pPr>
      <w:r>
        <w:rPr>
          <w:rFonts w:ascii="Courier New" w:cs="Courier New" w:eastAsia="Courier New" w:hAnsi="Courier New"/>
          <w:b/>
          <w:bCs/>
          <w:color w:val="1B2A4A"/>
          <w:sz w:val="18"/>
          <w:szCs w:val="18"/>
        </w:rPr>
        <w:t xml:space="preserve">§16.7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§16.7.a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pPr>
        <w:spacing w:after="60" w:before="200"/>
        <w:jc w:val="left"/>
      </w:pPr>
      <w:r>
        <w:rPr>
          <w:rFonts w:ascii="Garamond" w:cs="Garamond" w:eastAsia="Garamond" w:hAnsi="Garamond"/>
          <w:b/>
          <w:bCs/>
          <w:i w:val="false"/>
          <w:iCs w:val="false"/>
          <w:color w:val="1B2A4A"/>
          <w:sz w:val="34"/>
          <w:szCs w:val="34"/>
        </w:rPr>
        <w:t xml:space="preserve">Article XVII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(§9.2–§9.5),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on expedited review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§18.4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affirmative support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1B2A4A"/>
          <w:sz w:val="18"/>
          <w:szCs w:val="18"/>
        </w:rPr>
        <w:t xml:space="preserve">§18.5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§11.2;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§19.3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Competency Baseline by Phase 2 end may petition to enter as State or Territory. Those failing the Baseline enter as Territory and may begin the Statehood Audit immediately. Any territory may choose Territory status by simple legislative vote regardless of whether it meets the Statehood Baseline.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§5.1.a,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SC review; the SC must rule within 90 days of suspension, and where the SC fails to rule within that period, the suspension lifts and the compact resumes pending any subsequent ruling. The SC may terminate the compact on confirmed violations without remediation within the period the Legislature defines by statute.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