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§1.19.a.</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§1.19.a.</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§1.19.a.</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§1.19.a.</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§1.19.a.</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§1.19.a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 A derogation declaration may be issued by either executive acting within their constitutional domain under §2.1 and §2.5, effective on NRS publication, for a period not to exceed 14 days; an executive declaration may not be renewed, extended, or reissued for substantially the same emergency by executive act. Derogation beyond 14 days requires a statute enacted through the ordinary legislative process; the statute must state a fixed expiration date and may not be extended. Upon expiration of any declaration, all derogation measures lapse under §1.19.b.</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§1.19.a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No Declaration — executive or statutory — may be extended; every Declaration expires on the terms stated at its issuance.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§1.19.a.</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Separation of Branch Authority</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 xml:space="preserve">No person may exercise the voting or decisional authority of more than one branch of government at the same time; a person holding or acting in an office of one branch may not cast a vote or exercise a decisional power reserved to another branch for so long as they hold or act in that office. This section does not bar a person from holding a seat that carries no exercisable vote during such service, nor from resuming an office or vote upon leaving the position that created the conflict.</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Eligibility and disclosure requirements applicable to all federal offices are established in §7.4.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relations with recognized indigenous nations under Article XVI, including recognition determinations under §16.4;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§9.8. The Legislature defines qualifications and confirmation procedures for each office by statute; acting appointments may be made pending confirmation for the period and under the conditions the Legislature defines. A domain officer is a person appointed by the Legat Consul to exercise a portion of the Legat Consul's constitutional domain authority and confirmed by the Senate; persons employed in the civil service or military under a domain officer's direction are not domain officers. The Senate may remove a domain officer by majority of full seated membership; the grounds are stated and published to the NRS. The Legat Consul may dismiss a domain officer at any time, published to the NRS.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pPr>
        <w:spacing w:after="120"/>
        <w:ind w:left="431"/>
        <w:jc w:val="both"/>
      </w:pPr>
      <w:r>
        <w:rPr>
          <w:rFonts w:ascii="Garamond" w:eastAsia="Garamond" w:hAnsi="Garamond" w:cs="Garamond"/>
          <w:color w:val="2A2A2A"/>
          <w:sz w:val="22"/>
          <w:szCs w:val="22"/>
        </w:rPr>
        <w:t xml:space="preserve">(1) The Civic Consul holds residual executive authority over all functions not enumerated to the Legat Consul. To hold the office of Civic Consul, a person must be a serving member of the Assembly at the time of election as required by §2.6. Eligibility and disclosure requirements applicable to all federal offices are established in §7.4. No other eligibility requirement applies. The Civic Consul serves at the confidence of the Assembly, subject to removal under §2.6.</w:t>
      </w:r>
    </w:p>
    <w:p>
      <w:pPr>
        <w:spacing w:after="120"/>
        <w:ind w:left="431"/>
        <w:jc w:val="both"/>
      </w:pPr>
      <w:r>
        <w:rPr>
          <w:rFonts w:ascii="Garamond" w:eastAsia="Garamond" w:hAnsi="Garamond" w:cs="Garamond"/>
          <w:color w:val="2A2A2A"/>
          <w:sz w:val="22"/>
          <w:szCs w:val="22"/>
        </w:rPr>
        <w:t xml:space="preserve">(2) No person may serve more than 6 years consecutively as Civic Consul, nor more than 8 years cumulatively across all periods of service; the cumulative limit is a lifetime maximum. A person who has served as Civic Consul for 4 years or more, whether continuously or as the total of their service, and who then leaves the office for any reason, may not serve again as Civic Consul until one full Assembly electoral cycle has passed since they left the office; during that interval they may hold an Assembly seat but may not be elected or designated Civic Consul. A person who has served fewer than 4 years is subject to no cooling-off period on that account, but remains bound by both the consecutive and cumulative limits.</w:t>
      </w:r>
    </w:p>
    <w:p>
      <w:pPr>
        <w:spacing w:after="120"/>
        <w:ind w:left="431"/>
        <w:jc w:val="both"/>
      </w:pPr>
      <w:r>
        <w:rPr>
          <w:rFonts w:ascii="Garamond" w:eastAsia="Garamond" w:hAnsi="Garamond" w:cs="Garamond"/>
          <w:color w:val="2A2A2A"/>
          <w:sz w:val="22"/>
          <w:szCs w:val="22"/>
        </w:rPr>
        <w:t xml:space="preserve">(3) The Civic Consul's domestic authority includes:</w:t>
      </w:r>
    </w:p>
    <w:p>
      <w:pPr>
        <w:spacing w:after="120"/>
        <w:ind w:left="720"/>
        <w:jc w:val="both"/>
      </w:pPr>
      <w:r>
        <w:rPr>
          <w:rFonts w:ascii="Garamond" w:eastAsia="Garamond" w:hAnsi="Garamond" w:cs="Garamond"/>
          <w:color w:val="2A2A2A"/>
          <w:sz w:val="22"/>
          <w:szCs w:val="22"/>
        </w:rPr>
        <w:t xml:space="preserve">— all domestic policy and regulatory frameworks;</w:t>
      </w:r>
    </w:p>
    <w:p>
      <w:pPr>
        <w:spacing w:after="120"/>
        <w:ind w:left="720"/>
        <w:jc w:val="both"/>
      </w:pPr>
      <w:r>
        <w:rPr>
          <w:rFonts w:ascii="Garamond" w:eastAsia="Garamond" w:hAnsi="Garamond" w:cs="Garamond"/>
          <w:color w:val="2A2A2A"/>
          <w:sz w:val="22"/>
          <w:szCs w:val="22"/>
        </w:rPr>
        <w:t xml:space="preserve">— preparation of a proposed budget for the civic domain, submitted to the Assembly under §12.2;</w:t>
      </w:r>
    </w:p>
    <w:p>
      <w:pPr>
        <w:spacing w:after="120"/>
        <w:ind w:left="720"/>
        <w:jc w:val="both"/>
      </w:pPr>
      <w:r>
        <w:rPr>
          <w:rFonts w:ascii="Garamond" w:eastAsia="Garamond" w:hAnsi="Garamond" w:cs="Garamond"/>
          <w:color w:val="2A2A2A"/>
          <w:sz w:val="22"/>
          <w:szCs w:val="22"/>
        </w:rPr>
        <w:t xml:space="preserve">— the civil service;</w:t>
      </w:r>
    </w:p>
    <w:p>
      <w:pPr>
        <w:spacing w:after="120"/>
        <w:ind w:left="720"/>
        <w:jc w:val="both"/>
      </w:pPr>
      <w:r>
        <w:rPr>
          <w:rFonts w:ascii="Garamond" w:eastAsia="Garamond" w:hAnsi="Garamond" w:cs="Garamond"/>
          <w:color w:val="2A2A2A"/>
          <w:sz w:val="22"/>
          <w:szCs w:val="22"/>
        </w:rPr>
        <w:t xml:space="preserve">— and administration of the social state under Article XII.</w:t>
      </w:r>
    </w:p>
    <w:p>
      <w:pPr>
        <w:spacing w:after="120"/>
        <w:ind w:left="431"/>
        <w:jc w:val="both"/>
      </w:pPr>
      <w:r>
        <w:rPr>
          <w:rFonts w:ascii="Garamond" w:eastAsia="Garamond" w:hAnsi="Garamond" w:cs="Garamond"/>
          <w:color w:val="2A2A2A"/>
          <w:sz w:val="22"/>
          <w:szCs w:val="22"/>
        </w:rPr>
        <w:t xml:space="preserve">(4) The Civic Consul may declare a domestic emergency in response to natural disaster, public health crisis, or infrastructure failure, subject to the constraints of Article I and renewable by Assembly approval at intervals defined by statute; in the absence of a statutory interval, the constitutional default is 30 days. The Legat Consul has no role in domestic emergencies.</w:t>
      </w:r>
    </w:p>
    <w:p>
      <w:pPr>
        <w:spacing w:after="120"/>
        <w:ind w:left="431"/>
        <w:jc w:val="both"/>
      </w:pPr>
      <w:r>
        <w:rPr>
          <w:rFonts w:ascii="Garamond" w:eastAsia="Garamond" w:hAnsi="Garamond" w:cs="Garamond"/>
          <w:color w:val="2A2A2A"/>
          <w:sz w:val="22"/>
          <w:szCs w:val="22"/>
        </w:rPr>
        <w:t xml:space="preserve">(5)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treaty and compact negotiations with recognized indigenous nations where their terms bear on domestic interests; the Civic Consul's response is advisory.</w:t>
      </w:r>
    </w:p>
    <w:p>
      <w:pPr>
        <w:spacing w:after="120"/>
        <w:ind w:left="431"/>
        <w:jc w:val="both"/>
      </w:pPr>
      <w:r>
        <w:rPr>
          <w:rFonts w:ascii="Garamond" w:eastAsia="Garamond" w:hAnsi="Garamond" w:cs="Garamond"/>
          <w:color w:val="2A2A2A"/>
          <w:sz w:val="22"/>
          <w:szCs w:val="22"/>
        </w:rPr>
        <w:t xml:space="preserve">(6) Where the Civic Consul is temporarily unable to exercise authority, the Assembly Speaker serves as Acting Civic Consul by constitutional operation from the moment the incapacity is published to the NRS, with authority limited to maintaining existing policy and emergency functions. While serving in an acting executive capacity, the Speaker may not exercise any legislative function; the Speaker retains their Assembly seat and the Speakership, and the Assembly provides for the exercise of the Speaker's functions during that period under its internal procedures. Acting service neither extends nor suspends the Speaker's electoral mandate; where the Speaker ceases to be a member of the Assembly, acting authority passes by constitutional operation to the Assembly Speaker then in office. Acting status ends when the Civic Consul resumes their duties or a new Civic Consul is elected under §2.6; the Speaker's legislative functions resume at that moment.</w:t>
      </w:r>
    </w:p>
    <w:p>
      <w:pPr>
        <w:spacing w:after="120"/>
        <w:ind w:left="431"/>
        <w:jc w:val="both"/>
      </w:pPr>
      <w:r>
        <w:rPr>
          <w:rFonts w:ascii="Garamond" w:eastAsia="Garamond" w:hAnsi="Garamond" w:cs="Garamond"/>
          <w:color w:val="2A2A2A"/>
          <w:sz w:val="22"/>
          <w:szCs w:val="22"/>
        </w:rPr>
        <w:t xml:space="preserve">(7) The Civic Consul appoints ministers to lead the departments of the civic domain; ministerial portfolios are defined by statute. Ministers serve at the pleasure of the Civic Consul and require no confirmation; appointments and dismissals are published to the NRS. A minister's service ends when the Civic Consul leaves office; ministers continue in a caretaker capacity, limited to maintaining existing policy, until the incoming Civic Consul's ministers are appointed.</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Grounds for the vote are published to the NRS; the vote is a political act and is not subject to judicial review. A person must be a serving member of the Assembly to be elected Civic Consul. On election as Civic Consul the person vacates their Assembly seat, which is filled under §3.2 as a mid-term vacancy; that Assembly term is deemed fully served by the departing member for purposes of the consecutive-term limit under §3.2. While in office the Civic Consul holds the ceremonial seat of the office of Civic Consul, which carries the right to sit, speak, and be held to account in the Assembly but carries no vote; the Civic Consul exercises no legislative vote while in office, consistent with §1.23. The ceremonial seat is not counted in the full seated membership of the Assembly for quorum or any voting threshold. This section governs a person elected or installed to the office of Civic Consul; the Assembly Speaker serving as Acting Civic Consul under §2.5 or §2.6.a retains their own Assembly seat and does not vacate it. The Civic Consul serves until removed under this section, until the expiration of the consecutive-service limit under §2.5, by resignation, or through the pathways of §3.10. A person who leaves the office of Civic Consul holds no Assembly seat by virtue of having been Civic Consul; the seat vacated on taking office remains filled under §3.2. A former Civic Consul may run in an election for an Assembly seat, may hold any other constitutional office for which they meet the eligibility requirements, and may seek the office of Civic Consul again subject to the cooling-off period under §2.5.</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acting role attaches automatically to the sitting Assembly Speaker, who serves as Acting Civic Consul by constitutional operation with authority limited to maintaining existing policy, until a Civic Consul is elected or designated under this section; the acting service is published to the NRS. Acting authority passes only to the standing Speaker and never by designation of the Civic Consul. No election is held to fill the acting role. The Senate may, by 2/3,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vacates their Assembly seat under §2.6,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lastRenderedPageBreak/>
        <w:t>published to the NRS; this appointee holds full Civic Consul authority, vacates their Assembly seat under §2.6,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Full succession vacates the successor's Senate seat, which is filled through the ordinary vacancy process.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by constitutional operation from that moment, without vacating the Speaker's Senate seat. While serving in an acting executive capacity, the Senate Speaker may not exercise any legislative function; the Speaker retains their Senate seat and the Speakership, and the Senate provides for the exercise of the Speaker's functions during that period under its internal procedures; acting service neither extends nor suspends the Speaker's electoral mandate, and where the Speaker ceases to be a Senator, acting authority passes by constitutional operation to the Senate Speaker then in office.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removal requires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§2.14.b  </w:t>
      </w:r>
      <w:r>
        <w:rPr>
          <w:rFonts w:ascii="Garamond" w:eastAsia="Garamond" w:hAnsi="Garamond" w:cs="Garamond"/>
          <w:i/>
          <w:iCs/>
          <w:color w:val="1B2A4A"/>
          <w:sz w:val="22"/>
          <w:szCs w:val="22"/>
        </w:rPr>
        <w:t>Cross-Domain Assistance</w:t>
      </w:r>
    </w:p>
    <w:p w14:paraId="70E13777" w14:textId="77777777" w:rsidR="00AF3D56" w:rsidRDefault="00000000">
      <w:pPr>
        <w:spacing w:after="120"/>
        <w:ind w:left="431"/>
        <w:jc w:val="both"/>
      </w:pPr>
      <w:r>
        <w:rPr>
          <w:rFonts w:ascii="Garamond" w:eastAsia="Garamond" w:hAnsi="Garamond" w:cs="Garamond"/>
          <w:color w:val="2A2A2A"/>
          <w:sz w:val="22"/>
          <w:szCs w:val="22"/>
        </w:rPr>
        <w:t xml:space="preserve">Either Consul may formally request that the other exercise specified authority within the other's domain in support of a need arising in the requesting Consul's domain. The request states the need, scope, and duration and is published to the NRS; the responding Consul determines whether and how to act within their own domain and publishes the response to the NRS. Neither Consul may compel the other. A request may specify a duration not to exceed 90 days; assistance may be renewed only by a fresh request and response, each published to the NRS. This section may provide only capability used in support of persons — including logistics, transport, materiel, technical, medical, disaster, and search-and-rescue capability. It may not provide capability used to compel, detain, or direct persons, to surveil, monitor, or collect intelligence on persons within the Republic, or to commandeer civilian resources; any such capability is available to the requesting Consul only under §1.19 or other express constitutional authority. Capability provided under this section operates under the responding Consul's command as to means and the requesting Consul's direction as to purpose and limits, and remains subject in full to Article I. A foreign invasion or comparable threat engaging both domains is governed by §2.14.a. A dispute arising under this section is resolved through the mechanism in §2.14.a.</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§2.15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selects a Speaker from its own members by a method it establishes, provided the Speaker holds the support of a majority of full seated membership; the Speakership is a standing office, and its holder serves as Acting Civic Consul under §2.5 and §2.6.a.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Removal Pathways</w:t>
      </w:r>
    </w:p>
    <w:p w:rsidR="00AF3D56" w:rsidRDefault="00000000">
      <w:pPr>
        <w:spacing w:after="120"/>
        <w:ind w:left="431"/>
        <w:jc w:val="both"/>
      </w:pPr>
      <w:r>
        <w:rPr>
          <w:rFonts w:ascii="Garamond" w:eastAsia="Garamond" w:hAnsi="Garamond" w:cs="Garamond"/>
          <w:color w:val="2A2A2A"/>
          <w:sz w:val="22"/>
          <w:szCs w:val="22"/>
        </w:rPr>
        <w:t>Removal of constitutional officers proceeds exclusively as this Constitution provides: the Legat Consul under §2.13; the Civic Consul under §2.6; Supreme Court justices under §4.3.a; inferior court judges under §4.2; members of the Legislature by their own chamber under §3.2 or §3.5, or by State recall as recognized there; Legat Consul domain officers by the Senate under §2.4; ministers at the pleasure of the Civic Consul under §2.5; and constitutionally confirmed independent officers under §9.9. Criminal liability remains separately pursuable. No removal mechanism not provided for in this Constitution may be created by statute.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removal under the provisions enumerated in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disqualifying offense is a ground for the removal of a person already holding office under the provisions that reference it; it does not govern eligibility to seek or hold federal office, which is governed exclusively by §7.4. A pardon granted under §2.12 does not clear the offense's status as a disqualifying offense unless the pardoning instrument expressly states that this status is cleared and the EM publishes to the NRS that the pardoning instrument expressly so states.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§9.4.a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§9.8. The Civic Consul must nominate within the period defined by statute following a vacancy, not to exceed 90 days where no statutory period has been defined. The Senate confirms by 2/3.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§4.3.a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§9.8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after the expiry of the applicable nomination period,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Senate has failed to vote on a nomination within the period required under §4.4, the Civic Consul may — with 2/3 Assembly consent — place the serving Temporary Associate Justice on the next federal electoral period ballot for public confirmation. Confirmation requires 60% of votes cast under §7.3;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§16.2;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Civic Consul must ministerially issue residency credentials; interference with credential issuance by either executive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§6.3.a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for detention beyond 5 years, an affirmative judicial finding at each subsequent review that no less restrictive alternative exists; absent that finding, the person is released to the statutory minimum-status conditions defined under this section.</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§7.1,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§7.2.a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until certification of the postponed election.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treaty obligations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§9.8 from the JM Candidate Pool under §9.4. A Monitor General confirmed following an unscheduled vacancy serves only the remainder of the original term. No two Monitor General full terms may be scheduled to begin within 18 months of each other; service for the remainder of a predecessor's term does not commence a new term for the purposes of this spacing requirement.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Article XVI treaty obligations,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§9.4.a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§9.5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§9.5.a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§9.7’s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§9.5.b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§9.5.a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§9.7  </w:t>
      </w:r>
      <w:r>
        <w:rPr>
          <w:rFonts w:ascii="Garamond" w:eastAsia="Garamond" w:hAnsi="Garamond" w:cs="Garamond"/>
          <w:i/>
          <w:iCs/>
          <w:color w:val="1B2A4A"/>
          <w:sz w:val="22"/>
          <w:szCs w:val="22"/>
        </w:rPr>
        <w:t>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§9.7.a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§9.7.a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§9.8  </w:t>
      </w:r>
      <w:r>
        <w:rPr>
          <w:rFonts w:ascii="Garamond" w:eastAsia="Garamond" w:hAnsi="Garamond" w:cs="Garamond"/>
          <w:i/>
          <w:iCs/>
          <w:color w:val="1B2A4A"/>
          <w:sz w:val="22"/>
          <w:szCs w:val="22"/>
        </w:rPr>
        <w:t>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sitting State court judge by continuous service on a court of record who accepts the designation serves as Acting officer until the pool is restored; where two or more judges have equal continuous service, the oldest by age is designated first; a designee may not exercise State judicial functions while serving, and their State office is otherwise unaffected;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the applicant may appeal to the SC within 14 days of that publication on the sole ground that the eligibility criteria were misapplied.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§9.9  </w:t>
      </w:r>
      <w:r>
        <w:rPr>
          <w:rFonts w:ascii="Garamond" w:eastAsia="Garamond" w:hAnsi="Garamond" w:cs="Garamond"/>
          <w:i/>
          <w:iCs/>
          <w:color w:val="1B2A4A"/>
          <w:sz w:val="22"/>
          <w:szCs w:val="22"/>
        </w:rPr>
        <w:t>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§4.3.a and elected executives. Monitor Generals are subject to for-cause removal under this section.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§10.2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§7.2.a.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§9.5.a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federal body may impose a tax, duty, or levy of any kind. States, Territories, and local governments retain authority to tax within their own jurisdictions, subject to §12.7 and the non-discrimination requirements of §1.6.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conflict becoming a matter of public record on the NRS.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§9.9.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§9.9.</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 Where a certified Severe Revenue Contraction continues beyond 12 months, continued Endowment disbursement requires authorization by statute, enacted through the ordinary legislative process and renewed at intervals not to exceed 12 months for the duration of the contraction. Where authorization is not renewed, disbursements cease and any adequacy-standard reduction under §1.16 or §1.17 lapses with them. The Monetary Authority's certification of the contraction's end terminates disbursements and any such reduction regardless of authorization status.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publishes its response to the NRS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(§7.1); public confirmation of a Supreme Court justice under the Senate bypass mechanism (§4.4.a); public recall of the Legat Consul under §2.13; and the national independence referendum under §15.9.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Eligibility and Disclosure for Federal Office</w:t>
      </w:r>
    </w:p>
    <w:p w14:paraId="743CADFF" w14:textId="77777777" w:rsidR="00AF3D56" w:rsidRDefault="00000000">
      <w:pPr>
        <w:spacing w:after="120"/>
        <w:ind w:left="431"/>
        <w:jc w:val="both"/>
      </w:pPr>
      <w:r>
        <w:rPr>
          <w:rFonts w:ascii="Garamond" w:eastAsia="Garamond" w:hAnsi="Garamond" w:cs="Garamond"/>
          <w:color w:val="2A2A2A"/>
          <w:sz w:val="22"/>
          <w:szCs w:val="22"/>
        </w:rPr>
        <w:t xml:space="preserve">Every candidate for federal office, and every person selected or elevated to a federal office without standing for election, shall disclose their criminal history on the official candidacy or acceptance filing, under penalty of perjury; the disclosure is published to the NRS and is available to voters and to any body that selects the officeholder. A person who has made a current disclosure for one federal office satisfies this requirement for elevation to another so long as the disclosure remains accurate. A false or incomplete disclosure is itself a federal offense. No criminal conviction bars a person from federal office except as provided in this section; the weight of a disclosed history is for the voters, or for the selecting body, to judge. A person convicted of insurrection against the Republic, rebellion against the Republic, treason against the Republic, or subversion of a federal election is barred from holding any federal office. These grounds are exhaustive; no other conviction bars a person from federal office, and any change to these grounds requires constitutional amendment. This bar requires a conviction, not an accusation or a pending charge. A person removed from a federal office by an affirmative removal process -- including impeachment, a for-cause removal, a constructive vote of no confidence, or recall -- may not hold or seek that office until the remainder of the electoral cycle in which the removal occurred and one full electoral cycle thereafter have passed. The ordinary expiration of a term, and loss of office through an election, are not removals for purposes of this section.</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2D3E4F01"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D3E4F02"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JMC. After each failing audit, the JMC publishes an Early Warning specifying compliance requirements; the State must publish a Remediation Plan within the period defined by statute. Upon three consecutive failures, the State enters Provisional status under §15.1.a.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 Upon entering Provisional status under this section, the Elections Panel administers a citizen vote on the principle of pursuing devolution on the same terms as §15.4’s voluntary process; upon each subsequent annual audit failure while in Provisional status and no §15.4 negotiation is actively underway following a prior affirmative vote under this section, the Elections Panel administers another citizen vote on the same terms. An affirmative vote proceeds through negotiation and Senate ratification under §15.4; the State remains in Provisional status throughout that process; absent an affirmative vote, the State continues in Provisional status under this section.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§1.19.a before that ratification vote; published JM findings must be given due consideration. Any person with standing may challenge the incorporation before the SC on the ground that the entity systematically violates §1.19.a. No constitutional officer may condition treaty obligations, trade relations, military cooperation, or foreign aid on any entity's decision to initiate or advance this process. During the Transition Window, a recognized indigenous nation proceeds under §16.2; thereafter, a recognized indigenous nation holding Associated Community status petitions under this provision as a sovereign entity.</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founding status election under §16.2 constitutes the consent mechanism required by this section for indigenous territorial transitions effected during the Transition Window; no additional Popular Ratification is required. Recognition under §16.4 effects no territorial change; post-founding indigenous territorial transitions proceed under Article XVII. A completed process under §15.9, including its national referendum, constitutes the consent mechanism required by this section; no additional amendment or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rsidR="00AF3D56" w:rsidRDefault="00000000">
      <w:pPr>
        <w:spacing w:after="120"/>
        <w:ind w:left="431"/>
        <w:jc w:val="both"/>
      </w:pPr>
      <w:r>
        <w:rPr>
          <w:rFonts w:ascii="Garamond" w:eastAsia="Garamond" w:hAnsi="Garamond" w:cs="Garamond"/>
          <w:color w:val="2A2A2A"/>
          <w:sz w:val="22"/>
          <w:szCs w:val="22"/>
        </w:rPr>
        <w:t>A State may seek independence from the Republic through a three-stage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petition may not be withdrawn by the State while the process continues.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elected from the petitioning State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 Stage Three requires a national referendum administered by the Elections Panel within 180 days of the Stage Two vote, in which all eligible voters of the Republic — including those of the petitioning State — participate; independence is approved by 60% of votes cast under §7.3 with a minimum 50% citizen participation. Where the referendum fails, the petition lapses and the State may reinitiate Stage One without restriction. Upon certification of an affirmative Stage Three result, the State and the Legislature negotiate a separation agreement specifying asset and liability allocation, borders, transition timeline, fiscal obligations, and continuing obligations, ratified by the Senate by 2/3 of full seated membership and published to the NRS; independence takes effect on the date the agreement specifies.</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 and Recognition</w:t>
      </w:r>
    </w:p>
    <w:p w:rsidR="00AF3D56" w:rsidRDefault="00000000">
      <w:pPr>
        <w:spacing w:after="120"/>
        <w:ind w:left="431"/>
        <w:jc w:val="both"/>
      </w:pPr>
      <w:r>
        <w:rPr>
          <w:rFonts w:ascii="Garamond" w:eastAsia="Garamond" w:hAnsi="Garamond" w:cs="Garamond"/>
          <w:color w:val="2A2A2A"/>
          <w:sz w:val="22"/>
          <w:szCs w:val="22"/>
        </w:rPr>
        <w:t>Indigenous Nations hold sovereignty that precedes the Republic. This sovereignty is acknowledged, not granted — the Republic's constitutional framework does not create it and may not extinguish it. The Republic deals with recognized indigenous nations as sovereign nations. A recognized indigenous nation, wherever that term appears in this Constitution, means a nation that, as of Day Zero, held a treaty with, a compact with, or formal recognition from a predecessor government, or a nation recognized under §16.4. The joint Monitor panel under §19.3 compiles the founding register of recognized nations from the predecessor record and publishes it to the NRS before the close of Phase 1; compilation is ministerial and applies the predecessor record as it stands. A nation omitted from the founding register may appeal to the SC within the period defined by statute on the sole ground that the predecessor record was misapplied. Recognition confers no territorial rights of itself; no act of recognition alters the Article I rights, citizenship, property, or residency of any person.</w:t>
      </w:r>
    </w:p>
    <w:p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Founding Status Election</w:t>
      </w:r>
    </w:p>
    <w:p w:rsidR="00AF3D56" w:rsidRDefault="00000000">
      <w:pPr>
        <w:spacing w:after="120"/>
        <w:ind w:left="431"/>
        <w:jc w:val="both"/>
      </w:pPr>
      <w:r>
        <w:rPr>
          <w:rFonts w:ascii="Garamond" w:eastAsia="Garamond" w:hAnsi="Garamond" w:cs="Garamond"/>
          <w:color w:val="2A2A2A"/>
          <w:sz w:val="22"/>
          <w:szCs w:val="22"/>
        </w:rPr>
        <w:t>At ratification, the Republic formally notifies every nation on the founding register of its rights under this section; notification is published to the NRS. From Day Zero until the close of the Transition Window under §19.2, each recognized nation may elect, by its own democratic or traditional governance process meeting the standards the nation itself defines for major governance decisions, one of the following statuses, published to the NRS: (a) Associated Community — the nation proceeds as a sovereign nation in a compact relationship with the Republic under Article XX; (b) Territorial Integration — the nation enters the Republic as a Territory under §15.1, with the standard §15.2 Statehood pathway available; the published election constitutes the petition and confirmation required by §15.6, and the nation and the Legislature proceed directly to negotiation of the incorporation agreement, ratified by 2/3 of both chambers. Associated Community status is the default: a nation that makes no election holds Associated Community status by constitutional operation at the close of the Transition Window. The Republic may not prefer, discourage, or offer inducements toward any status; it must provide factual information about each status upon request. Article I applies within the territory of each recognized nation throughout the Transition Window unless the nation, by its own governance process, positively rejects that application, published to the NRS; rejection constitutes an early assertion of the default status. While Article I so applies, any resident of the nation's territory who believes an Article I right has been violated may bring an Emergency Rights Writ directly to the SC under its original jurisdiction in §4.5; the SC must rule within 7 days; the extension and interim protective order provisions of §4.5 apply. Indigenous nation membership and Republic citizenship are compatible and independent statuses; no status under this section diminishes the Republic citizenship of any person, consistent with §5.1.</w:t>
      </w:r>
    </w:p>
    <w:p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Treaty Supremacy and Continuity</w:t>
      </w:r>
    </w:p>
    <w:p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regardless of the nation's status under this Constitution. Treaty rights cannot be diminished by legislation — they must be honored, renegotiated with consent, or formally superseded by mutual agreement through negotiation between the Legat Consul and the nation, ratified by the Senate under §3.6.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a ministerial counterpart designated by the Legat Consul and published to the NRS administers the treaty's institutional functions on an interim basis. The EM audits the Republic's compliance with its treaty obligations under this section annually and publishes findings to the NRS.</w:t>
      </w:r>
    </w:p>
    <w:p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Post-Founding Recognition</w:t>
      </w:r>
    </w:p>
    <w:p w:rsidR="00AF3D56" w:rsidRDefault="00000000">
      <w:pPr>
        <w:spacing w:after="120"/>
        <w:ind w:left="431"/>
        <w:jc w:val="both"/>
      </w:pPr>
      <w:r>
        <w:rPr>
          <w:rFonts w:ascii="Garamond" w:eastAsia="Garamond" w:hAnsi="Garamond" w:cs="Garamond"/>
          <w:color w:val="2A2A2A"/>
          <w:sz w:val="22"/>
          <w:szCs w:val="22"/>
        </w:rPr>
        <w:t>A people asserting sovereignty preceding the Republic may submit a claim of prior sovereignty to the JMC at any time after the close of the Transition Window; the claim is published to the NRS. The JMC investigates the claim against the predecessor record and the criteria of §16.1 and publishes its findings to the NRS. The investigation is information-only: the JMC's findings bind no constitutional actor and compel no governmental act. Claimants may present the published findings in a petition for recognition to the Legat Consul, or pursue any legal remedy available under Article I. Where a petition for recognition is submitted, the Legat Consul determines it within the period defined by statute, not to exceed 180 days, with written grounds published to the NRS whether recognition is granted or declined. Recognition under this section activates the Republic's obligations under §16.3, establishes the nation as a collective legal person capable of negotiating with the Republic and entering arrangements under statute and §18.4, and constitutes the factual predicate for any subsequent constitutional amendment under Article XVII concerning the nation's territorial or sovereign status. Recognition under this section confers no territorial rights and effects no change to the Republic's territorial extent; any such change proceeds only under Article XVII, consistent with §15.7. A declined petition may be resubmitted after 5 years or upon a material change in the available record.</w:t>
      </w:r>
    </w:p>
    <w:p w:rsidR="00AF3D56" w:rsidRDefault="00000000">
      <w:pPr>
        <w:spacing w:before="200" w:after="60"/>
        <w:ind w:left="431"/>
      </w:pPr>
      <w:r>
        <w:rPr>
          <w:rFonts w:ascii="Courier New" w:eastAsia="Courier New" w:hAnsi="Courier New" w:cs="Courier New"/>
          <w:b/>
          <w:bCs/>
          <w:color w:val="2A2A2A"/>
          <w:sz w:val="18"/>
          <w:szCs w:val="18"/>
        </w:rPr>
        <w:t xml:space="preserve">§16.5  </w:t>
      </w:r>
      <w:r>
        <w:rPr>
          <w:rFonts w:ascii="Garamond" w:eastAsia="Garamond" w:hAnsi="Garamond" w:cs="Garamond"/>
          <w:i/>
          <w:iCs/>
          <w:color w:val="1B2A4A"/>
          <w:sz w:val="22"/>
          <w:szCs w:val="22"/>
        </w:rPr>
        <w:t>Transition of Existing Arrangements</w:t>
      </w:r>
    </w:p>
    <w:p w:rsidR="00AF3D56" w:rsidRDefault="00000000">
      <w:pPr>
        <w:spacing w:after="120"/>
        <w:ind w:left="431"/>
        <w:jc w:val="both"/>
      </w:pPr>
      <w:r>
        <w:rPr>
          <w:rFonts w:ascii="Garamond" w:eastAsia="Garamond" w:hAnsi="Garamond" w:cs="Garamond"/>
          <w:color w:val="2A2A2A"/>
          <w:sz w:val="22"/>
          <w:szCs w:val="22"/>
        </w:rPr>
        <w:t>Existing arrangements between a recognized nation and the predecessor government — governance, services, land use, borders, trade, and infrastructure — continue provisionally from Day Zero until replaced by an Article XX compact, an incorporation agreement under §16.2, or a treaty instrument under §16.3. For a nation holding Associated Community status, the Republic must open compact negotiations under Article XX within 90 days of the status taking effect and negotiate in good faith; either party may propose terms at any time. Citizenship arrangements follow §5.1 throughout. Either party may petition the SC to resolve specific disputes arising within the provisional framework; nothing in this section delays or conditions the obligations under §16.3.</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2/3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(§9.6),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§1.19.a;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recognized indigenous nations,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§1.19.a.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Statehood Audit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 Political entities that held recognized State or equivalent status immediately prior to ratification and choose to enter the Republic as States do so as full States from Day Zero for the purpose of constituting the Senate and seating their legislators. The annual Statehood Audit under §15.2 applies to all States from the first full audit cycle following Phase 4 activation; no founding status confers exemption from ongoing audit obligations or the consequences of audit failure. All other status determinations — Territory entry, Statehood qualification during the transition window, and post-founding pathways — follow §15.2.</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the panel compiles the founding register of recognized indigenous nations under §16.1 and publishes it to the NRS before the close of Phase 1;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the MA Director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agency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recognized indigenous nations holding Associated Community status under §16.2, to sovereign nations that have achieved full sovereignty through the constitutional amendment process, and to independent nations outside the Republic seeking a defined relationship.</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§1.19.a, committed against any person within its jurisdiction. The JM conducts annual compliance reviews and publishes findings to the NRS. Where the JM finds systematic violations of §1.19.a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arbitration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arbitration panel's final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