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labour are absolutely prohibited. Lawfully imposed prison labour and compulsory military service under the terms established by statute do not constitute forced labour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penalise expression through intermediaries it controls or pressures.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licences.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by the Elections Panel.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 Where domain of a proposed action is disputed, the JEC under §2.14 is the first forum. Pending resolution, the PM's residual authority governs except for matters expressly enumerated in §2.1. During active military operations, the President's domain governs operational decisions; either executive may petition the SC for an expedited domain determination.</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most senior confirmed Cabinet Minister continues as Caretaker PM. If no PM has been elected by absolute majority within 120 days of any general election or vacancy, the Elections Panel automatically administers a new House general election; the Caretaker mechanism continues until the newly elected House elects a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member of the Senate Armed Services Committee by continuous Senate service holds the office from that moment.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certification,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EI and LI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PM and are published to the NRS. This authority expires automatically when a new House is seated. In catastrophic circumstances where the Legislature cannot convene, expedited activation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following joint LI and EI certification of constitutional breach, demonstrated permanent incapacity, or conviction for a disqualifying offense. Under the popular track, a Senate majority may refer the question to a national recall referendum administered within the period defined by statute. The President is removed if the referendum achieves 60% of votes cast under §11.4 with a minimum 55% citizen participation. A failed referendum may not be re-initiated within the same presidential term. The Senate Speaker holds Acting Presidential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 court finding that a bill addresses multiple unrelated subjects voids the act.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may establish a joint ethics committee with authority to sanction and refer members; removal requires 2/3 of the relevant chamber following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sessions as Speaker without sitting out one session.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presiding officer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tied to constitutional rights,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until it does, the relevant Inspectorate certifies the constitutional breach annually and reports on compliance, but does not substitute for the agency.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§1.32;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House may establish, abolish, and define the jurisdiction of inferior courts by statute. States may maintain specialised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The Legislature defines qualifications for inferior court judges by statute; the JI certifies eligibility of each pool applicant against those qualifications. The PM must nominate within the period defined by statute following a vacancy.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within the scope of Article I.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under §8.4.e — any eligible citizen who applies and meets the qualification criteria is entered. The PM nominates within the period defined by statute following a vacancy (not to exceed 90 days for scheduled vacancies, 60 days for mid-term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Where the PM fails to nominate within 30 days of an LI certification of constitutional breach under this section, the Senate may select a nominee directly from the SC Candidate Registry by 2/3 vote of full seated membership; a Senate selection under this provision requires no further PM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labour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Children of citizens are Inhabitants from birth with full Article I protections; full citizenship rights activate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self-sufficiency or support guarantee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state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 except the presidential election which follows §7.2.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The JIC certifies the designation and both executives are notified immediately; notice does not condition the designation’s effectiveness.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requires broad Senate consensus for confirmation.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sufficiently in advance under the timeline defined by statute to ensure confirmation is complete before the transition under §1.31;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The EI IG is nominated jointly by the House Speaker and Senate Speaker from a pool of qualified candidates maintained by the Elections Panel, sufficiently in advance under the timeline defined by statute under §1.31;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§8.13 from the JI Candidate Pool under §8.4.a maintained by the Elections Panel, conducted at the statutory timeline under §1.31, sufficiently in advance to ensure seamless succession;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§8.15,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Selection by deliberate nomination: the named officer nominates from certified pool members. Confirmation where required: the Senate must act within the period defined by the establishing provision; failure to confirm within that period is a constitutional compliance breach certified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§8.9;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certify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Every government act required to be published must appear on the NRS before it takes legal effect.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automatic declassification and NRS publication applies within 30 days.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EI audits its operations annually and publishes findings to the NRS. The Legislature may not define MA independence standards in a manner that compromises the credibility of its certification functions; the EI assesses MA independence through its annual operational audit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of taking office and annually thereafter; disclosure records are published to the NRS. Any officer with a direct financial interest in a decision within their authority must recuse themselves; recusal is self-executing.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and certification follow §8.13;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§8.15.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national citizen initiative referendum at the thresholds defined in §15.1. Citizen-initiated legislation that bypasses the Legislature requires the higher democratic mandate of the citizen-led amendment threshold.</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starve local governments to achieve de facto state centralization.</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Three purposes are explicitly prohibited regardless of legislative authorization: nation-building,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recognized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A proposed amendment may be withdrawn at any point before ratification is certified. Citizen Initiative Amendment (Path C):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Path C amendments are subject to §15.5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National Record System and Electoral Operations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States may offer early voting, mail-in ballots, and alternative participation methods provided all methods connect to the NVS and meet its constitutional standards. No State may reduce NVS access, functionality, or availability within its territory.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full panel ratifies them by majority vote.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Candidates who receive impermissible contributions must report them within 10 days and either return them or have them treated as undisclosed.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recognized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