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Garamond" w:cs="Garamond" w:eastAsia="Garamond" w:hAnsi="Garamond"/>
          <w:b w:val="false"/>
          <w:bCs w:val="false"/>
          <w:i w:val="false"/>
          <w:iCs w:val="false"/>
          <w:color w:val="1B2A4A"/>
          <w:sz w:val="52"/>
          <w:szCs w:val="52"/>
        </w:rPr>
        <w:t xml:space="preserve">THE FEDERATED REPUBLIC</w:t>
      </w:r>
    </w:p>
    <w:p>
      <w:pPr>
        <w:pBdr>
          <w:bottom w:val="single" w:color="C9A84C" w:sz="4" w:space="8"/>
        </w:pBdr>
        <w:spacing w:after="120" w:before="0"/>
        <w:jc w:val="center"/>
      </w:pPr>
      <w:r>
        <w:rPr>
          <w:rFonts w:ascii="Garamond" w:cs="Garamond" w:eastAsia="Garamond" w:hAnsi="Garamond"/>
          <w:b w:val="false"/>
          <w:bCs w:val="false"/>
          <w:i w:val="false"/>
          <w:iCs w:val="false"/>
          <w:color w:val="C9A84C"/>
          <w:sz w:val="36"/>
          <w:szCs w:val="36"/>
        </w:rPr>
        <w:t xml:space="preserve">CONSTITUTION</w:t>
      </w:r>
    </w:p>
    <w:p>
      <w:pPr>
        <w:spacing w:after="0" w:before="240"/>
        <w:jc w:val="center"/>
      </w:pPr>
      <w:r>
        <w:rPr>
          <w:rFonts w:ascii="Garamond" w:cs="Garamond" w:eastAsia="Garamond" w:hAnsi="Garamond"/>
          <w:b w:val="false"/>
          <w:bCs w:val="false"/>
          <w:i/>
          <w:iCs/>
          <w:color w:val="7a7060"/>
          <w:sz w:val="22"/>
          <w:szCs w:val="22"/>
        </w:rPr>
        <w:t xml:space="preserve">158 Provisions · 20 Articles</w:t>
      </w:r>
    </w:p>
    <w:p>
      <w:pPr>
        <w:spacing w:after="0" w:before="60"/>
        <w:jc w:val="center"/>
      </w:pPr>
      <w:r>
        <w:rPr>
          <w:rFonts w:ascii="Garamond" w:cs="Garamond" w:eastAsia="Garamond" w:hAnsi="Garamond"/>
          <w:b w:val="false"/>
          <w:bCs w:val="false"/>
          <w:i w:val="false"/>
          <w:iCs w:val="false"/>
          <w:color w:val="7a7060"/>
          <w:sz w:val="18"/>
          <w:szCs w:val="18"/>
        </w:rPr>
        <w:t xml:space="preserve">thefederatedrepublic.org</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I — Individual Sovereignty and Rights</w:t>
      </w:r>
    </w:p>
    <w:p>
      <w:pPr>
        <w:spacing w:after="60" w:before="200"/>
        <w:ind w:left="431"/>
        <w:jc w:val="left"/>
      </w:pPr>
      <w:r>
        <w:rPr>
          <w:rFonts w:ascii="Courier New" w:cs="Courier New" w:eastAsia="Courier New" w:hAnsi="Courier New"/>
          <w:b/>
          <w:bCs/>
          <w:color w:val="2a2a2a"/>
          <w:sz w:val="18"/>
          <w:szCs w:val="18"/>
        </w:rPr>
        <w:t xml:space="preserve">§1.1  </w:t>
      </w:r>
      <w:r>
        <w:rPr>
          <w:rFonts w:ascii="Garamond" w:cs="Garamond" w:eastAsia="Garamond" w:hAnsi="Garamond"/>
          <w:b w:val="false"/>
          <w:bCs w:val="false"/>
          <w:i/>
          <w:iCs/>
          <w:color w:val="1B2A4A"/>
          <w:sz w:val="22"/>
          <w:szCs w:val="22"/>
        </w:rPr>
        <w:t xml:space="preserve">Right to Courts and Legal Remedy</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person may seek legal remedy for any rights violation before an independent and impartial court. This right is self-executing: where the Legislature has not funded adequate legal aid, courts appoint counsel at public expense. Procedural costs may not be used to make the right to a remedy illusory.</w:t>
      </w:r>
    </w:p>
    <w:p>
      <w:pPr>
        <w:spacing w:after="60" w:before="200"/>
        <w:ind w:left="431"/>
        <w:jc w:val="left"/>
      </w:pPr>
      <w:r>
        <w:rPr>
          <w:rFonts w:ascii="Courier New" w:cs="Courier New" w:eastAsia="Courier New" w:hAnsi="Courier New"/>
          <w:b/>
          <w:bCs/>
          <w:color w:val="2a2a2a"/>
          <w:sz w:val="18"/>
          <w:szCs w:val="18"/>
        </w:rPr>
        <w:t xml:space="preserve">§1.2  </w:t>
      </w:r>
      <w:r>
        <w:rPr>
          <w:rFonts w:ascii="Garamond" w:cs="Garamond" w:eastAsia="Garamond" w:hAnsi="Garamond"/>
          <w:b w:val="false"/>
          <w:bCs w:val="false"/>
          <w:i/>
          <w:iCs/>
          <w:color w:val="1B2A4A"/>
          <w:sz w:val="22"/>
          <w:szCs w:val="22"/>
        </w:rPr>
        <w:t xml:space="preserve">Individual Sovereignty Floor</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person possesses an inviolable sphere of personal sovereignty over their own life, body, and choices. Government authority operates outside this sphere. Where the boundary is disputed, the presumption runs in favor of individual liberty; government bears the burden of demonstrating constitutional authority for any limitation.</w:t>
      </w:r>
    </w:p>
    <w:p>
      <w:pPr>
        <w:spacing w:after="60" w:before="200"/>
        <w:ind w:left="431"/>
        <w:jc w:val="left"/>
      </w:pPr>
      <w:r>
        <w:rPr>
          <w:rFonts w:ascii="Courier New" w:cs="Courier New" w:eastAsia="Courier New" w:hAnsi="Courier New"/>
          <w:b/>
          <w:bCs/>
          <w:color w:val="2a2a2a"/>
          <w:sz w:val="18"/>
          <w:szCs w:val="18"/>
        </w:rPr>
        <w:t xml:space="preserve">§1.3  </w:t>
      </w:r>
      <w:r>
        <w:rPr>
          <w:rFonts w:ascii="Garamond" w:cs="Garamond" w:eastAsia="Garamond" w:hAnsi="Garamond"/>
          <w:b w:val="false"/>
          <w:bCs w:val="false"/>
          <w:i/>
          <w:iCs/>
          <w:color w:val="1B2A4A"/>
          <w:sz w:val="22"/>
          <w:szCs w:val="22"/>
        </w:rPr>
        <w:t xml:space="preserve">Prohibition of Torture and Cruel Treatment</w:t>
      </w:r>
    </w:p>
    <w:p>
      <w:pPr>
        <w:spacing w:after="120" w:before="0"/>
        <w:ind w:left="431"/>
        <w:jc w:val="both"/>
      </w:pPr>
      <w:r>
        <w:rPr>
          <w:rFonts w:ascii="Garamond" w:cs="Garamond" w:eastAsia="Garamond" w:hAnsi="Garamond"/>
          <w:b w:val="false"/>
          <w:bCs w:val="false"/>
          <w:i w:val="false"/>
          <w:iCs w:val="false"/>
          <w:color w:val="2a2a2a"/>
          <w:sz w:val="22"/>
          <w:szCs w:val="22"/>
        </w:rPr>
        <w:t xml:space="preserve">Torture and cruel, inhuman, or degrading treatment are absolutely prohibited. No person within the Republic's jurisdiction may be subjected to any such treatment. This right is non-derogable under §1.19.b.</w:t>
      </w:r>
    </w:p>
    <w:p>
      <w:pPr>
        <w:spacing w:after="60" w:before="200"/>
        <w:ind w:left="431"/>
        <w:jc w:val="left"/>
      </w:pPr>
      <w:r>
        <w:rPr>
          <w:rFonts w:ascii="Courier New" w:cs="Courier New" w:eastAsia="Courier New" w:hAnsi="Courier New"/>
          <w:b/>
          <w:bCs/>
          <w:color w:val="2a2a2a"/>
          <w:sz w:val="18"/>
          <w:szCs w:val="18"/>
        </w:rPr>
        <w:t xml:space="preserve">§1.4  </w:t>
      </w:r>
      <w:r>
        <w:rPr>
          <w:rFonts w:ascii="Garamond" w:cs="Garamond" w:eastAsia="Garamond" w:hAnsi="Garamond"/>
          <w:b w:val="false"/>
          <w:bCs w:val="false"/>
          <w:i/>
          <w:iCs/>
          <w:color w:val="1B2A4A"/>
          <w:sz w:val="22"/>
          <w:szCs w:val="22"/>
        </w:rPr>
        <w:t xml:space="preserve">Prohibition of Slavery and Forced Labor</w:t>
      </w:r>
    </w:p>
    <w:p>
      <w:pPr>
        <w:spacing w:after="120" w:before="0"/>
        <w:ind w:left="431"/>
        <w:jc w:val="both"/>
      </w:pPr>
      <w:r>
        <w:rPr>
          <w:rFonts w:ascii="Garamond" w:cs="Garamond" w:eastAsia="Garamond" w:hAnsi="Garamond"/>
          <w:b w:val="false"/>
          <w:bCs w:val="false"/>
          <w:i w:val="false"/>
          <w:iCs w:val="false"/>
          <w:color w:val="2a2a2a"/>
          <w:sz w:val="22"/>
          <w:szCs w:val="22"/>
        </w:rPr>
        <w:t xml:space="preserve">Slavery, involuntary servitude, and forced labor are absolutely prohibited. Prison labor authorized by statute and civic obligations lawfully required of citizens by the Legislature — including jury service, military conscription, and civil emergency duties — do not constitute forced labor under this provision. This right is non-derogable under §1.19.b.</w:t>
      </w:r>
    </w:p>
    <w:p>
      <w:pPr>
        <w:spacing w:after="60" w:before="200"/>
        <w:ind w:left="431"/>
        <w:jc w:val="left"/>
      </w:pPr>
      <w:r>
        <w:rPr>
          <w:rFonts w:ascii="Courier New" w:cs="Courier New" w:eastAsia="Courier New" w:hAnsi="Courier New"/>
          <w:b/>
          <w:bCs/>
          <w:color w:val="2a2a2a"/>
          <w:sz w:val="18"/>
          <w:szCs w:val="18"/>
        </w:rPr>
        <w:t xml:space="preserve">§1.5  </w:t>
      </w:r>
      <w:r>
        <w:rPr>
          <w:rFonts w:ascii="Garamond" w:cs="Garamond" w:eastAsia="Garamond" w:hAnsi="Garamond"/>
          <w:b w:val="false"/>
          <w:bCs w:val="false"/>
          <w:i/>
          <w:iCs/>
          <w:color w:val="1B2A4A"/>
          <w:sz w:val="22"/>
          <w:szCs w:val="22"/>
        </w:rPr>
        <w:t xml:space="preserve">Civil and Political Liberties</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person holds the rights of expression, thought, conscience, religion, association, assembly, petition, and movement. Government may regulate the time, place, and manner of expression and assembly for compelling public-order purposes, subject to strict scrutiny and without discriminating on the basis of viewpoint. No government may compel expression or penalize expression through intermediaries it controls or has directed to suppress expression. Freedom of religion protects belief absolutely; it protects practice against limitation except where practice causes direct harm to others. The Legislature establishes by statute any framework for exercising these rights, provided that framework does not burden the right itself.</w:t>
      </w:r>
    </w:p>
    <w:p>
      <w:pPr>
        <w:spacing w:after="60" w:before="200"/>
        <w:ind w:left="431"/>
        <w:jc w:val="left"/>
      </w:pPr>
      <w:r>
        <w:rPr>
          <w:rFonts w:ascii="Courier New" w:cs="Courier New" w:eastAsia="Courier New" w:hAnsi="Courier New"/>
          <w:b/>
          <w:bCs/>
          <w:color w:val="2a2a2a"/>
          <w:sz w:val="18"/>
          <w:szCs w:val="18"/>
        </w:rPr>
        <w:t xml:space="preserve">§1.6  </w:t>
      </w:r>
      <w:r>
        <w:rPr>
          <w:rFonts w:ascii="Garamond" w:cs="Garamond" w:eastAsia="Garamond" w:hAnsi="Garamond"/>
          <w:b w:val="false"/>
          <w:bCs w:val="false"/>
          <w:i/>
          <w:iCs/>
          <w:color w:val="1B2A4A"/>
          <w:sz w:val="22"/>
          <w:szCs w:val="22"/>
        </w:rPr>
        <w:t xml:space="preserve">Equality and Non-Discrimination</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person is equal before the law. Government may not discriminate on the basis of race, ethnicity, sex, sexual orientation, gender identity, religion, national origin, disability, age, or economic status in the provision of any governmental benefit, the imposition of any burden, or the application of any law. Distinctions rationally related to a legitimate governmental purpose that do not turn on these characteristics are permissible. Distinctions that do turn on these characteristics require compelling justification and are subject to strict scrutiny. Age distinctions rationally related to developmental capacity, lifecycle considerations, or demonstrated actuarial risk are subject to rational basis review rather than strict scrutiny.</w:t>
      </w:r>
    </w:p>
    <w:p>
      <w:pPr>
        <w:spacing w:after="60" w:before="200"/>
        <w:ind w:left="431"/>
        <w:jc w:val="left"/>
      </w:pPr>
      <w:r>
        <w:rPr>
          <w:rFonts w:ascii="Courier New" w:cs="Courier New" w:eastAsia="Courier New" w:hAnsi="Courier New"/>
          <w:b/>
          <w:bCs/>
          <w:color w:val="2a2a2a"/>
          <w:sz w:val="18"/>
          <w:szCs w:val="18"/>
        </w:rPr>
        <w:t xml:space="preserve">§1.7  </w:t>
      </w:r>
      <w:r>
        <w:rPr>
          <w:rFonts w:ascii="Garamond" w:cs="Garamond" w:eastAsia="Garamond" w:hAnsi="Garamond"/>
          <w:b w:val="false"/>
          <w:bCs w:val="false"/>
          <w:i/>
          <w:iCs/>
          <w:color w:val="1B2A4A"/>
          <w:sz w:val="22"/>
          <w:szCs w:val="22"/>
        </w:rPr>
        <w:t xml:space="preserve">Bodily Sovereignty and Privacy</w:t>
      </w:r>
    </w:p>
    <w:p>
      <w:pPr>
        <w:spacing w:after="120" w:before="0"/>
        <w:ind w:left="431"/>
        <w:jc w:val="both"/>
      </w:pPr>
      <w:r>
        <w:rPr>
          <w:rFonts w:ascii="Garamond" w:cs="Garamond" w:eastAsia="Garamond" w:hAnsi="Garamond"/>
          <w:b w:val="false"/>
          <w:bCs w:val="false"/>
          <w:i w:val="false"/>
          <w:iCs w:val="false"/>
          <w:color w:val="2a2a2a"/>
          <w:sz w:val="22"/>
          <w:szCs w:val="22"/>
        </w:rPr>
        <w:t xml:space="preserve">Medical decisions are the province of the individual and their chosen provider. The state may promote public health through information, licensing, and access; it may not compel medical decisions or penalize their exercise. Every person holds the right to privacy in their person, home, communications, and data. Searches, surveillance, and data collection by government require prior independent judicial authorization based on specific, articulable grounds. The Legislature establishes by statute the warrant framework, subject to the requirement of independent judicial oversight. Communications and stored data receive equivalent protection to physical premises. Encryption is a lawful means of protecting private information and may not be prohibited. No government may impose civil or criminal liability on any person solely for receiving, assisting access to, or providing information about medical care that was lawful where received.</w:t>
      </w:r>
    </w:p>
    <w:p>
      <w:pPr>
        <w:spacing w:after="60" w:before="200"/>
        <w:ind w:left="431"/>
        <w:jc w:val="left"/>
      </w:pPr>
      <w:r>
        <w:rPr>
          <w:rFonts w:ascii="Courier New" w:cs="Courier New" w:eastAsia="Courier New" w:hAnsi="Courier New"/>
          <w:b/>
          <w:bCs/>
          <w:color w:val="2a2a2a"/>
          <w:sz w:val="18"/>
          <w:szCs w:val="18"/>
        </w:rPr>
        <w:t xml:space="preserve">§1.8  </w:t>
      </w:r>
      <w:r>
        <w:rPr>
          <w:rFonts w:ascii="Garamond" w:cs="Garamond" w:eastAsia="Garamond" w:hAnsi="Garamond"/>
          <w:b w:val="false"/>
          <w:bCs w:val="false"/>
          <w:i/>
          <w:iCs/>
          <w:color w:val="1B2A4A"/>
          <w:sz w:val="22"/>
          <w:szCs w:val="22"/>
        </w:rPr>
        <w:t xml:space="preserve">Property and Security of the Home</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person holds the right to own property and to security in their home. The state may take private property for public use only upon payment of just compensation determined by independent process, not by the taking authority. The home may not be entered without the occupant's consent or prior independent judicial authorization.</w:t>
      </w:r>
    </w:p>
    <w:p>
      <w:pPr>
        <w:spacing w:after="60" w:before="200"/>
        <w:ind w:left="431"/>
        <w:jc w:val="left"/>
      </w:pPr>
      <w:r>
        <w:rPr>
          <w:rFonts w:ascii="Courier New" w:cs="Courier New" w:eastAsia="Courier New" w:hAnsi="Courier New"/>
          <w:b/>
          <w:bCs/>
          <w:color w:val="2a2a2a"/>
          <w:sz w:val="18"/>
          <w:szCs w:val="18"/>
        </w:rPr>
        <w:t xml:space="preserve">§1.9  </w:t>
      </w:r>
      <w:r>
        <w:rPr>
          <w:rFonts w:ascii="Garamond" w:cs="Garamond" w:eastAsia="Garamond" w:hAnsi="Garamond"/>
          <w:b w:val="false"/>
          <w:bCs w:val="false"/>
          <w:i/>
          <w:iCs/>
          <w:color w:val="1B2A4A"/>
          <w:sz w:val="22"/>
          <w:szCs w:val="22"/>
        </w:rPr>
        <w:t xml:space="preserve">Democratic Participation and Family</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citizen holds the right to vote, stand for office, and participate in the democratic processes of the Republic, subject to the eligibility requirements established in this constitution. Every person holds the right to marry and found a family, free from governmental discrimination on the basis of the characteristics listed in §1.6. Children born within and outside of formal partnership hold equal legal status.</w:t>
      </w:r>
    </w:p>
    <w:p>
      <w:pPr>
        <w:spacing w:after="60" w:before="200"/>
        <w:ind w:left="431"/>
        <w:jc w:val="left"/>
      </w:pPr>
      <w:r>
        <w:rPr>
          <w:rFonts w:ascii="Courier New" w:cs="Courier New" w:eastAsia="Courier New" w:hAnsi="Courier New"/>
          <w:b/>
          <w:bCs/>
          <w:color w:val="2a2a2a"/>
          <w:sz w:val="18"/>
          <w:szCs w:val="18"/>
        </w:rPr>
        <w:t xml:space="preserve">§1.10  </w:t>
      </w:r>
      <w:r>
        <w:rPr>
          <w:rFonts w:ascii="Garamond" w:cs="Garamond" w:eastAsia="Garamond" w:hAnsi="Garamond"/>
          <w:b w:val="false"/>
          <w:bCs w:val="false"/>
          <w:i/>
          <w:iCs/>
          <w:color w:val="1B2A4A"/>
          <w:sz w:val="22"/>
          <w:szCs w:val="22"/>
        </w:rPr>
        <w:t xml:space="preserve">Right to Bear Arms</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person holds the right to keep and bear arms for lawful purposes including self-defense. States may establish licensing and safety frameworks. No government may enact a categorical prohibition on the civilian ownership of arms. The Legislature and States may regulate the type, transfer, and carry of arms subject to the requirement that lawful ownership for self-defense remain available.</w:t>
      </w:r>
    </w:p>
    <w:p>
      <w:pPr>
        <w:spacing w:after="60" w:before="200"/>
        <w:ind w:left="431"/>
        <w:jc w:val="left"/>
      </w:pPr>
      <w:r>
        <w:rPr>
          <w:rFonts w:ascii="Courier New" w:cs="Courier New" w:eastAsia="Courier New" w:hAnsi="Courier New"/>
          <w:b/>
          <w:bCs/>
          <w:color w:val="2a2a2a"/>
          <w:sz w:val="18"/>
          <w:szCs w:val="18"/>
        </w:rPr>
        <w:t xml:space="preserve">§1.11  </w:t>
      </w:r>
      <w:r>
        <w:rPr>
          <w:rFonts w:ascii="Garamond" w:cs="Garamond" w:eastAsia="Garamond" w:hAnsi="Garamond"/>
          <w:b w:val="false"/>
          <w:bCs w:val="false"/>
          <w:i/>
          <w:iCs/>
          <w:color w:val="1B2A4A"/>
          <w:sz w:val="22"/>
          <w:szCs w:val="22"/>
        </w:rPr>
        <w:t xml:space="preserve">Habeas Corpus</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person detained by public authority has the right to challenge that detention before an independent and impartial court. The detaining authority must produce the person and justify the detention within the period established by statute, not to exceed 72 hours. No court may decline to hear a habeas corpus application. This right is non-derogable under §1.19.b.</w:t>
      </w:r>
    </w:p>
    <w:p>
      <w:pPr>
        <w:spacing w:after="60" w:before="200"/>
        <w:ind w:left="431"/>
        <w:jc w:val="left"/>
      </w:pPr>
      <w:r>
        <w:rPr>
          <w:rFonts w:ascii="Courier New" w:cs="Courier New" w:eastAsia="Courier New" w:hAnsi="Courier New"/>
          <w:b/>
          <w:bCs/>
          <w:color w:val="2a2a2a"/>
          <w:sz w:val="18"/>
          <w:szCs w:val="18"/>
        </w:rPr>
        <w:t xml:space="preserve">§1.12  </w:t>
      </w:r>
      <w:r>
        <w:rPr>
          <w:rFonts w:ascii="Garamond" w:cs="Garamond" w:eastAsia="Garamond" w:hAnsi="Garamond"/>
          <w:b w:val="false"/>
          <w:bCs w:val="false"/>
          <w:i/>
          <w:iCs/>
          <w:color w:val="1B2A4A"/>
          <w:sz w:val="22"/>
          <w:szCs w:val="22"/>
        </w:rPr>
        <w:t xml:space="preserve">Rights of the Accused and Fair Trial</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person accused of a criminal offense holds: the right to be informed promptly of the charges; the right to counsel of their choosing, or to competent, adequately resourced counsel appointed at public expense where they cannot afford representation; the right to adequate time and means to prepare a defense; the right to examine witnesses; the right to silence without adverse inference; and the right to a speedy trial. No person may be penalized — by sentence enhancement or otherwise — solely for exercising the right to trial. Bail may not be used as punishment; its purpose is ensuring appearance and public safety, calibrated to individual circumstances. The Legislature establishes by statute the procedural framework for criminal proceedings, subject to the requirements of this provision. Where any systematic or automated methodology is used to generate evidence, the accused has the right to examine that methodology in full.</w:t>
      </w:r>
    </w:p>
    <w:p>
      <w:pPr>
        <w:spacing w:after="60" w:before="200"/>
        <w:ind w:left="431"/>
        <w:jc w:val="left"/>
      </w:pPr>
      <w:r>
        <w:rPr>
          <w:rFonts w:ascii="Courier New" w:cs="Courier New" w:eastAsia="Courier New" w:hAnsi="Courier New"/>
          <w:b/>
          <w:bCs/>
          <w:color w:val="2a2a2a"/>
          <w:sz w:val="18"/>
          <w:szCs w:val="18"/>
        </w:rPr>
        <w:t xml:space="preserve">§1.13  </w:t>
      </w:r>
      <w:r>
        <w:rPr>
          <w:rFonts w:ascii="Garamond" w:cs="Garamond" w:eastAsia="Garamond" w:hAnsi="Garamond"/>
          <w:b w:val="false"/>
          <w:bCs w:val="false"/>
          <w:i/>
          <w:iCs/>
          <w:color w:val="1B2A4A"/>
          <w:sz w:val="22"/>
          <w:szCs w:val="22"/>
        </w:rPr>
        <w:t xml:space="preserve">Right to a Public Trial</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person accused of a criminal offense has the right to a public trial before an independent and impartial court. Proceedings may be held in camera only to the minimum extent necessary to protect a compelling interest identified in advance by the court; the existence of any proceeding may not be concealed. This right is non-derogable under §1.19.b.</w:t>
      </w:r>
    </w:p>
    <w:p>
      <w:pPr>
        <w:spacing w:after="60" w:before="200"/>
        <w:ind w:left="431"/>
        <w:jc w:val="left"/>
      </w:pPr>
      <w:r>
        <w:rPr>
          <w:rFonts w:ascii="Courier New" w:cs="Courier New" w:eastAsia="Courier New" w:hAnsi="Courier New"/>
          <w:b/>
          <w:bCs/>
          <w:color w:val="2a2a2a"/>
          <w:sz w:val="18"/>
          <w:szCs w:val="18"/>
        </w:rPr>
        <w:t xml:space="preserve">§1.14  </w:t>
      </w:r>
      <w:r>
        <w:rPr>
          <w:rFonts w:ascii="Garamond" w:cs="Garamond" w:eastAsia="Garamond" w:hAnsi="Garamond"/>
          <w:b w:val="false"/>
          <w:bCs w:val="false"/>
          <w:i/>
          <w:iCs/>
          <w:color w:val="1B2A4A"/>
          <w:sz w:val="22"/>
          <w:szCs w:val="22"/>
        </w:rPr>
        <w:t xml:space="preserve">Freedom from Retroactive Criminal Law</w:t>
      </w:r>
    </w:p>
    <w:p>
      <w:pPr>
        <w:spacing w:after="120" w:before="0"/>
        <w:ind w:left="431"/>
        <w:jc w:val="both"/>
      </w:pPr>
      <w:r>
        <w:rPr>
          <w:rFonts w:ascii="Garamond" w:cs="Garamond" w:eastAsia="Garamond" w:hAnsi="Garamond"/>
          <w:b w:val="false"/>
          <w:bCs w:val="false"/>
          <w:i w:val="false"/>
          <w:iCs w:val="false"/>
          <w:color w:val="2a2a2a"/>
          <w:sz w:val="22"/>
          <w:szCs w:val="22"/>
        </w:rPr>
        <w:t xml:space="preserve">No person may be convicted of an act that was not a criminal offense when committed, or subjected to a penalty greater than that applicable at the time of the offense. No criminal law may be applied retroactively to the disadvantage of the accused. This right is non-derogable under §1.19.b.</w:t>
      </w:r>
    </w:p>
    <w:p>
      <w:pPr>
        <w:spacing w:after="60" w:before="200"/>
        <w:ind w:left="431"/>
        <w:jc w:val="left"/>
      </w:pPr>
      <w:r>
        <w:rPr>
          <w:rFonts w:ascii="Courier New" w:cs="Courier New" w:eastAsia="Courier New" w:hAnsi="Courier New"/>
          <w:b/>
          <w:bCs/>
          <w:color w:val="2a2a2a"/>
          <w:sz w:val="18"/>
          <w:szCs w:val="18"/>
        </w:rPr>
        <w:t xml:space="preserve">§1.15  </w:t>
      </w:r>
      <w:r>
        <w:rPr>
          <w:rFonts w:ascii="Garamond" w:cs="Garamond" w:eastAsia="Garamond" w:hAnsi="Garamond"/>
          <w:b w:val="false"/>
          <w:bCs w:val="false"/>
          <w:i/>
          <w:iCs/>
          <w:color w:val="1B2A4A"/>
          <w:sz w:val="22"/>
          <w:szCs w:val="22"/>
        </w:rPr>
        <w:t xml:space="preserve">Double Jeopardy</w:t>
      </w:r>
    </w:p>
    <w:p>
      <w:pPr>
        <w:spacing w:after="120" w:before="0"/>
        <w:ind w:left="431"/>
        <w:jc w:val="both"/>
      </w:pPr>
      <w:r>
        <w:rPr>
          <w:rFonts w:ascii="Garamond" w:cs="Garamond" w:eastAsia="Garamond" w:hAnsi="Garamond"/>
          <w:b w:val="false"/>
          <w:bCs w:val="false"/>
          <w:i w:val="false"/>
          <w:iCs w:val="false"/>
          <w:color w:val="2a2a2a"/>
          <w:sz w:val="22"/>
          <w:szCs w:val="22"/>
        </w:rPr>
        <w:t xml:space="preserve">No person may be tried or punished twice for the same offense following a final acquittal or conviction. Same offense means the same conduct regardless of how it is labeled or charged; the protection applies to any charge that does not require proof of an element distinct from those required for the original charge. The Legislature defines by statute the scope of this protection above this constitutional floor, including its application across jurisdictions.</w:t>
      </w:r>
    </w:p>
    <w:p>
      <w:pPr>
        <w:spacing w:after="60" w:before="200"/>
        <w:ind w:left="431"/>
        <w:jc w:val="left"/>
      </w:pPr>
      <w:r>
        <w:rPr>
          <w:rFonts w:ascii="Courier New" w:cs="Courier New" w:eastAsia="Courier New" w:hAnsi="Courier New"/>
          <w:b/>
          <w:bCs/>
          <w:color w:val="2a2a2a"/>
          <w:sz w:val="18"/>
          <w:szCs w:val="18"/>
        </w:rPr>
        <w:t xml:space="preserve">§1.16  </w:t>
      </w:r>
      <w:r>
        <w:rPr>
          <w:rFonts w:ascii="Garamond" w:cs="Garamond" w:eastAsia="Garamond" w:hAnsi="Garamond"/>
          <w:b w:val="false"/>
          <w:bCs w:val="false"/>
          <w:i/>
          <w:iCs/>
          <w:color w:val="1B2A4A"/>
          <w:sz w:val="22"/>
          <w:szCs w:val="22"/>
        </w:rPr>
        <w:t xml:space="preserve">Social Assistance Floor</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Inhabitant is entitled to access the Republic's social state systems under Article XII. No government may exclude any person from social assistance on the basis of the characteristics listed in §1.6. The Legislature establishes by statute the content and administration of social assistance, subject to the adequacy standards certified under §12.1. The Legislature must take reasonable measures within available resources toward the progressive fulfilment of this right; no reduction in the adequacy standard below the established level is constitutionally valid absent a certified fiscal emergency under §12.2.</w:t>
      </w:r>
    </w:p>
    <w:p>
      <w:pPr>
        <w:spacing w:after="60" w:before="200"/>
        <w:ind w:left="431"/>
        <w:jc w:val="left"/>
      </w:pPr>
      <w:r>
        <w:rPr>
          <w:rFonts w:ascii="Courier New" w:cs="Courier New" w:eastAsia="Courier New" w:hAnsi="Courier New"/>
          <w:b/>
          <w:bCs/>
          <w:color w:val="2a2a2a"/>
          <w:sz w:val="18"/>
          <w:szCs w:val="18"/>
        </w:rPr>
        <w:t xml:space="preserve">§1.17  </w:t>
      </w:r>
      <w:r>
        <w:rPr>
          <w:rFonts w:ascii="Garamond" w:cs="Garamond" w:eastAsia="Garamond" w:hAnsi="Garamond"/>
          <w:b w:val="false"/>
          <w:bCs w:val="false"/>
          <w:i/>
          <w:iCs/>
          <w:color w:val="1B2A4A"/>
          <w:sz w:val="22"/>
          <w:szCs w:val="22"/>
        </w:rPr>
        <w:t xml:space="preserve">Education</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child has the right to education adequate to enable full civic participation. The state must ensure this education is available and accessible. Parents hold the right to direct the education of their children within the framework of public educational standards. The Legislature establishes by statute the content and funding of public education, subject to the adequacy standard established by statute. The Legislature must take reasonable measures within available resources toward the progressive fulfilment of this right; no reduction in the adequacy standard below the established level is constitutionally valid absent a certified fiscal emergency under §12.2.</w:t>
      </w:r>
    </w:p>
    <w:p>
      <w:pPr>
        <w:spacing w:after="60" w:before="200"/>
        <w:ind w:left="431"/>
        <w:jc w:val="left"/>
      </w:pPr>
      <w:r>
        <w:rPr>
          <w:rFonts w:ascii="Courier New" w:cs="Courier New" w:eastAsia="Courier New" w:hAnsi="Courier New"/>
          <w:b/>
          <w:bCs/>
          <w:color w:val="2a2a2a"/>
          <w:sz w:val="18"/>
          <w:szCs w:val="18"/>
        </w:rPr>
        <w:t xml:space="preserve">§1.18  </w:t>
      </w:r>
      <w:r>
        <w:rPr>
          <w:rFonts w:ascii="Garamond" w:cs="Garamond" w:eastAsia="Garamond" w:hAnsi="Garamond"/>
          <w:b w:val="false"/>
          <w:bCs w:val="false"/>
          <w:i/>
          <w:iCs/>
          <w:color w:val="1B2A4A"/>
          <w:sz w:val="22"/>
          <w:szCs w:val="22"/>
        </w:rPr>
        <w:t xml:space="preserve">Environmental Obligations</w:t>
      </w:r>
    </w:p>
    <w:p>
      <w:pPr>
        <w:spacing w:after="120" w:before="0"/>
        <w:ind w:left="431"/>
        <w:jc w:val="both"/>
      </w:pPr>
      <w:r>
        <w:rPr>
          <w:rFonts w:ascii="Garamond" w:cs="Garamond" w:eastAsia="Garamond" w:hAnsi="Garamond"/>
          <w:b w:val="false"/>
          <w:bCs w:val="false"/>
          <w:i w:val="false"/>
          <w:iCs w:val="false"/>
          <w:color w:val="2a2a2a"/>
          <w:sz w:val="22"/>
          <w:szCs w:val="22"/>
        </w:rPr>
        <w:t xml:space="preserve">Government holds an obligation not to cause environmental harm to persons within its jurisdiction through its own actions or through the actions of those it licenses. The Legislature establishes by statute the framework for environmental protection, and may not enact statutes that systematically permit environmental harm to defined communities. This provision does not require the achievement of any particular environmental outcome; it requires genuine governmental action toward environmental protection proportionate to identified harms.</w:t>
      </w:r>
    </w:p>
    <w:p>
      <w:pPr>
        <w:spacing w:after="60" w:before="200"/>
        <w:ind w:left="431"/>
        <w:jc w:val="left"/>
      </w:pPr>
      <w:r>
        <w:rPr>
          <w:rFonts w:ascii="Courier New" w:cs="Courier New" w:eastAsia="Courier New" w:hAnsi="Courier New"/>
          <w:b/>
          <w:bCs/>
          <w:color w:val="2a2a2a"/>
          <w:sz w:val="18"/>
          <w:szCs w:val="18"/>
        </w:rPr>
        <w:t xml:space="preserve">§1.19  </w:t>
      </w:r>
      <w:r>
        <w:rPr>
          <w:rFonts w:ascii="Garamond" w:cs="Garamond" w:eastAsia="Garamond" w:hAnsi="Garamond"/>
          <w:b w:val="false"/>
          <w:bCs w:val="false"/>
          <w:i/>
          <w:iCs/>
          <w:color w:val="1B2A4A"/>
          <w:sz w:val="22"/>
          <w:szCs w:val="22"/>
        </w:rPr>
        <w:t xml:space="preserve">Emergency Derogation</w:t>
      </w:r>
    </w:p>
    <w:p>
      <w:pPr>
        <w:spacing w:after="120" w:before="0"/>
        <w:ind w:left="431"/>
        <w:jc w:val="both"/>
      </w:pPr>
      <w:r>
        <w:rPr>
          <w:rFonts w:ascii="Garamond" w:cs="Garamond" w:eastAsia="Garamond" w:hAnsi="Garamond"/>
          <w:b w:val="false"/>
          <w:bCs w:val="false"/>
          <w:i w:val="false"/>
          <w:iCs w:val="false"/>
          <w:color w:val="2a2a2a"/>
          <w:sz w:val="22"/>
          <w:szCs w:val="22"/>
        </w:rPr>
        <w:t xml:space="preserve">No emergency — however severe — suspends the Individual Sovereignty Floor in full. Temporary derogation of certain rights is permitted only under the strict conditions of this section; the rights enumerated in §1.19.b may not be derogated. The three Monitors continue to operate with full constitutional authority throughout any emergency — they cannot be suspended or have their mandate reduced by emergency declaration. Emergency derogation of Article I rights requires a declaration specifying the nature of the emergency, which rights are limited, the geographic scope, and the duration; blanket declarations are constitutionally invalid. The declaration is published to the NRS immediately.</w:t>
      </w:r>
    </w:p>
    <w:p>
      <w:pPr>
        <w:spacing w:after="60" w:before="200"/>
        <w:ind w:left="431"/>
        <w:jc w:val="left"/>
      </w:pPr>
      <w:r>
        <w:rPr>
          <w:rFonts w:ascii="Courier New" w:cs="Courier New" w:eastAsia="Courier New" w:hAnsi="Courier New"/>
          <w:b/>
          <w:bCs/>
          <w:color w:val="2a2a2a"/>
          <w:sz w:val="18"/>
          <w:szCs w:val="18"/>
        </w:rPr>
        <w:t xml:space="preserve">§1.19.b  </w:t>
      </w:r>
      <w:r>
        <w:rPr>
          <w:rFonts w:ascii="Garamond" w:cs="Garamond" w:eastAsia="Garamond" w:hAnsi="Garamond"/>
          <w:b w:val="false"/>
          <w:bCs w:val="false"/>
          <w:i/>
          <w:iCs/>
          <w:color w:val="1B2A4A"/>
          <w:sz w:val="22"/>
          <w:szCs w:val="22"/>
        </w:rPr>
        <w:t xml:space="preserve">Non-Derogable Rights</w:t>
      </w:r>
    </w:p>
    <w:p>
      <w:pPr>
        <w:spacing w:after="120" w:before="0"/>
        <w:ind w:left="431"/>
        <w:jc w:val="both"/>
      </w:pPr>
      <w:r>
        <w:rPr>
          <w:rFonts w:ascii="Garamond" w:cs="Garamond" w:eastAsia="Garamond" w:hAnsi="Garamond"/>
          <w:b w:val="false"/>
          <w:bCs w:val="false"/>
          <w:i w:val="false"/>
          <w:iCs w:val="false"/>
          <w:color w:val="2a2a2a"/>
          <w:sz w:val="22"/>
          <w:szCs w:val="22"/>
        </w:rPr>
        <w:t xml:space="preserve">These six rights are absolute: the prohibition on torture (§1.3); slavery (§1.4); habeas corpus (§1.11); the right to a public trial (§1.13); no retroactive punishment (§1.14); and non-refoulement (§1.21). No emergency declaration, executive order, or legislative act may derogate any of these rights. No emergency measure, regardless of its stated purpose, may be applied in a discriminatory manner on the basis of race, ethnicity, religion, or national origin; any such application is constitutionally void.</w:t>
      </w:r>
    </w:p>
    <w:p>
      <w:pPr>
        <w:spacing w:after="60" w:before="200"/>
        <w:ind w:left="431"/>
        <w:jc w:val="left"/>
      </w:pPr>
      <w:r>
        <w:rPr>
          <w:rFonts w:ascii="Courier New" w:cs="Courier New" w:eastAsia="Courier New" w:hAnsi="Courier New"/>
          <w:b/>
          <w:bCs/>
          <w:color w:val="2a2a2a"/>
          <w:sz w:val="18"/>
          <w:szCs w:val="18"/>
        </w:rPr>
        <w:t xml:space="preserve">§1.19.e  </w:t>
      </w:r>
      <w:r>
        <w:rPr>
          <w:rFonts w:ascii="Garamond" w:cs="Garamond" w:eastAsia="Garamond" w:hAnsi="Garamond"/>
          <w:b w:val="false"/>
          <w:bCs w:val="false"/>
          <w:i/>
          <w:iCs/>
          <w:color w:val="1B2A4A"/>
          <w:sz w:val="22"/>
          <w:szCs w:val="22"/>
        </w:rPr>
        <w:t xml:space="preserve">Emergency Declaration Lifecycle</w:t>
      </w:r>
    </w:p>
    <w:p>
      <w:pPr>
        <w:spacing w:after="120" w:before="0"/>
        <w:ind w:left="431"/>
        <w:jc w:val="both"/>
      </w:pPr>
      <w:r>
        <w:rPr>
          <w:rFonts w:ascii="Garamond" w:cs="Garamond" w:eastAsia="Garamond" w:hAnsi="Garamond"/>
          <w:b w:val="false"/>
          <w:bCs w:val="false"/>
          <w:i w:val="false"/>
          <w:iCs w:val="false"/>
          <w:color w:val="2a2a2a"/>
          <w:sz w:val="22"/>
          <w:szCs w:val="22"/>
        </w:rPr>
        <w:t xml:space="preserve">Emergency measures lapse automatically at the expiry of the Declaration. The Legislature may, before a Declaration expires, extend it for one additional period not to exceed 60 days by 2/3 of both chambers in a concurrent vote; the extension is published immediately to the NRS and no further extension is available under this provision. Judicial review of any emergency measure is available to any citizen at any time, and courts may rule during the emergency that a specific measure is unconstitutional. No emergency measure may be made permanent by legislative act; any measure not re-enacted through the ordinary legislative process lapses automatically at the expiry of the Declaration. The Legislature may not re-declare an emergency measure within 60 days of its expiry. A new emergency declaration covering substantially the same geographic scope and affecting substantially the same rights as a declaration that expired within 60 days is subject to the same bar, regardless of how the new emergency is labeled; the EM publishes an assessment of whether any new declaration constitutes a relabeled continuation of the prior emergency within 14 days of its issuance. After 60 days, re-declaration requires a 2/3 majority of both chambers certifying continued necessity.</w:t>
      </w:r>
    </w:p>
    <w:p>
      <w:pPr>
        <w:spacing w:after="60" w:before="200"/>
        <w:ind w:left="431"/>
        <w:jc w:val="left"/>
      </w:pPr>
      <w:r>
        <w:rPr>
          <w:rFonts w:ascii="Courier New" w:cs="Courier New" w:eastAsia="Courier New" w:hAnsi="Courier New"/>
          <w:b/>
          <w:bCs/>
          <w:color w:val="2a2a2a"/>
          <w:sz w:val="18"/>
          <w:szCs w:val="18"/>
        </w:rPr>
        <w:t xml:space="preserve">§1.20  </w:t>
      </w:r>
      <w:r>
        <w:rPr>
          <w:rFonts w:ascii="Garamond" w:cs="Garamond" w:eastAsia="Garamond" w:hAnsi="Garamond"/>
          <w:b w:val="false"/>
          <w:bCs w:val="false"/>
          <w:i/>
          <w:iCs/>
          <w:color w:val="1B2A4A"/>
          <w:sz w:val="22"/>
          <w:szCs w:val="22"/>
        </w:rPr>
        <w:t xml:space="preserve">Right to Seek Asylum</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person who reaches the Republic's jurisdiction has the right to claim asylum and have that claim determined by an independent process under §6.3. The manner of entry does not affect this right. An asylum seeker is an Inhabitant of the Republic from the date of claim and holds all rights in this Article.</w:t>
      </w:r>
    </w:p>
    <w:p>
      <w:pPr>
        <w:spacing w:after="60" w:before="200"/>
        <w:ind w:left="431"/>
        <w:jc w:val="left"/>
      </w:pPr>
      <w:r>
        <w:rPr>
          <w:rFonts w:ascii="Courier New" w:cs="Courier New" w:eastAsia="Courier New" w:hAnsi="Courier New"/>
          <w:b/>
          <w:bCs/>
          <w:color w:val="2a2a2a"/>
          <w:sz w:val="18"/>
          <w:szCs w:val="18"/>
        </w:rPr>
        <w:t xml:space="preserve">§1.21  </w:t>
      </w:r>
      <w:r>
        <w:rPr>
          <w:rFonts w:ascii="Garamond" w:cs="Garamond" w:eastAsia="Garamond" w:hAnsi="Garamond"/>
          <w:b w:val="false"/>
          <w:bCs w:val="false"/>
          <w:i/>
          <w:iCs/>
          <w:color w:val="1B2A4A"/>
          <w:sz w:val="22"/>
          <w:szCs w:val="22"/>
        </w:rPr>
        <w:t xml:space="preserve">Non-Refoulement</w:t>
      </w:r>
    </w:p>
    <w:p>
      <w:pPr>
        <w:spacing w:after="120" w:before="0"/>
        <w:ind w:left="431"/>
        <w:jc w:val="both"/>
      </w:pPr>
      <w:r>
        <w:rPr>
          <w:rFonts w:ascii="Garamond" w:cs="Garamond" w:eastAsia="Garamond" w:hAnsi="Garamond"/>
          <w:b w:val="false"/>
          <w:bCs w:val="false"/>
          <w:i w:val="false"/>
          <w:iCs w:val="false"/>
          <w:color w:val="2a2a2a"/>
          <w:sz w:val="22"/>
          <w:szCs w:val="22"/>
        </w:rPr>
        <w:t xml:space="preserve">No person within the Republic's jurisdiction may be returned, expelled, or extradited to any territory where they face genuine risk of persecution, torture, or deprivation of life. This protection applies regardless of the person's status, conduct, or the nature of the receiving territory's government. This right is non-derogable under §1.19.b.</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II — The Dual Executive</w:t>
      </w:r>
    </w:p>
    <w:p>
      <w:pPr>
        <w:spacing w:after="60" w:before="200"/>
        <w:ind w:left="431"/>
        <w:jc w:val="left"/>
      </w:pPr>
      <w:r>
        <w:rPr>
          <w:rFonts w:ascii="Courier New" w:cs="Courier New" w:eastAsia="Courier New" w:hAnsi="Courier New"/>
          <w:b/>
          <w:bCs/>
          <w:color w:val="2a2a2a"/>
          <w:sz w:val="18"/>
          <w:szCs w:val="18"/>
        </w:rPr>
        <w:t xml:space="preserve">§2.1  </w:t>
      </w:r>
      <w:r>
        <w:rPr>
          <w:rFonts w:ascii="Garamond" w:cs="Garamond" w:eastAsia="Garamond" w:hAnsi="Garamond"/>
          <w:b w:val="false"/>
          <w:bCs w:val="false"/>
          <w:i/>
          <w:iCs/>
          <w:color w:val="1B2A4A"/>
          <w:sz w:val="22"/>
          <w:szCs w:val="22"/>
        </w:rPr>
        <w:t xml:space="preserve">The Legat Consul — Domain and Term</w:t>
      </w:r>
    </w:p>
    <w:p>
      <w:pPr>
        <w:spacing w:after="120" w:before="0"/>
        <w:ind w:left="431"/>
        <w:jc w:val="both"/>
      </w:pPr>
      <w:r>
        <w:rPr>
          <w:rFonts w:ascii="Garamond" w:cs="Garamond" w:eastAsia="Garamond" w:hAnsi="Garamond"/>
          <w:b w:val="false"/>
          <w:bCs w:val="false"/>
          <w:i w:val="false"/>
          <w:iCs w:val="false"/>
          <w:color w:val="2a2a2a"/>
          <w:sz w:val="22"/>
          <w:szCs w:val="22"/>
        </w:rPr>
        <w:t xml:space="preserve">To hold the office of Legat Consul, a person must have been a citizen for at least 7 years at the time of taking office and must hold no federal felony conviction. No other eligibility requirement applies. The Legat Consul holds enumerated authority over: military command and force employment; foreign affairs, treaty negotiation, recognition of foreign governments, and the receipt of foreign delegations; intelligence; trade agreements subject to §2.4; and compact relationships with recognized indigenous nations under Article XVI; and appointments within the Legat Consul’s domain. Where the domain of a proposed action is disputed, the Council of Ministers under §2.14 is the first forum; pending resolution, each executive continues only those functions clearly within their established domain; the specific action giving rise to the dispute is suspended the specific action giving rise to the dispute is suspended. Either executive may petition the SC under its original jurisdiction in §4.5 for domain determination. During active military operations, the Legat Consul’s domain governs operational decisions. The Legat Consul serves a single non-renewable term of six years. Upon expiration of the term, all authority transfers immediately to the incoming Legat Consul. The outgoing Legat Consul retains no access to classified information, government systems, or official functions beyond the time of transfer.</w:t>
      </w:r>
    </w:p>
    <w:p>
      <w:pPr>
        <w:spacing w:after="60" w:before="200"/>
        <w:ind w:left="431"/>
        <w:jc w:val="left"/>
      </w:pPr>
      <w:r>
        <w:rPr>
          <w:rFonts w:ascii="Courier New" w:cs="Courier New" w:eastAsia="Courier New" w:hAnsi="Courier New"/>
          <w:b/>
          <w:bCs/>
          <w:color w:val="2a2a2a"/>
          <w:sz w:val="18"/>
          <w:szCs w:val="18"/>
        </w:rPr>
        <w:t xml:space="preserve">§2.2  </w:t>
      </w:r>
      <w:r>
        <w:rPr>
          <w:rFonts w:ascii="Garamond" w:cs="Garamond" w:eastAsia="Garamond" w:hAnsi="Garamond"/>
          <w:b w:val="false"/>
          <w:bCs w:val="false"/>
          <w:i/>
          <w:iCs/>
          <w:color w:val="1B2A4A"/>
          <w:sz w:val="22"/>
          <w:szCs w:val="22"/>
        </w:rPr>
        <w:t xml:space="preserve">Military Authorization Framework</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Legat Consul may use military force in immediate response to an active or imminent attack on Republic territory, citizens abroad, or treaty allies. Beyond immediate response, all use of military force requires legislative authorization. The Legat Consul must notify both chambers and the Civic Consul promptly upon any use of force, not to exceed 24 hours; the Legislature may define a shorter period by statute. Legislative authorization expires unless affirmatively renewed at intervals the Legislature defines by statute; the constitutional default on expiry is cessation of all operations — the burden is always on authorization, never on termination. Military expenditure is governed by §14.2. All military operations must state and be consistent with an authorized purpose under §14.1.</w:t>
      </w:r>
    </w:p>
    <w:p>
      <w:pPr>
        <w:spacing w:after="60" w:before="200"/>
        <w:ind w:left="431"/>
        <w:jc w:val="left"/>
      </w:pPr>
      <w:r>
        <w:rPr>
          <w:rFonts w:ascii="Courier New" w:cs="Courier New" w:eastAsia="Courier New" w:hAnsi="Courier New"/>
          <w:b/>
          <w:bCs/>
          <w:color w:val="2a2a2a"/>
          <w:sz w:val="18"/>
          <w:szCs w:val="18"/>
        </w:rPr>
        <w:t xml:space="preserve">§2.3  </w:t>
      </w:r>
      <w:r>
        <w:rPr>
          <w:rFonts w:ascii="Garamond" w:cs="Garamond" w:eastAsia="Garamond" w:hAnsi="Garamond"/>
          <w:b w:val="false"/>
          <w:bCs w:val="false"/>
          <w:i/>
          <w:iCs/>
          <w:color w:val="1B2A4A"/>
          <w:sz w:val="22"/>
          <w:szCs w:val="22"/>
        </w:rPr>
        <w:t xml:space="preserve">Consular Intelligence and Veto</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Legat Consul directs foreign intelligence. No intelligence operation may be conducted against Republic citizens within Republic territory on the Legat Consul's authority; such operations require independent judicial authorization.</w:t>
      </w:r>
    </w:p>
    <w:p>
      <w:pPr>
        <w:spacing w:after="60" w:before="200"/>
        <w:ind w:left="431"/>
        <w:jc w:val="left"/>
      </w:pPr>
      <w:r>
        <w:rPr>
          <w:rFonts w:ascii="Courier New" w:cs="Courier New" w:eastAsia="Courier New" w:hAnsi="Courier New"/>
          <w:b/>
          <w:bCs/>
          <w:color w:val="2a2a2a"/>
          <w:sz w:val="18"/>
          <w:szCs w:val="18"/>
        </w:rPr>
        <w:t xml:space="preserve">§2.3.a  </w:t>
      </w:r>
      <w:r>
        <w:rPr>
          <w:rFonts w:ascii="Garamond" w:cs="Garamond" w:eastAsia="Garamond" w:hAnsi="Garamond"/>
          <w:b w:val="false"/>
          <w:bCs w:val="false"/>
          <w:i/>
          <w:iCs/>
          <w:color w:val="1B2A4A"/>
          <w:sz w:val="22"/>
          <w:szCs w:val="22"/>
        </w:rPr>
        <w:t xml:space="preserve">Legat Consul Legislative Veto</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Legat Consul may veto legislation that raises a genuine constitutional concern within the Legat Consul’s security domain — military operations, intelligence, treaty obligations, or border security — by returning the bill within 10 business days of final passage with a written statement of grounds, published to the NRS. A general or speculative security connection is insufficient. If the Legat Consul neither acts nor objects within 10 business days of final passage, the bill is enacted by operation of law. The Legat Consul’s veto may be used only once on any bill; a bill reintroduced and passed by both chambers in a subsequent session proceeds without Legat Consul interference. Under §9.1, either Speaker may request an EM assessment of the domain question. The Senate may override by 2/3 supermajority at any time during that session; where no override occurs, the bill lapses for that session.</w:t>
      </w:r>
    </w:p>
    <w:p>
      <w:pPr>
        <w:spacing w:after="60" w:before="200"/>
        <w:ind w:left="431"/>
        <w:jc w:val="left"/>
      </w:pPr>
      <w:r>
        <w:rPr>
          <w:rFonts w:ascii="Courier New" w:cs="Courier New" w:eastAsia="Courier New" w:hAnsi="Courier New"/>
          <w:b/>
          <w:bCs/>
          <w:color w:val="2a2a2a"/>
          <w:sz w:val="18"/>
          <w:szCs w:val="18"/>
        </w:rPr>
        <w:t xml:space="preserve">§2.4  </w:t>
      </w:r>
      <w:r>
        <w:rPr>
          <w:rFonts w:ascii="Garamond" w:cs="Garamond" w:eastAsia="Garamond" w:hAnsi="Garamond"/>
          <w:b w:val="false"/>
          <w:bCs w:val="false"/>
          <w:i/>
          <w:iCs/>
          <w:color w:val="1B2A4A"/>
          <w:sz w:val="22"/>
          <w:szCs w:val="22"/>
        </w:rPr>
        <w:t xml:space="preserve">Legat Consul International Agreements</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Legat Consul negotiates and concludes treaties and trade agreements. Treaties are subject to ratification under §3.6. Trade agreements are subject to legislative approval under §3.6. During negotiation of any trade agreement, the Legat Consul must consult the Civic Consul on its domestic implications; the Civic Consul's response is published to the NRS. The Legat Consul nominates senior domain officers — Director of Intelligence, Director of Foreign Affairs, Director of Defense — from a pool of qualified candidates maintained by the Elections Panel under §9.12. The Legislature defines qualifications and confirmation procedures for each office by statute; acting appointments may be made pending confirmation for the period and under the conditions the Legislature defines.</w:t>
      </w:r>
    </w:p>
    <w:p>
      <w:pPr>
        <w:spacing w:after="60" w:before="200"/>
        <w:ind w:left="431"/>
        <w:jc w:val="left"/>
      </w:pPr>
      <w:r>
        <w:rPr>
          <w:rFonts w:ascii="Courier New" w:cs="Courier New" w:eastAsia="Courier New" w:hAnsi="Courier New"/>
          <w:b/>
          <w:bCs/>
          <w:color w:val="2a2a2a"/>
          <w:sz w:val="18"/>
          <w:szCs w:val="18"/>
        </w:rPr>
        <w:t xml:space="preserve">§2.5  </w:t>
      </w:r>
      <w:r>
        <w:rPr>
          <w:rFonts w:ascii="Garamond" w:cs="Garamond" w:eastAsia="Garamond" w:hAnsi="Garamond"/>
          <w:b w:val="false"/>
          <w:bCs w:val="false"/>
          <w:i/>
          <w:iCs/>
          <w:color w:val="1B2A4A"/>
          <w:sz w:val="22"/>
          <w:szCs w:val="22"/>
        </w:rPr>
        <w:t xml:space="preserve">The Civic Consul — Domain and Term</w:t>
      </w:r>
    </w:p>
    <w:p>
      <w:pPr>
        <w:spacing w:after="120" w:before="0"/>
        <w:ind w:left="431"/>
        <w:jc w:val="both"/>
      </w:pPr>
      <w:r>
        <w:rPr>
          <w:rFonts w:ascii="Garamond" w:cs="Garamond" w:eastAsia="Garamond" w:hAnsi="Garamond"/>
          <w:b w:val="false"/>
          <w:bCs w:val="false"/>
          <w:i w:val="false"/>
          <w:iCs w:val="false"/>
          <w:color w:val="2a2a2a"/>
          <w:sz w:val="22"/>
          <w:szCs w:val="22"/>
        </w:rPr>
        <w:t xml:space="preserve">The Civic Consul holds residual executive authority over all functions not enumerated to the Legat Consul. To hold the office of Civic Consul, a person must have been a citizen for at least 7 years at the time of taking office and must hold no federal felony conviction. No other eligibility requirement applies. The Civic Consul serves at the confidence of the Assembly, subject to removal under §2.6. No person may serve more than 8 years in total as Civic Consul across all periods of service; this limit is cumulative and permanent regardless of interruption. The Civic Consul's domestic authority includes: all domestic policy and regulatory frameworks; preparation of a proposed budget for the civic domain, submitted to the Assembly under §12.2; the civil service; and administration of the social state under Article XII. The Civic Consul may declare a domestic emergency in response to natural disaster, public health crisis, or infrastructure failure, subject to the constraints of Article I and renewable Assembly approval at intervals defined by statute; in the absence of a statutory interval, the constitutional default is 30 days. The Legat Consul has no role in domestic emergencies. The Civic Consul has the right to be informed on matters within the Legat Consul’s domain that bear on domestic interests or create domestic fiscal obligations. No classification or domain assertion may be used to withhold such information from the Civic Consul. The Legat Consul shall consult the Civic Consul on compact negotiations under Article XVI; the Civic Consul’s response is advisory. Where the Civic Consul is temporarily unable to exercise authority, the Civic Consul’s designated Acting Civic Consul, who must meet the eligibility requirements for the office of Civic Consul under this section, serves with authority limited to maintaining existing policy and emergency functions; where no such designation exists or the designated Acting Civic Consul is unavailable, the Assembly Speaker serves as Acting Civic Consul with the same authority limitation. Acting status ends when the Civic Consul resumes their duties or a new Civic Consul is confirmed by the Assembly.</w:t>
      </w:r>
    </w:p>
    <w:p>
      <w:pPr>
        <w:spacing w:after="60" w:before="200"/>
        <w:ind w:left="431"/>
        <w:jc w:val="left"/>
      </w:pPr>
      <w:r>
        <w:rPr>
          <w:rFonts w:ascii="Courier New" w:cs="Courier New" w:eastAsia="Courier New" w:hAnsi="Courier New"/>
          <w:b/>
          <w:bCs/>
          <w:color w:val="2a2a2a"/>
          <w:sz w:val="18"/>
          <w:szCs w:val="18"/>
        </w:rPr>
        <w:t xml:space="preserve">§2.6  </w:t>
      </w:r>
      <w:r>
        <w:rPr>
          <w:rFonts w:ascii="Garamond" w:cs="Garamond" w:eastAsia="Garamond" w:hAnsi="Garamond"/>
          <w:b w:val="false"/>
          <w:bCs w:val="false"/>
          <w:i/>
          <w:iCs/>
          <w:color w:val="1B2A4A"/>
          <w:sz w:val="22"/>
          <w:szCs w:val="22"/>
        </w:rPr>
        <w:t xml:space="preserve">Constructive Vote of No Confidence</w:t>
      </w:r>
    </w:p>
    <w:p>
      <w:pPr>
        <w:spacing w:after="120" w:before="0"/>
        <w:ind w:left="431"/>
        <w:jc w:val="both"/>
      </w:pPr>
      <w:r>
        <w:rPr>
          <w:rFonts w:ascii="Garamond" w:cs="Garamond" w:eastAsia="Garamond" w:hAnsi="Garamond"/>
          <w:b w:val="false"/>
          <w:bCs w:val="false"/>
          <w:i w:val="false"/>
          <w:iCs w:val="false"/>
          <w:color w:val="2a2a2a"/>
          <w:sz w:val="22"/>
          <w:szCs w:val="22"/>
        </w:rPr>
        <w:t xml:space="preserve">The Civic Consul is accountable to the Assembly. The Assembly may remove the Civic Consul only through a constructive vote of no confidence: a single vote that simultaneously removes the sitting Civic Consul and installs a named replacement, by 60 percent of full seated Assembly membership. A confidence vote that does not name and elect a successor has no constitutional effect. The Civic Consul must be and remain a serving member of the Assembly throughout their tenure; removal or resignation as Civic Consul does not affect Assembly membership, and a former Civic Consul who remains a member of the Assembly reverts to that role. The Civic Consul is subject to all Assembly membership rules, including term limits and the cooling-off period under §3.2.</w:t>
      </w:r>
    </w:p>
    <w:p>
      <w:pPr>
        <w:spacing w:after="60" w:before="200"/>
        <w:ind w:left="431"/>
        <w:jc w:val="left"/>
      </w:pPr>
      <w:r>
        <w:rPr>
          <w:rFonts w:ascii="Courier New" w:cs="Courier New" w:eastAsia="Courier New" w:hAnsi="Courier New"/>
          <w:b/>
          <w:bCs/>
          <w:color w:val="2a2a2a"/>
          <w:sz w:val="18"/>
          <w:szCs w:val="18"/>
        </w:rPr>
        <w:t xml:space="preserve">§2.6.a  </w:t>
      </w:r>
      <w:r>
        <w:rPr>
          <w:rFonts w:ascii="Garamond" w:cs="Garamond" w:eastAsia="Garamond" w:hAnsi="Garamond"/>
          <w:b w:val="false"/>
          <w:bCs w:val="false"/>
          <w:i/>
          <w:iCs/>
          <w:color w:val="1B2A4A"/>
          <w:sz w:val="22"/>
          <w:szCs w:val="22"/>
        </w:rPr>
        <w:t xml:space="preserve">Government Formation</w:t>
      </w:r>
    </w:p>
    <w:p>
      <w:pPr>
        <w:spacing w:after="120" w:before="0"/>
        <w:ind w:left="431"/>
        <w:jc w:val="both"/>
      </w:pPr>
      <w:r>
        <w:rPr>
          <w:rFonts w:ascii="Garamond" w:cs="Garamond" w:eastAsia="Garamond" w:hAnsi="Garamond"/>
          <w:b w:val="false"/>
          <w:bCs w:val="false"/>
          <w:i w:val="false"/>
          <w:iCs w:val="false"/>
          <w:color w:val="2a2a2a"/>
          <w:sz w:val="22"/>
          <w:szCs w:val="22"/>
        </w:rPr>
        <w:t xml:space="preserve">The Assembly elects the Civic Consul by absolute majority within the period defined by statute following any general election or vacancy; where no statutory period has been established, the constitutional default is 21 days. If the Assembly does not elect a Civic Consul within that period, the Civic Consul designates an Acting Civic Consul from the confirmed ministers. Where no ministers have been confirmed, the designation falls to a serving Assembly member. The designation is published to the NRS. The Senate may, by 2/3 supermajority, designate a serving Assembly member as Civic Consul if the Assembly has failed to elect one within the statutory period; Assembly election of a Civic Consul by absolute majority terminates any Senate designation. Where no Civic Consul has been elected and the Senate has not designated one within 45 days of the Assembly failing to elect, the Legat Consul nominates a serving Assembly member as Civic Consul within 21 days, published to the NRS; the Senate confirms by simple majority within 21 days of nomination; the confirmed appointee holds full Civic Consul authority and is subject to removal under §2.6. Where the Legat Consul does not nominate within 21 days or the Senate does not confirm within 21 days of nomination, the most senior Assembly member by continuous service who otherwise meets the requirements for Civic Consul assumes the role by constitutional operation, published to the NRS; this appointee holds full Civic Consul authority and is subject to removal under §2.6. Where two or more Assembly members have equal continuous service, the tiebreaker is determined by statute.</w:t>
      </w:r>
    </w:p>
    <w:p>
      <w:pPr>
        <w:spacing w:after="60" w:before="200"/>
        <w:ind w:left="431"/>
        <w:jc w:val="left"/>
      </w:pPr>
      <w:r>
        <w:rPr>
          <w:rFonts w:ascii="Courier New" w:cs="Courier New" w:eastAsia="Courier New" w:hAnsi="Courier New"/>
          <w:b/>
          <w:bCs/>
          <w:color w:val="2a2a2a"/>
          <w:sz w:val="18"/>
          <w:szCs w:val="18"/>
        </w:rPr>
        <w:t xml:space="preserve">§2.7  </w:t>
      </w:r>
      <w:r>
        <w:rPr>
          <w:rFonts w:ascii="Garamond" w:cs="Garamond" w:eastAsia="Garamond" w:hAnsi="Garamond"/>
          <w:b w:val="false"/>
          <w:bCs w:val="false"/>
          <w:i/>
          <w:iCs/>
          <w:color w:val="1B2A4A"/>
          <w:sz w:val="22"/>
          <w:szCs w:val="22"/>
        </w:rPr>
        <w:t xml:space="preserve">Civic Consul Legislative Instruments</w:t>
      </w:r>
    </w:p>
    <w:p>
      <w:pPr>
        <w:spacing w:after="120" w:before="0"/>
        <w:ind w:left="431"/>
        <w:jc w:val="both"/>
      </w:pPr>
      <w:r>
        <w:rPr>
          <w:rFonts w:ascii="Garamond" w:cs="Garamond" w:eastAsia="Garamond" w:hAnsi="Garamond"/>
          <w:b w:val="false"/>
          <w:bCs w:val="false"/>
          <w:i w:val="false"/>
          <w:iCs w:val="false"/>
          <w:color w:val="2a2a2a"/>
          <w:sz w:val="22"/>
          <w:szCs w:val="22"/>
        </w:rPr>
        <w:t xml:space="preserve">The Civic Consul may withhold assent by returning a bill within 10 business days of final passage with written grounds published to the NRS; the bill is tabled for one month regardless of any change in CC office. The Senate may override by 2/3 supermajority during that month; failing override, the bill returns to the Legislature and must pass both chambers again before returning to the Civic Consul, who may not exercise the suspensive veto on that bill again, including where that bill lapses and is reintroduced in a subsequent session. The Civic Consul may also issue a fiscal notice — a written NRS statement that a bill would cause or materially worsen a structural deficit — at any point within the 10-business-day review window; a fiscal notice does not block enactment but entitles the Assembly Speaker to recall the bill for reconsideration within the remaining window; both instruments may be used on the same bill. Where the Civic Consul neither returns the bill nor issues a fiscal notice within 10 business days of final passage, the bill is enacted by operation of law. The suspensive veto may not be used on the annual budget, bills implementing a constitutional obligation, or emergency legislation. Both executives review concurrently from final passage.</w:t>
      </w:r>
    </w:p>
    <w:p>
      <w:pPr>
        <w:spacing w:after="60" w:before="200"/>
        <w:ind w:left="431"/>
        <w:jc w:val="left"/>
      </w:pPr>
      <w:r>
        <w:rPr>
          <w:rFonts w:ascii="Courier New" w:cs="Courier New" w:eastAsia="Courier New" w:hAnsi="Courier New"/>
          <w:b/>
          <w:bCs/>
          <w:color w:val="2a2a2a"/>
          <w:sz w:val="18"/>
          <w:szCs w:val="18"/>
        </w:rPr>
        <w:t xml:space="preserve">§2.8  </w:t>
      </w:r>
      <w:r>
        <w:rPr>
          <w:rFonts w:ascii="Garamond" w:cs="Garamond" w:eastAsia="Garamond" w:hAnsi="Garamond"/>
          <w:b w:val="false"/>
          <w:bCs w:val="false"/>
          <w:i/>
          <w:iCs/>
          <w:color w:val="1B2A4A"/>
          <w:sz w:val="22"/>
          <w:szCs w:val="22"/>
        </w:rPr>
        <w:t xml:space="preserve">Duty of Refusal</w:t>
      </w:r>
    </w:p>
    <w:p>
      <w:pPr>
        <w:spacing w:after="120" w:before="0"/>
        <w:ind w:left="431"/>
        <w:jc w:val="both"/>
      </w:pPr>
      <w:r>
        <w:rPr>
          <w:rFonts w:ascii="Garamond" w:cs="Garamond" w:eastAsia="Garamond" w:hAnsi="Garamond"/>
          <w:b w:val="false"/>
          <w:bCs w:val="false"/>
          <w:i w:val="false"/>
          <w:iCs w:val="false"/>
          <w:color w:val="2a2a2a"/>
          <w:sz w:val="22"/>
          <w:szCs w:val="22"/>
        </w:rPr>
        <w:t xml:space="preserve">No civil servant, military member, or person acting under direct federal authorization in the performance of a specific federal function may comply with an order from either executive that would require violation of any constitutional provision or statute. Refusal of such an order creates no civil or criminal liability and is no basis for dismissal or penalty. The refusing person may report the order to the EM, which may investigate and publish findings to the NRS. Any penalty imposed for a lawful refusal is itself a constitutional breach. The Legislature establishes by statute the framework for protecting and supporting civil servants who exercise this duty.</w:t>
      </w:r>
    </w:p>
    <w:p>
      <w:pPr>
        <w:spacing w:after="60" w:before="200"/>
        <w:ind w:left="431"/>
        <w:jc w:val="left"/>
      </w:pPr>
      <w:r>
        <w:rPr>
          <w:rFonts w:ascii="Courier New" w:cs="Courier New" w:eastAsia="Courier New" w:hAnsi="Courier New"/>
          <w:b/>
          <w:bCs/>
          <w:color w:val="2a2a2a"/>
          <w:sz w:val="18"/>
          <w:szCs w:val="18"/>
        </w:rPr>
        <w:t xml:space="preserve">§2.9  </w:t>
      </w:r>
      <w:r>
        <w:rPr>
          <w:rFonts w:ascii="Garamond" w:cs="Garamond" w:eastAsia="Garamond" w:hAnsi="Garamond"/>
          <w:b w:val="false"/>
          <w:bCs w:val="false"/>
          <w:i/>
          <w:iCs/>
          <w:color w:val="1B2A4A"/>
          <w:sz w:val="22"/>
          <w:szCs w:val="22"/>
        </w:rPr>
        <w:t xml:space="preserve">Legat Consul Succession and Incapacity</w:t>
      </w:r>
    </w:p>
    <w:p>
      <w:pPr>
        <w:spacing w:after="120" w:before="0"/>
        <w:ind w:left="431"/>
        <w:jc w:val="both"/>
      </w:pPr>
      <w:r>
        <w:rPr>
          <w:rFonts w:ascii="Garamond" w:cs="Garamond" w:eastAsia="Garamond" w:hAnsi="Garamond"/>
          <w:b w:val="false"/>
          <w:bCs w:val="false"/>
          <w:i w:val="false"/>
          <w:iCs w:val="false"/>
          <w:color w:val="2a2a2a"/>
          <w:sz w:val="22"/>
          <w:szCs w:val="22"/>
        </w:rPr>
        <w:t xml:space="preserve">Full succession activates on the Legat Consul’s death, resignation, removal, or certified permanent incapacity. The Senate Speaker holds the office of Legat Consul from the moment the triggering event is published to the NRS — no active assumption is required or permitted; the transfer is instantaneous and self-executing by constitutional operation. Where the Senate Speaker is simultaneously unable to serve, the most senior Senator by continuous Senate service holds the office from that moment; where two or more Senators have equal continuous service, the oldest by age holds the office. The Legislature or Senate may by statute or standing order designate a further succession line beyond this constitutional floor. Upon NRS publication of any triggering event, the military chain of command recognizes the constitutional transfer immediately; any order issued in the name of the prior Legat Consul after that moment is constitutionally void. A successor serves the remainder of the current Legat Consul's term; a successor who serves any portion of a predecessor's term must sit out one full term before standing for election as Legat Consul; after the cooling-off period the former successor may stand for and serve a full elected term. Where the Legat Consul is temporarily unable to exercise authority, a majority of the JMC assesses capacity and, on joint assessment published to the NRS, Acting Legat Consul authority transfers to the Senate Speaker without vacating the Speaker's Senate seat by constitutional operation from that moment. Acting authority ends when the Legat Consul publishes a restoration declaration to the NRS.</w:t>
      </w:r>
    </w:p>
    <w:p>
      <w:pPr>
        <w:spacing w:after="60" w:before="200"/>
        <w:ind w:left="431"/>
        <w:jc w:val="left"/>
      </w:pPr>
      <w:r>
        <w:rPr>
          <w:rFonts w:ascii="Courier New" w:cs="Courier New" w:eastAsia="Courier New" w:hAnsi="Courier New"/>
          <w:b/>
          <w:bCs/>
          <w:color w:val="2a2a2a"/>
          <w:sz w:val="18"/>
          <w:szCs w:val="18"/>
        </w:rPr>
        <w:t xml:space="preserve">§2.10  </w:t>
      </w:r>
      <w:r>
        <w:rPr>
          <w:rFonts w:ascii="Garamond" w:cs="Garamond" w:eastAsia="Garamond" w:hAnsi="Garamond"/>
          <w:b w:val="false"/>
          <w:bCs w:val="false"/>
          <w:i/>
          <w:iCs/>
          <w:color w:val="1B2A4A"/>
          <w:sz w:val="22"/>
          <w:szCs w:val="22"/>
        </w:rPr>
        <w:t xml:space="preserve">Executive Transparency</w:t>
      </w:r>
    </w:p>
    <w:p>
      <w:pPr>
        <w:spacing w:after="120" w:before="0"/>
        <w:ind w:left="431"/>
        <w:jc w:val="both"/>
      </w:pPr>
      <w:r>
        <w:rPr>
          <w:rFonts w:ascii="Garamond" w:cs="Garamond" w:eastAsia="Garamond" w:hAnsi="Garamond"/>
          <w:b w:val="false"/>
          <w:bCs w:val="false"/>
          <w:i w:val="false"/>
          <w:iCs w:val="false"/>
          <w:color w:val="2a2a2a"/>
          <w:sz w:val="22"/>
          <w:szCs w:val="22"/>
        </w:rPr>
        <w:t xml:space="preserve">Both executives must publish all official acts — orders, certifications, vetoes, objections, determinations, and refusals to certify — to the NRS within the period defined by statute. No executive may classify, delay, or suppress publication of an act this constitution requires to be published. Acts of non-consent — refusals to certify, objections, escalation denials, and declinations to act within a constitutional mandate — carry the same attribution and publication requirements as acts of authority. An executive who declines certification, withholds approval, or refuses to perform a constitutionally required function is constitutionally responsible for that act to the same degree as an executive who issues an order. The NRS record of every executive act of non-consent is permanent, attributed to the individual officer, and may not be reclassified or removed. A late-published act is not void, but late publication is a constitutional compliance breach.</w:t>
      </w:r>
    </w:p>
    <w:p>
      <w:pPr>
        <w:spacing w:after="60" w:before="200"/>
        <w:ind w:left="431"/>
        <w:jc w:val="left"/>
      </w:pPr>
      <w:r>
        <w:rPr>
          <w:rFonts w:ascii="Courier New" w:cs="Courier New" w:eastAsia="Courier New" w:hAnsi="Courier New"/>
          <w:b/>
          <w:bCs/>
          <w:color w:val="2a2a2a"/>
          <w:sz w:val="18"/>
          <w:szCs w:val="18"/>
        </w:rPr>
        <w:t xml:space="preserve">§2.11  </w:t>
      </w:r>
      <w:r>
        <w:rPr>
          <w:rFonts w:ascii="Garamond" w:cs="Garamond" w:eastAsia="Garamond" w:hAnsi="Garamond"/>
          <w:b w:val="false"/>
          <w:bCs w:val="false"/>
          <w:i/>
          <w:iCs/>
          <w:color w:val="1B2A4A"/>
          <w:sz w:val="22"/>
          <w:szCs w:val="22"/>
        </w:rPr>
        <w:t xml:space="preserve">Emergency Governance</w:t>
      </w:r>
    </w:p>
    <w:p>
      <w:pPr>
        <w:spacing w:after="120" w:before="0"/>
        <w:ind w:left="431"/>
        <w:jc w:val="both"/>
      </w:pPr>
      <w:r>
        <w:rPr>
          <w:rFonts w:ascii="Garamond" w:cs="Garamond" w:eastAsia="Garamond" w:hAnsi="Garamond"/>
          <w:b w:val="false"/>
          <w:bCs w:val="false"/>
          <w:i w:val="false"/>
          <w:iCs w:val="false"/>
          <w:color w:val="2a2a2a"/>
          <w:sz w:val="22"/>
          <w:szCs w:val="22"/>
        </w:rPr>
        <w:t xml:space="preserve">Where the Assembly is unable to function for an extended period — as defined by statute; in the absence of a statutory definition, the constitutional floor is 30 consecutive days during which the Assembly cannot achieve quorum — the Senate may assume joint emergency legislative authority for three functions only: election administration, social state funding continuity, and active national security obligations. Where the Elections Panel is unable to function, the EM and LM jointly certify that incapacity and publish it to the NRS; from that moment the Senate administers federal elections under this provision until the Elections Panel is restored and the restoration is published to the NRS. All Senate emergency actions require co-signature of the Acting Civic Consul and are published to the NRS. This authority expires automatically when a new Assembly is seated. In catastrophic circumstances where the Legislature cannot convene, expedited activation of the Senate’s emergency legislative authority under this section is available on joint certification by the Acting Civic Consul and the Chief Justice — or, where the Chief Justice is unavailable, the most senior Associate Justice by length of continuous SC service — published to the NRS.</w:t>
      </w:r>
    </w:p>
    <w:p>
      <w:pPr>
        <w:spacing w:after="60" w:before="200"/>
        <w:ind w:left="431"/>
        <w:jc w:val="left"/>
      </w:pPr>
      <w:r>
        <w:rPr>
          <w:rFonts w:ascii="Courier New" w:cs="Courier New" w:eastAsia="Courier New" w:hAnsi="Courier New"/>
          <w:b/>
          <w:bCs/>
          <w:color w:val="2a2a2a"/>
          <w:sz w:val="18"/>
          <w:szCs w:val="18"/>
        </w:rPr>
        <w:t xml:space="preserve">§2.12  </w:t>
      </w:r>
      <w:r>
        <w:rPr>
          <w:rFonts w:ascii="Garamond" w:cs="Garamond" w:eastAsia="Garamond" w:hAnsi="Garamond"/>
          <w:b w:val="false"/>
          <w:bCs w:val="false"/>
          <w:i/>
          <w:iCs/>
          <w:color w:val="1B2A4A"/>
          <w:sz w:val="22"/>
          <w:szCs w:val="22"/>
        </w:rPr>
        <w:t xml:space="preserve">Clemency</w:t>
      </w:r>
    </w:p>
    <w:p>
      <w:pPr>
        <w:spacing w:after="120" w:before="0"/>
        <w:ind w:left="431"/>
        <w:jc w:val="both"/>
      </w:pPr>
      <w:r>
        <w:rPr>
          <w:rFonts w:ascii="Garamond" w:cs="Garamond" w:eastAsia="Garamond" w:hAnsi="Garamond"/>
          <w:b w:val="false"/>
          <w:bCs w:val="false"/>
          <w:i w:val="false"/>
          <w:iCs w:val="false"/>
          <w:color w:val="2a2a2a"/>
          <w:sz w:val="22"/>
          <w:szCs w:val="22"/>
        </w:rPr>
        <w:t xml:space="preserve">Each executive holds clemency authority within their own domain only. Consular clemency covers military law and national security offenses. Civic Consul clemency covers domestic offenses. Neither may pardon offenses within the other's domain. Self-clemency is absolutely prohibited for all constitutional officers; an attempted self-clemency is void and itself a constitutional violation. No clemency may be granted for offenses in which the granting executive was a participant or direct beneficiary. Before any grant, the EM publishes a factual background report to the NRS. A clemency grant made before the EM report is published is void and of no legal effect. Every petition, report, grant, and declination is published permanently to the NRS. Every grant is subject to cross-chamber transparency review. Group amnesty requires legislative action; no executive may grant group amnesty.</w:t>
      </w:r>
    </w:p>
    <w:p>
      <w:pPr>
        <w:spacing w:after="60" w:before="200"/>
        <w:ind w:left="431"/>
        <w:jc w:val="left"/>
      </w:pPr>
      <w:r>
        <w:rPr>
          <w:rFonts w:ascii="Courier New" w:cs="Courier New" w:eastAsia="Courier New" w:hAnsi="Courier New"/>
          <w:b/>
          <w:bCs/>
          <w:color w:val="2a2a2a"/>
          <w:sz w:val="18"/>
          <w:szCs w:val="18"/>
        </w:rPr>
        <w:t xml:space="preserve">§2.13  </w:t>
      </w:r>
      <w:r>
        <w:rPr>
          <w:rFonts w:ascii="Garamond" w:cs="Garamond" w:eastAsia="Garamond" w:hAnsi="Garamond"/>
          <w:b w:val="false"/>
          <w:bCs w:val="false"/>
          <w:i/>
          <w:iCs/>
          <w:color w:val="1B2A4A"/>
          <w:sz w:val="22"/>
          <w:szCs w:val="22"/>
        </w:rPr>
        <w:t xml:space="preserve">Consular Removal</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Legat Consul may be removed on two independent tracks. Under the legislative track, 2/3 of both chambers in a concurrent vote on grounds of constitutional breach, demonstrated permanent incapacity, or conviction for a disqualifying offense. Either chamber may request a JMC assessment as part of the proceedings; any such assessment is published to the NRS. Under the popular track, a Senate majority may refer the question to a national recall referendum administered within the period defined by statute. The Legat Consul is removed if the referendum achieves 60% of votes cast under §7.4 with a minimum 55% citizen participation. A failed referendum may not be re-initiated within the same Legat Consul's term. The Senate Speaker holds Acting Consular Authority from the moment of Senate referral published to the NRS — no active assumption is required or permitted. The military compliance obligations established in §2.9 apply to this transfer.</w:t>
      </w:r>
    </w:p>
    <w:p>
      <w:pPr>
        <w:spacing w:after="60" w:before="200"/>
        <w:ind w:left="431"/>
        <w:jc w:val="left"/>
      </w:pPr>
      <w:r>
        <w:rPr>
          <w:rFonts w:ascii="Courier New" w:cs="Courier New" w:eastAsia="Courier New" w:hAnsi="Courier New"/>
          <w:b/>
          <w:bCs/>
          <w:color w:val="2a2a2a"/>
          <w:sz w:val="18"/>
          <w:szCs w:val="18"/>
        </w:rPr>
        <w:t xml:space="preserve">§2.14  </w:t>
      </w:r>
      <w:r>
        <w:rPr>
          <w:rFonts w:ascii="Garamond" w:cs="Garamond" w:eastAsia="Garamond" w:hAnsi="Garamond"/>
          <w:b w:val="false"/>
          <w:bCs w:val="false"/>
          <w:i/>
          <w:iCs/>
          <w:color w:val="1B2A4A"/>
          <w:sz w:val="22"/>
          <w:szCs w:val="22"/>
        </w:rPr>
        <w:t xml:space="preserve">Council of Ministers</w:t>
      </w:r>
    </w:p>
    <w:p>
      <w:pPr>
        <w:spacing w:after="120" w:before="0"/>
        <w:ind w:left="431"/>
        <w:jc w:val="both"/>
      </w:pPr>
      <w:r>
        <w:rPr>
          <w:rFonts w:ascii="Garamond" w:cs="Garamond" w:eastAsia="Garamond" w:hAnsi="Garamond"/>
          <w:b w:val="false"/>
          <w:bCs w:val="false"/>
          <w:i w:val="false"/>
          <w:iCs w:val="false"/>
          <w:color w:val="2a2a2a"/>
          <w:sz w:val="22"/>
          <w:szCs w:val="22"/>
        </w:rPr>
        <w:t xml:space="preserve">The Council of Ministers comprises the Legat Consul's domain officers and the Civic Consul's ministers meeting jointly as a standing cross-executive coordination body. The Council is the primary forum for matters that cross executive domains. The Council makes recommendations and coordinates positions; it does not exercise executive authority. A summary record of each session is published to the NRS within the period defined by statute. The existence and general subject of each session may not be classified. Operational procedures are defined by statute.</w:t>
      </w:r>
    </w:p>
    <w:p>
      <w:pPr>
        <w:spacing w:after="60" w:before="200"/>
        <w:ind w:left="431"/>
        <w:jc w:val="left"/>
      </w:pPr>
      <w:r>
        <w:rPr>
          <w:rFonts w:ascii="Courier New" w:cs="Courier New" w:eastAsia="Courier New" w:hAnsi="Courier New"/>
          <w:b/>
          <w:bCs/>
          <w:color w:val="2a2a2a"/>
          <w:sz w:val="18"/>
          <w:szCs w:val="18"/>
        </w:rPr>
        <w:t xml:space="preserve">§2.14.a  </w:t>
      </w:r>
      <w:r>
        <w:rPr>
          <w:rFonts w:ascii="Garamond" w:cs="Garamond" w:eastAsia="Garamond" w:hAnsi="Garamond"/>
          <w:b w:val="false"/>
          <w:bCs w:val="false"/>
          <w:i/>
          <w:iCs/>
          <w:color w:val="1B2A4A"/>
          <w:sz w:val="22"/>
          <w:szCs w:val="22"/>
        </w:rPr>
        <w:t xml:space="preserve">Cross-Domain Emergency Lead</w:t>
      </w:r>
    </w:p>
    <w:p>
      <w:pPr>
        <w:spacing w:after="120" w:before="0"/>
        <w:ind w:left="431"/>
        <w:jc w:val="both"/>
      </w:pPr>
      <w:r>
        <w:rPr>
          <w:rFonts w:ascii="Garamond" w:cs="Garamond" w:eastAsia="Garamond" w:hAnsi="Garamond"/>
          <w:b w:val="false"/>
          <w:bCs w:val="false"/>
          <w:i w:val="false"/>
          <w:iCs w:val="false"/>
          <w:color w:val="2a2a2a"/>
          <w:sz w:val="22"/>
          <w:szCs w:val="22"/>
        </w:rPr>
        <w:t xml:space="preserve">In a cross-domain emergency requiring unified operational authority, either executive may propose a temporary operational lead designation. Concurrence of both executives makes it effective and is published to the NRS. Where the executives cannot agree, either may petition the SC for expedited resolution under §4.5. A lead designation assigns operational coordination only and does not affect either executive’s constitutional domain authority.</w:t>
      </w:r>
    </w:p>
    <w:p>
      <w:pPr>
        <w:spacing w:after="60" w:before="200"/>
        <w:ind w:left="431"/>
        <w:jc w:val="left"/>
      </w:pPr>
      <w:r>
        <w:rPr>
          <w:rFonts w:ascii="Courier New" w:cs="Courier New" w:eastAsia="Courier New" w:hAnsi="Courier New"/>
          <w:b/>
          <w:bCs/>
          <w:color w:val="2a2a2a"/>
          <w:sz w:val="18"/>
          <w:szCs w:val="18"/>
        </w:rPr>
        <w:t xml:space="preserve">§2.16  </w:t>
      </w:r>
      <w:r>
        <w:rPr>
          <w:rFonts w:ascii="Garamond" w:cs="Garamond" w:eastAsia="Garamond" w:hAnsi="Garamond"/>
          <w:b w:val="false"/>
          <w:bCs w:val="false"/>
          <w:i/>
          <w:iCs/>
          <w:color w:val="1B2A4A"/>
          <w:sz w:val="22"/>
          <w:szCs w:val="22"/>
        </w:rPr>
        <w:t xml:space="preserve">Federal Prosecution</w:t>
      </w:r>
    </w:p>
    <w:p>
      <w:pPr>
        <w:spacing w:after="120" w:before="0"/>
        <w:ind w:left="431"/>
        <w:jc w:val="both"/>
      </w:pPr>
      <w:r>
        <w:rPr>
          <w:rFonts w:ascii="Garamond" w:cs="Garamond" w:eastAsia="Garamond" w:hAnsi="Garamond"/>
          <w:b w:val="false"/>
          <w:bCs w:val="false"/>
          <w:i w:val="false"/>
          <w:iCs w:val="false"/>
          <w:color w:val="2a2a2a"/>
          <w:sz w:val="22"/>
          <w:szCs w:val="22"/>
        </w:rPr>
        <w:t xml:space="preserve">The Civic Consul is responsible for the enforcement of federal law and sets general prosecution policy. The Legislature shall by statute establish a Federal Prosecution Service independent in the exercise of individual prosecutorial decisions. The Civic Consul may issue directions to the Service on general prosecution policy. Any direction concerning a specific prosecution must be in writing and published to the NRS simultaneously with issuance. The Legislature may not reduce the Service’s appropriation below the prior year’s level without a 2/3 vote of both chambers.</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III — The Legislature</w:t>
      </w:r>
    </w:p>
    <w:p>
      <w:pPr>
        <w:spacing w:after="60" w:before="200"/>
        <w:ind w:left="431"/>
        <w:jc w:val="left"/>
      </w:pPr>
      <w:r>
        <w:rPr>
          <w:rFonts w:ascii="Courier New" w:cs="Courier New" w:eastAsia="Courier New" w:hAnsi="Courier New"/>
          <w:b/>
          <w:bCs/>
          <w:color w:val="2a2a2a"/>
          <w:sz w:val="18"/>
          <w:szCs w:val="18"/>
        </w:rPr>
        <w:t xml:space="preserve">§3.1  </w:t>
      </w:r>
      <w:r>
        <w:rPr>
          <w:rFonts w:ascii="Garamond" w:cs="Garamond" w:eastAsia="Garamond" w:hAnsi="Garamond"/>
          <w:b w:val="false"/>
          <w:bCs w:val="false"/>
          <w:i/>
          <w:iCs/>
          <w:color w:val="1B2A4A"/>
          <w:sz w:val="22"/>
          <w:szCs w:val="22"/>
        </w:rPr>
        <w:t xml:space="preserve">The Legislature</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Legislature comprises two chambers: the Assembly and the Senate. All legislation originates in the Assembly. The Senate reviews, may amend within the subject matter of the bill, and must act on every Assembly-passed bill within the period defined by statute, not to exceed 90 days — inaction triggers automatic deemed approval. In the absence of a statutory period, the Senate must act within 90 days of receipt. Neither chamber may indefinitely delay business assigned to it by this constitution.</w:t>
      </w:r>
    </w:p>
    <w:p>
      <w:pPr>
        <w:spacing w:after="60" w:before="200"/>
        <w:ind w:left="431"/>
        <w:jc w:val="left"/>
      </w:pPr>
      <w:r>
        <w:rPr>
          <w:rFonts w:ascii="Courier New" w:cs="Courier New" w:eastAsia="Courier New" w:hAnsi="Courier New"/>
          <w:b/>
          <w:bCs/>
          <w:color w:val="2a2a2a"/>
          <w:sz w:val="18"/>
          <w:szCs w:val="18"/>
        </w:rPr>
        <w:t xml:space="preserve">§3.2  </w:t>
      </w:r>
      <w:r>
        <w:rPr>
          <w:rFonts w:ascii="Garamond" w:cs="Garamond" w:eastAsia="Garamond" w:hAnsi="Garamond"/>
          <w:b w:val="false"/>
          <w:bCs w:val="false"/>
          <w:i/>
          <w:iCs/>
          <w:color w:val="1B2A4A"/>
          <w:sz w:val="22"/>
          <w:szCs w:val="22"/>
        </w:rPr>
        <w:t xml:space="preserve">The Assembly</w:t>
      </w:r>
    </w:p>
    <w:p>
      <w:pPr>
        <w:spacing w:after="120" w:before="0"/>
        <w:ind w:left="431"/>
        <w:jc w:val="both"/>
      </w:pPr>
      <w:r>
        <w:rPr>
          <w:rFonts w:ascii="Garamond" w:cs="Garamond" w:eastAsia="Garamond" w:hAnsi="Garamond"/>
          <w:b w:val="false"/>
          <w:bCs w:val="false"/>
          <w:i w:val="false"/>
          <w:iCs w:val="false"/>
          <w:color w:val="2a2a2a"/>
          <w:sz w:val="22"/>
          <w:szCs w:val="22"/>
        </w:rPr>
        <w:t xml:space="preserve">The Assembly is the proportionally elected chamber. Both States and Territories send voting members. Seats are allocated by the Webster method based on population, with a minimum of one seat per State and Territory. The constituency divisor is established and may be adjusted by statute, subject to the minimum-seat guarantee. The census, conducted every ten years by a statutory independent agency, is the basis for reapportionment. The LM audits the census and allocation process. The Assembly Speaker is elected by the Assembly from its own members by absolute majority. Quorum is a majority of full seated membership. The Assembly establishes its own internal procedures. Members serve two-year terms. No member may serve more than six consecutive terms without sitting out one full electoral cycle; no cumulative lifetime restriction applies after the cooling-off period. Any Assembly member who resigns, is expelled, or is removed by state recall at any point during a term shall be deemed to have served that full term for purposes of the consecutive-term limit. Mid-term vacancies in Assembly seats are filled by special election administered by the Elections Panel; the Legislature establishes timing and procedures by statute, ensuring no seat remains vacant within the period defined by statute, not to exceed 90 days. The Assembly may expel a member by 2/3 vote of full seated membership; expulsion is published to the NRS and is effective immediately. A State may establish by law a recall mechanism for its Assembly members; any such mechanism must operate as a punitive or political process, must not violate this Constitution, and must place the final recall decision with the State legislature or the State’s eligible voters; no recall may proceed on the decision of an executive officer, administrative body, or court alone; where an Assembly member is recalled the seat is treated as vacant under this Constitution.</w:t>
      </w:r>
    </w:p>
    <w:p>
      <w:pPr>
        <w:spacing w:after="60" w:before="200"/>
        <w:ind w:left="431"/>
        <w:jc w:val="left"/>
      </w:pPr>
      <w:r>
        <w:rPr>
          <w:rFonts w:ascii="Courier New" w:cs="Courier New" w:eastAsia="Courier New" w:hAnsi="Courier New"/>
          <w:b/>
          <w:bCs/>
          <w:color w:val="2a2a2a"/>
          <w:sz w:val="18"/>
          <w:szCs w:val="18"/>
        </w:rPr>
        <w:t xml:space="preserve">§3.3  </w:t>
      </w:r>
      <w:r>
        <w:rPr>
          <w:rFonts w:ascii="Garamond" w:cs="Garamond" w:eastAsia="Garamond" w:hAnsi="Garamond"/>
          <w:b w:val="false"/>
          <w:bCs w:val="false"/>
          <w:i/>
          <w:iCs/>
          <w:color w:val="1B2A4A"/>
          <w:sz w:val="22"/>
          <w:szCs w:val="22"/>
        </w:rPr>
        <w:t xml:space="preserve">Electoral Districts</w:t>
      </w:r>
    </w:p>
    <w:p>
      <w:pPr>
        <w:spacing w:after="120" w:before="0"/>
        <w:ind w:left="431"/>
        <w:jc w:val="both"/>
      </w:pPr>
      <w:r>
        <w:rPr>
          <w:rFonts w:ascii="Garamond" w:cs="Garamond" w:eastAsia="Garamond" w:hAnsi="Garamond"/>
          <w:b w:val="false"/>
          <w:bCs w:val="false"/>
          <w:i w:val="false"/>
          <w:iCs w:val="false"/>
          <w:color w:val="2a2a2a"/>
          <w:sz w:val="22"/>
          <w:szCs w:val="22"/>
        </w:rPr>
        <w:t xml:space="preserve">States draw their own Assembly district maps subject to five criteria: population equality within reasonable tolerance; geographic contiguity; compliance with §1.6 non-discrimination; no intentional dilution of minority voting power; and reasonable compactness. Maps may not be drawn using voter political affiliation data, voting history data, incumbent residence, or racial composition as primary criteria. The LM reviews all maps for compliance and publishes findings to the NRS. Where a map fails, the Elections Panel draws an interim compliant map that takes effect at the next election and is retired when the State submits a compliant map. Territorial districts are drawn by the Elections Panel under the same criteria. Any citizen, State government, or parliamentary minority may challenge a map before the SC.</w:t>
      </w:r>
    </w:p>
    <w:p>
      <w:pPr>
        <w:spacing w:after="60" w:before="200"/>
        <w:ind w:left="431"/>
        <w:jc w:val="left"/>
      </w:pPr>
      <w:r>
        <w:rPr>
          <w:rFonts w:ascii="Courier New" w:cs="Courier New" w:eastAsia="Courier New" w:hAnsi="Courier New"/>
          <w:b/>
          <w:bCs/>
          <w:color w:val="2a2a2a"/>
          <w:sz w:val="18"/>
          <w:szCs w:val="18"/>
        </w:rPr>
        <w:t xml:space="preserve">§3.4  </w:t>
      </w:r>
      <w:r>
        <w:rPr>
          <w:rFonts w:ascii="Garamond" w:cs="Garamond" w:eastAsia="Garamond" w:hAnsi="Garamond"/>
          <w:b w:val="false"/>
          <w:bCs w:val="false"/>
          <w:i/>
          <w:iCs/>
          <w:color w:val="1B2A4A"/>
          <w:sz w:val="22"/>
          <w:szCs w:val="22"/>
        </w:rPr>
        <w:t xml:space="preserve">Legislative Standards</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bill must address a single, clearly defined subject. Any member or approval body in the legislative process may request an EM assessment of single-subject compliance, published to the NRS. The full text of every bill must be published to the NRS for a minimum period defined by statute before any final passage vote; a substantially amended bill resets the clock. The Legislature must sit for a minimum number of days per year defined by statute; emergency sessions may be called by the Civic Consul or by petition of 1/3 of either chamber. The Legislature must establish a joint ethics committee with authority to sanction and refer members; removal requires 2/3 of the relevant chamber; under §9.1, the chamber may request an EM assessment to inform the proceeding.</w:t>
      </w:r>
    </w:p>
    <w:p>
      <w:pPr>
        <w:spacing w:after="60" w:before="200"/>
        <w:ind w:left="431"/>
        <w:jc w:val="left"/>
      </w:pPr>
      <w:r>
        <w:rPr>
          <w:rFonts w:ascii="Courier New" w:cs="Courier New" w:eastAsia="Courier New" w:hAnsi="Courier New"/>
          <w:b/>
          <w:bCs/>
          <w:color w:val="2a2a2a"/>
          <w:sz w:val="18"/>
          <w:szCs w:val="18"/>
        </w:rPr>
        <w:t xml:space="preserve">§3.5  </w:t>
      </w:r>
      <w:r>
        <w:rPr>
          <w:rFonts w:ascii="Garamond" w:cs="Garamond" w:eastAsia="Garamond" w:hAnsi="Garamond"/>
          <w:b w:val="false"/>
          <w:bCs w:val="false"/>
          <w:i/>
          <w:iCs/>
          <w:color w:val="1B2A4A"/>
          <w:sz w:val="22"/>
          <w:szCs w:val="22"/>
        </w:rPr>
        <w:t xml:space="preserve">The Senate</w:t>
      </w:r>
    </w:p>
    <w:p>
      <w:pPr>
        <w:spacing w:after="120" w:before="0"/>
        <w:ind w:left="431"/>
        <w:jc w:val="both"/>
      </w:pPr>
      <w:r>
        <w:rPr>
          <w:rFonts w:ascii="Garamond" w:cs="Garamond" w:eastAsia="Garamond" w:hAnsi="Garamond"/>
          <w:b w:val="false"/>
          <w:bCs w:val="false"/>
          <w:i w:val="false"/>
          <w:iCs w:val="false"/>
          <w:color w:val="2a2a2a"/>
          <w:sz w:val="22"/>
          <w:szCs w:val="22"/>
        </w:rPr>
        <w:t xml:space="preserve">The Senate comprises two senators per State regardless of population, elected for six-year staggered terms. At the first Senate seating, senators are assigned to three approximately equal cohorts by public lot: the first cohort serves an initial term of two years, the second four years, the third six years; thereafter all Senate terms are six years. The lot is conducted by the Elections Panel and published to the NRS before the first senators take the constitutional oath. No senator may serve more than two consecutive terms without sitting out one full term; no cumulative lifetime restriction applies after the cooling-off period. Any senator who resigns, is expelled, or is removed by state recall at any point during a term shall be deemed to have served that full term for purposes of the consecutive-term limit. The Senate Speaker is elected by senators and may not serve more than two consecutive full Senate terms as Speaker without sitting out one full Senate term. The Senate defines its own internal procedures. The Senate may expel a member by 2/3 vote of full seated membership; expulsion is published to the NRS and is effective immediately. A State may establish by law a recall mechanism for its senators; any such mechanism must operate as a punitive or political process, must not violate this Constitution, and must place the final recall decision with the State legislature or the State’s eligible voters; no recall may proceed on the decision of an executive officer, administrative body, or court alone; where a senator is recalled the seat is treated as vacant under this Constitution. The Senate holds exclusive authority over: judicial confirmation; treaty ratification by 2/3 of full seated membership; and, in the absence of a functioning Elections Panel, administration of the consular election. The Senate may not initiate legislation; all bills originate in the Assembly.</w:t>
      </w:r>
    </w:p>
    <w:p>
      <w:pPr>
        <w:spacing w:after="60" w:before="200"/>
        <w:ind w:left="431"/>
        <w:jc w:val="left"/>
      </w:pPr>
      <w:r>
        <w:rPr>
          <w:rFonts w:ascii="Courier New" w:cs="Courier New" w:eastAsia="Courier New" w:hAnsi="Courier New"/>
          <w:b/>
          <w:bCs/>
          <w:color w:val="2a2a2a"/>
          <w:sz w:val="18"/>
          <w:szCs w:val="18"/>
        </w:rPr>
        <w:t xml:space="preserve">§3.6  </w:t>
      </w:r>
      <w:r>
        <w:rPr>
          <w:rFonts w:ascii="Garamond" w:cs="Garamond" w:eastAsia="Garamond" w:hAnsi="Garamond"/>
          <w:b w:val="false"/>
          <w:bCs w:val="false"/>
          <w:i/>
          <w:iCs/>
          <w:color w:val="1B2A4A"/>
          <w:sz w:val="22"/>
          <w:szCs w:val="22"/>
        </w:rPr>
        <w:t xml:space="preserve">Treaty and Trade Agreement Ratification</w:t>
      </w:r>
    </w:p>
    <w:p>
      <w:pPr>
        <w:spacing w:after="120" w:before="0"/>
        <w:ind w:left="431"/>
        <w:jc w:val="both"/>
      </w:pPr>
      <w:r>
        <w:rPr>
          <w:rFonts w:ascii="Garamond" w:cs="Garamond" w:eastAsia="Garamond" w:hAnsi="Garamond"/>
          <w:b w:val="false"/>
          <w:bCs w:val="false"/>
          <w:i w:val="false"/>
          <w:iCs w:val="false"/>
          <w:color w:val="2a2a2a"/>
          <w:sz w:val="22"/>
          <w:szCs w:val="22"/>
        </w:rPr>
        <w:t xml:space="preserve">Treaty and compact agreement ratification requires 2/3 of the full seated Senate. Trade agreements concluded by the Legat Consul take effect upon approval by simple majority of both chambers; neither chamber may amend the terms of a concluded agreement. Where a treaty fails ratification, standalone domestic provisions may be transmitted to the Assembly as ordinary legislation unless the treaty is bilateral and its obligations are interdependent, in which case it must be renegotiated or abandoned in full. The Legat Consul initiates treaty withdrawal by published NRS notice. The Senate must affirm withdrawal by 2/3 of its full seated membership within the period defined by statute, not to exceed 90 days; where the Senate does not affirm within that period, the notice is void and the Legat Consul must resubmit. Indigenous treaties under Article XVI may not be unilaterally withdrawn.</w:t>
      </w:r>
    </w:p>
    <w:p>
      <w:pPr>
        <w:spacing w:after="60" w:before="200"/>
        <w:ind w:left="431"/>
        <w:jc w:val="left"/>
      </w:pPr>
      <w:r>
        <w:rPr>
          <w:rFonts w:ascii="Courier New" w:cs="Courier New" w:eastAsia="Courier New" w:hAnsi="Courier New"/>
          <w:b/>
          <w:bCs/>
          <w:color w:val="2a2a2a"/>
          <w:sz w:val="18"/>
          <w:szCs w:val="18"/>
        </w:rPr>
        <w:t xml:space="preserve">§3.6.a  </w:t>
      </w:r>
      <w:r>
        <w:rPr>
          <w:rFonts w:ascii="Garamond" w:cs="Garamond" w:eastAsia="Garamond" w:hAnsi="Garamond"/>
          <w:b w:val="false"/>
          <w:bCs w:val="false"/>
          <w:i/>
          <w:iCs/>
          <w:color w:val="1B2A4A"/>
          <w:sz w:val="22"/>
          <w:szCs w:val="22"/>
        </w:rPr>
        <w:t xml:space="preserve">Classification and Dispute Resolution</w:t>
      </w:r>
    </w:p>
    <w:p>
      <w:pPr>
        <w:spacing w:after="120" w:before="0"/>
        <w:ind w:left="431"/>
        <w:jc w:val="both"/>
      </w:pPr>
      <w:r>
        <w:rPr>
          <w:rFonts w:ascii="Garamond" w:cs="Garamond" w:eastAsia="Garamond" w:hAnsi="Garamond"/>
          <w:b w:val="false"/>
          <w:bCs w:val="false"/>
          <w:i w:val="false"/>
          <w:iCs w:val="false"/>
          <w:color w:val="2a2a2a"/>
          <w:sz w:val="22"/>
          <w:szCs w:val="22"/>
        </w:rPr>
        <w:t xml:space="preserve">Where the Senate disputes the Legat Consul's classification of an international instrument as a trade agreement, the instrument is treated as a treaty pending resolution. Either party may seek expedited judicial determination of the classification; the applicable court and process are defined by statute.</w:t>
      </w:r>
    </w:p>
    <w:p>
      <w:pPr>
        <w:spacing w:after="60" w:before="200"/>
        <w:ind w:left="431"/>
        <w:jc w:val="left"/>
      </w:pPr>
      <w:r>
        <w:rPr>
          <w:rFonts w:ascii="Courier New" w:cs="Courier New" w:eastAsia="Courier New" w:hAnsi="Courier New"/>
          <w:b/>
          <w:bCs/>
          <w:color w:val="2a2a2a"/>
          <w:sz w:val="18"/>
          <w:szCs w:val="18"/>
        </w:rPr>
        <w:t xml:space="preserve">§3.7  </w:t>
      </w:r>
      <w:r>
        <w:rPr>
          <w:rFonts w:ascii="Garamond" w:cs="Garamond" w:eastAsia="Garamond" w:hAnsi="Garamond"/>
          <w:b w:val="false"/>
          <w:bCs w:val="false"/>
          <w:i/>
          <w:iCs/>
          <w:color w:val="1B2A4A"/>
          <w:sz w:val="22"/>
          <w:szCs w:val="22"/>
        </w:rPr>
        <w:t xml:space="preserve">Legislative Process and Passage</w:t>
      </w:r>
    </w:p>
    <w:p>
      <w:pPr>
        <w:spacing w:after="120" w:before="0"/>
        <w:ind w:left="431"/>
        <w:jc w:val="both"/>
      </w:pPr>
      <w:r>
        <w:rPr>
          <w:rFonts w:ascii="Garamond" w:cs="Garamond" w:eastAsia="Garamond" w:hAnsi="Garamond"/>
          <w:b w:val="false"/>
          <w:bCs w:val="false"/>
          <w:i w:val="false"/>
          <w:iCs w:val="false"/>
          <w:color w:val="2a2a2a"/>
          <w:sz w:val="22"/>
          <w:szCs w:val="22"/>
        </w:rPr>
        <w:t xml:space="preserve">Bills pass by absolute majority of the full seated membership of both chambers. Higher thresholds apply to constitutional amendments, veto overrides, removal proceedings, and other matters specified in this constitution; where a higher threshold is specified for a vote of a single chamber, it applies to the full seated membership of that chamber. The Speaker of each chamber must publish the final text of every enacted law to the NRS within the period defined by statute. All prior versions, committee reports, Monitor findings, and veto records are indexed alongside the enacted text. Where the constitution requires the Legislature to enact specific legislation and the Legislature fails to do so, the LM publishes a non-compliance finding; the mandate becomes justiciable in the SC; and, for mandates whose non-fulfilment directly impairs the exercise of a right guaranteed in Article I, affected parties may bring direct constitutional claims.</w:t>
      </w:r>
    </w:p>
    <w:p>
      <w:pPr>
        <w:spacing w:after="60" w:before="200"/>
        <w:ind w:left="431"/>
        <w:jc w:val="left"/>
      </w:pPr>
      <w:r>
        <w:rPr>
          <w:rFonts w:ascii="Courier New" w:cs="Courier New" w:eastAsia="Courier New" w:hAnsi="Courier New"/>
          <w:b/>
          <w:bCs/>
          <w:color w:val="2a2a2a"/>
          <w:sz w:val="18"/>
          <w:szCs w:val="18"/>
        </w:rPr>
        <w:t xml:space="preserve">§3.8  </w:t>
      </w:r>
      <w:r>
        <w:rPr>
          <w:rFonts w:ascii="Garamond" w:cs="Garamond" w:eastAsia="Garamond" w:hAnsi="Garamond"/>
          <w:b w:val="false"/>
          <w:bCs w:val="false"/>
          <w:i/>
          <w:iCs/>
          <w:color w:val="1B2A4A"/>
          <w:sz w:val="22"/>
          <w:szCs w:val="22"/>
        </w:rPr>
        <w:t xml:space="preserve">Legislative Oversight</w:t>
      </w:r>
    </w:p>
    <w:p>
      <w:pPr>
        <w:spacing w:after="120" w:before="0"/>
        <w:ind w:left="431"/>
        <w:jc w:val="both"/>
      </w:pPr>
      <w:r>
        <w:rPr>
          <w:rFonts w:ascii="Garamond" w:cs="Garamond" w:eastAsia="Garamond" w:hAnsi="Garamond"/>
          <w:b w:val="false"/>
          <w:bCs w:val="false"/>
          <w:i w:val="false"/>
          <w:iCs w:val="false"/>
          <w:color w:val="2a2a2a"/>
          <w:sz w:val="22"/>
          <w:szCs w:val="22"/>
        </w:rPr>
        <w:t xml:space="preserve">All three Monitors have full access to legislative records, committee deliberations, voting records, and draft legislation; the Legislature may not withhold records from the Monitors. The LM publishes a constitutional compliance analysis of any enacted law during the legislative review period; members may request LM analysis of any bill at any stage; the LM does not initiate pre-enactment review on its own motion. Standing committees are mandated for constitutionally assigned functions and may not be abolished while they hold a constitutional mandate. Legislative privilege protects members from civil proceedings arising from acts performed in their legislative capacity but does not extend to criminal conduct or acts the EM has assessed as constitutional breaches.</w:t>
      </w:r>
    </w:p>
    <w:p>
      <w:pPr>
        <w:spacing w:after="60" w:before="200"/>
        <w:ind w:left="431"/>
        <w:jc w:val="left"/>
      </w:pPr>
      <w:r>
        <w:rPr>
          <w:rFonts w:ascii="Courier New" w:cs="Courier New" w:eastAsia="Courier New" w:hAnsi="Courier New"/>
          <w:b/>
          <w:bCs/>
          <w:color w:val="2a2a2a"/>
          <w:sz w:val="18"/>
          <w:szCs w:val="18"/>
        </w:rPr>
        <w:t xml:space="preserve">§3.9  </w:t>
      </w:r>
      <w:r>
        <w:rPr>
          <w:rFonts w:ascii="Garamond" w:cs="Garamond" w:eastAsia="Garamond" w:hAnsi="Garamond"/>
          <w:b w:val="false"/>
          <w:bCs w:val="false"/>
          <w:i/>
          <w:iCs/>
          <w:color w:val="1B2A4A"/>
          <w:sz w:val="22"/>
          <w:szCs w:val="22"/>
        </w:rPr>
        <w:t xml:space="preserve">Independent Statutory Agencies</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Legislature may establish independent agencies operating outside the authority of both executives. Where this Constitution assigns a function to an independent agency, the Legislature must establish it. Directors of constitutionally mandated independent agencies serve fixed terms defined by statute and are removable for cause only; cause must relate to conduct, competence, or a disqualifying offense under §3.12 and may not include policy disagreement with the Legislature or either executive. The appointment process and oversight mechanism for each agency are established by statute in a manner consistent with this independence protection. Qualification standards established by statute for appointment to a constitutionally mandated independent agency must be facially neutral and may not be designed to exclude otherwise qualified candidates on the basis of policy view, party affiliation, or prior public criticism of the Legislature or either executive.</w:t>
      </w:r>
    </w:p>
    <w:p>
      <w:pPr>
        <w:spacing w:after="60" w:before="200"/>
        <w:ind w:left="431"/>
        <w:jc w:val="left"/>
      </w:pPr>
      <w:r>
        <w:rPr>
          <w:rFonts w:ascii="Courier New" w:cs="Courier New" w:eastAsia="Courier New" w:hAnsi="Courier New"/>
          <w:b/>
          <w:bCs/>
          <w:color w:val="2a2a2a"/>
          <w:sz w:val="18"/>
          <w:szCs w:val="18"/>
        </w:rPr>
        <w:t xml:space="preserve">§3.10  </w:t>
      </w:r>
      <w:r>
        <w:rPr>
          <w:rFonts w:ascii="Garamond" w:cs="Garamond" w:eastAsia="Garamond" w:hAnsi="Garamond"/>
          <w:b w:val="false"/>
          <w:bCs w:val="false"/>
          <w:i/>
          <w:iCs/>
          <w:color w:val="1B2A4A"/>
          <w:sz w:val="22"/>
          <w:szCs w:val="22"/>
        </w:rPr>
        <w:t xml:space="preserve">Impeachment</w:t>
      </w:r>
    </w:p>
    <w:p>
      <w:pPr>
        <w:spacing w:after="120" w:before="0"/>
        <w:ind w:left="431"/>
        <w:jc w:val="both"/>
      </w:pPr>
      <w:r>
        <w:rPr>
          <w:rFonts w:ascii="Garamond" w:cs="Garamond" w:eastAsia="Garamond" w:hAnsi="Garamond"/>
          <w:b w:val="false"/>
          <w:bCs w:val="false"/>
          <w:i w:val="false"/>
          <w:iCs w:val="false"/>
          <w:color w:val="2a2a2a"/>
          <w:sz w:val="22"/>
          <w:szCs w:val="22"/>
        </w:rPr>
        <w:t xml:space="preserve">The Assembly may impeach officers serving in the Legat Consular domain and inferior court judges. The Legat Consul is removed exclusively under §2.13; the Civic Consul under §2.6; SC justices under §4.3.b; legislative members by their own chamber. A 1/3 Assembly minority may open an inquiry; full impeachment requires absolute majority of full seated membership. Articles of Impeachment are published permanently to the NRS and transmitted immediately to the Senate. The subject official continues in office pending the Senate trial, relieved of executive functions from the date of Assembly passage; the applicable succession and acting mechanisms under this constitution govern the exercise of any suspended functions. The Senate trial is public and recorded on the NRS. Conviction and removal requires 2/3 of full seated Senate membership; the Senate may additionally bar the convicted from future federal office by simple majority. Acquittal is final on the same conduct. Criminal liability remains separately pursuable.</w:t>
      </w:r>
    </w:p>
    <w:p>
      <w:pPr>
        <w:spacing w:after="60" w:before="200"/>
        <w:ind w:left="431"/>
        <w:jc w:val="left"/>
      </w:pPr>
      <w:r>
        <w:rPr>
          <w:rFonts w:ascii="Courier New" w:cs="Courier New" w:eastAsia="Courier New" w:hAnsi="Courier New"/>
          <w:b/>
          <w:bCs/>
          <w:color w:val="2a2a2a"/>
          <w:sz w:val="18"/>
          <w:szCs w:val="18"/>
        </w:rPr>
        <w:t xml:space="preserve">§3.11  </w:t>
      </w:r>
      <w:r>
        <w:rPr>
          <w:rFonts w:ascii="Garamond" w:cs="Garamond" w:eastAsia="Garamond" w:hAnsi="Garamond"/>
          <w:b w:val="false"/>
          <w:bCs w:val="false"/>
          <w:i/>
          <w:iCs/>
          <w:color w:val="1B2A4A"/>
          <w:sz w:val="22"/>
          <w:szCs w:val="22"/>
        </w:rPr>
        <w:t xml:space="preserve">Inviolability of Electoral Mandates</w:t>
      </w:r>
    </w:p>
    <w:p>
      <w:pPr>
        <w:spacing w:after="120" w:before="0"/>
        <w:ind w:left="431"/>
        <w:jc w:val="both"/>
      </w:pPr>
      <w:r>
        <w:rPr>
          <w:rFonts w:ascii="Garamond" w:cs="Garamond" w:eastAsia="Garamond" w:hAnsi="Garamond"/>
          <w:b w:val="false"/>
          <w:bCs w:val="false"/>
          <w:i w:val="false"/>
          <w:iCs w:val="false"/>
          <w:color w:val="2a2a2a"/>
          <w:sz w:val="22"/>
          <w:szCs w:val="22"/>
        </w:rPr>
        <w:t xml:space="preserve">Elected constitutional officers serve their constitutionally defined terms. No act of the Legislature, either executive, any court, any Monitor, or any administrative body may shorten, suspend, or terminate an elected mandate. The only permitted exceptions are: expulsion by the relevant chamber under §3.2 or §3.5; recall under a mechanism established by State law as recognized in §3.2 or §3.5; and impeachment and removal under §3.10. Any mechanism enabling the people themselves to shorten an elected mandate not already provided in this Constitution requires a constitutional amendment under Article XVII and may not be established by ordinary statute. Expulsion, recall, and removal under any provision of this Constitution are civil and political processes; they do not constitute criminal or civil legal proceedings and do not protect the removed officer from criminal prosecution or civil liability for underlying conduct.</w:t>
      </w:r>
    </w:p>
    <w:p>
      <w:pPr>
        <w:spacing w:after="60" w:before="200"/>
        <w:ind w:left="431"/>
        <w:jc w:val="left"/>
      </w:pPr>
      <w:r>
        <w:rPr>
          <w:rFonts w:ascii="Courier New" w:cs="Courier New" w:eastAsia="Courier New" w:hAnsi="Courier New"/>
          <w:b/>
          <w:bCs/>
          <w:color w:val="2a2a2a"/>
          <w:sz w:val="18"/>
          <w:szCs w:val="18"/>
        </w:rPr>
        <w:t xml:space="preserve">§3.12  </w:t>
      </w:r>
      <w:r>
        <w:rPr>
          <w:rFonts w:ascii="Garamond" w:cs="Garamond" w:eastAsia="Garamond" w:hAnsi="Garamond"/>
          <w:b w:val="false"/>
          <w:bCs w:val="false"/>
          <w:i/>
          <w:iCs/>
          <w:color w:val="1B2A4A"/>
          <w:sz w:val="22"/>
          <w:szCs w:val="22"/>
        </w:rPr>
        <w:t xml:space="preserve">Disqualifying Offense</w:t>
      </w:r>
    </w:p>
    <w:p>
      <w:pPr>
        <w:spacing w:after="120" w:before="0"/>
        <w:ind w:left="431"/>
        <w:jc w:val="both"/>
      </w:pPr>
      <w:r>
        <w:rPr>
          <w:rFonts w:ascii="Garamond" w:cs="Garamond" w:eastAsia="Garamond" w:hAnsi="Garamond"/>
          <w:b w:val="false"/>
          <w:bCs w:val="false"/>
          <w:i w:val="false"/>
          <w:iCs w:val="false"/>
          <w:color w:val="2a2a2a"/>
          <w:sz w:val="22"/>
          <w:szCs w:val="22"/>
        </w:rPr>
        <w:t xml:space="preserve">A disqualifying offense, wherever that term appears in this Constitution, means a conviction for a federal felony under the laws of the Republic. No state-level or foreign conviction constitutes a disqualifying offense for constitutional purposes. A pardon granted under §2.12 does not restore constitutional eligibility unless the pardoning instrument expressly states that eligibility is restored and the EM publishes to the NRS that the pardoning instrument expressly states eligibility is restored. Where a conviction is under appeal at the time a relevant constitutional determination is made, the conviction stands for constitutional purposes unless and until it is reversed by a court of competent jurisdiction.</w:t>
      </w:r>
    </w:p>
    <w:p>
      <w:pPr>
        <w:spacing w:after="60" w:before="200"/>
        <w:ind w:left="431"/>
        <w:jc w:val="left"/>
      </w:pPr>
      <w:r>
        <w:rPr>
          <w:rFonts w:ascii="Courier New" w:cs="Courier New" w:eastAsia="Courier New" w:hAnsi="Courier New"/>
          <w:b/>
          <w:bCs/>
          <w:color w:val="2a2a2a"/>
          <w:sz w:val="18"/>
          <w:szCs w:val="18"/>
        </w:rPr>
        <w:t xml:space="preserve">§3.13  </w:t>
      </w:r>
      <w:r>
        <w:rPr>
          <w:rFonts w:ascii="Garamond" w:cs="Garamond" w:eastAsia="Garamond" w:hAnsi="Garamond"/>
          <w:b w:val="false"/>
          <w:bCs w:val="false"/>
          <w:i/>
          <w:iCs/>
          <w:color w:val="1B2A4A"/>
          <w:sz w:val="22"/>
          <w:szCs w:val="22"/>
        </w:rPr>
        <w:t xml:space="preserve">Continuity of Constitutionally Mandated Offices</w:t>
      </w:r>
    </w:p>
    <w:p>
      <w:pPr>
        <w:spacing w:after="120" w:before="0"/>
        <w:ind w:left="431"/>
        <w:jc w:val="both"/>
      </w:pPr>
      <w:r>
        <w:rPr>
          <w:rFonts w:ascii="Garamond" w:cs="Garamond" w:eastAsia="Garamond" w:hAnsi="Garamond"/>
          <w:b w:val="false"/>
          <w:bCs w:val="false"/>
          <w:i w:val="false"/>
          <w:iCs w:val="false"/>
          <w:color w:val="2a2a2a"/>
          <w:sz w:val="22"/>
          <w:szCs w:val="22"/>
        </w:rPr>
        <w:t xml:space="preserve">For every office established by this Constitution with a fixed term, the confirmed or elected successor’s term begins at the precise moment the incumbent’s term concludes — no gap exists between the end of one term and the commencement of the next. The selection and confirmation processes for each such office must be initiated and completed with sufficient lead time to ensure seamless succession before the incumbent’s term ends. Any person serving in an acting capacity for a constitutionally mandated office during an unexpected vacancy must be otherwise eligible for that office — possessing all substantive qualifications for the role — with the sole exception of not having completed the applicable confirmation or election process. The acting mechanism for each office is defined in the provisions governing that office.</w:t>
      </w:r>
    </w:p>
    <w:p>
      <w:pPr>
        <w:spacing w:after="60" w:before="200"/>
        <w:ind w:left="431"/>
        <w:jc w:val="left"/>
      </w:pPr>
      <w:r>
        <w:rPr>
          <w:rFonts w:ascii="Courier New" w:cs="Courier New" w:eastAsia="Courier New" w:hAnsi="Courier New"/>
          <w:b/>
          <w:bCs/>
          <w:color w:val="2a2a2a"/>
          <w:sz w:val="18"/>
          <w:szCs w:val="18"/>
        </w:rPr>
        <w:t xml:space="preserve">§3.14  </w:t>
      </w:r>
      <w:r>
        <w:rPr>
          <w:rFonts w:ascii="Garamond" w:cs="Garamond" w:eastAsia="Garamond" w:hAnsi="Garamond"/>
          <w:b w:val="false"/>
          <w:bCs w:val="false"/>
          <w:i/>
          <w:iCs/>
          <w:color w:val="1B2A4A"/>
          <w:sz w:val="22"/>
          <w:szCs w:val="22"/>
        </w:rPr>
        <w:t xml:space="preserve">Federal Legislative Competence</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Legislature holds general authority to legislate for the peace, order, and good governance of the Republic. It may not enact legislation that destroys the capacity of States to govern themselves as self-governing communities. Where federal law and State law conflict, federal law prevails to the extent of the conflict. The Legislature may set minimum standards that States must meet but may not direct State institutions as instruments of federal administration. Where this Constitution directs that a function, standard, procedure, or framework be established, defined, or regulated, that obligation is fulfilled by statute unless this Constitution specifies otherwise. No executive or administrative act may substitute for legislation where this Constitution requires statutory action.</w:t>
      </w:r>
    </w:p>
    <w:p>
      <w:pPr>
        <w:spacing w:after="60" w:before="200"/>
        <w:ind w:left="431"/>
        <w:jc w:val="left"/>
      </w:pPr>
      <w:r>
        <w:rPr>
          <w:rFonts w:ascii="Courier New" w:cs="Courier New" w:eastAsia="Courier New" w:hAnsi="Courier New"/>
          <w:b/>
          <w:bCs/>
          <w:color w:val="2a2a2a"/>
          <w:sz w:val="18"/>
          <w:szCs w:val="18"/>
        </w:rPr>
        <w:t xml:space="preserve">§3.15  </w:t>
      </w:r>
      <w:r>
        <w:rPr>
          <w:rFonts w:ascii="Garamond" w:cs="Garamond" w:eastAsia="Garamond" w:hAnsi="Garamond"/>
          <w:b w:val="false"/>
          <w:bCs w:val="false"/>
          <w:i/>
          <w:iCs/>
          <w:color w:val="1B2A4A"/>
          <w:sz w:val="22"/>
          <w:szCs w:val="22"/>
        </w:rPr>
        <w:t xml:space="preserve">Delegation of Authority</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Legislature may by statute delegate defined authorities within its legislative competence to the Legat Consul, the Civic Consul, or independent agencies established under §3.9. Any delegation must specify the exact scope of authority delegated, the conditions on its exercise, and a maximum duration not to exceed the term of the Legislature that enacted it. The Legislature may rescind any delegation by simple majority of both chambers at any time; no recipient of delegated authority may obstruct or condition rescission. No delegation creates a permanent transfer of legislative competence. Every exercise of delegated authority is published to the NRS with attribution to both the legislative grant and the recipient's act. The EM audits the exercise of all delegated executive authority annually and publishes findings to the NRS.</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IV — The Judicial Architecture</w:t>
      </w:r>
    </w:p>
    <w:p>
      <w:pPr>
        <w:spacing w:after="60" w:before="200"/>
        <w:ind w:left="431"/>
        <w:jc w:val="left"/>
      </w:pPr>
      <w:r>
        <w:rPr>
          <w:rFonts w:ascii="Courier New" w:cs="Courier New" w:eastAsia="Courier New" w:hAnsi="Courier New"/>
          <w:b/>
          <w:bCs/>
          <w:color w:val="2a2a2a"/>
          <w:sz w:val="18"/>
          <w:szCs w:val="18"/>
        </w:rPr>
        <w:t xml:space="preserve">§4.1  </w:t>
      </w:r>
      <w:r>
        <w:rPr>
          <w:rFonts w:ascii="Garamond" w:cs="Garamond" w:eastAsia="Garamond" w:hAnsi="Garamond"/>
          <w:b w:val="false"/>
          <w:bCs w:val="false"/>
          <w:i/>
          <w:iCs/>
          <w:color w:val="1B2A4A"/>
          <w:sz w:val="22"/>
          <w:szCs w:val="22"/>
        </w:rPr>
        <w:t xml:space="preserve">Court Structure</w:t>
      </w:r>
    </w:p>
    <w:p>
      <w:pPr>
        <w:spacing w:after="120" w:before="0"/>
        <w:ind w:left="431"/>
        <w:jc w:val="both"/>
      </w:pPr>
      <w:r>
        <w:rPr>
          <w:rFonts w:ascii="Garamond" w:cs="Garamond" w:eastAsia="Garamond" w:hAnsi="Garamond"/>
          <w:b w:val="false"/>
          <w:bCs w:val="false"/>
          <w:i w:val="false"/>
          <w:iCs w:val="false"/>
          <w:color w:val="2a2a2a"/>
          <w:sz w:val="22"/>
          <w:szCs w:val="22"/>
        </w:rPr>
        <w:t xml:space="preserve">The Republic's judiciary operates at three levels: district courts, appellate courts, and the Supreme Court. The Legislature may establish, abolish, and define the jurisdiction of inferior courts by statute. The abolition of an inferior court does not take effect as to any judge currently serving on that court until their term expires or they are removed for cause under §4.2; judges whose courts are abolished may be reassigned to other inferior courts by the Civic Consul with Senate confirmation at 2/3. States may maintain specialized court structures; any constitutional question arising in any proceeding may be referred to the SC. Courts act only on cases brought by a party with a concrete, articulable injury. Judges may not issue advisory opinions. Organizational standing is available where at least one member would individually have standing and the claim is germane to the organization's established constitutional purpose.</w:t>
      </w:r>
    </w:p>
    <w:p>
      <w:pPr>
        <w:spacing w:after="60" w:before="200"/>
        <w:ind w:left="431"/>
        <w:jc w:val="left"/>
      </w:pPr>
      <w:r>
        <w:rPr>
          <w:rFonts w:ascii="Courier New" w:cs="Courier New" w:eastAsia="Courier New" w:hAnsi="Courier New"/>
          <w:b/>
          <w:bCs/>
          <w:color w:val="2a2a2a"/>
          <w:sz w:val="18"/>
          <w:szCs w:val="18"/>
        </w:rPr>
        <w:t xml:space="preserve">§4.2  </w:t>
      </w:r>
      <w:r>
        <w:rPr>
          <w:rFonts w:ascii="Garamond" w:cs="Garamond" w:eastAsia="Garamond" w:hAnsi="Garamond"/>
          <w:b w:val="false"/>
          <w:bCs w:val="false"/>
          <w:i/>
          <w:iCs/>
          <w:color w:val="1B2A4A"/>
          <w:sz w:val="22"/>
          <w:szCs w:val="22"/>
        </w:rPr>
        <w:t xml:space="preserve">Judicial Appointments and Independence</w:t>
      </w:r>
    </w:p>
    <w:p>
      <w:pPr>
        <w:spacing w:after="120" w:before="0"/>
        <w:ind w:left="431"/>
        <w:jc w:val="both"/>
      </w:pPr>
      <w:r>
        <w:rPr>
          <w:rFonts w:ascii="Garamond" w:cs="Garamond" w:eastAsia="Garamond" w:hAnsi="Garamond"/>
          <w:b w:val="false"/>
          <w:bCs w:val="false"/>
          <w:i w:val="false"/>
          <w:iCs w:val="false"/>
          <w:color w:val="2a2a2a"/>
          <w:sz w:val="22"/>
          <w:szCs w:val="22"/>
        </w:rPr>
        <w:t xml:space="preserve">Any citizen meeting the eligibility criteria established in §9.4.b may apply to the Elections Panel to enter the Judicial Pool; the JM’s ongoing audit encompasses the Judicial Pool. Exceptions to pool eligibility — including persons currently holding government positions, those with disqualifying financial interests, and those removed from a court within a recent period — are defined by statute. The Civic Consul nominates inferior court judges from the Judicial Pool maintained by the Elections Panel under §9.12. The Civic Consul must nominate within the period defined by statute following a vacancy, not to exceed 90 days where no statutory period has been defined. The Senate confirms by a 2/3 supermajority. Inferior court judges serve a single non-renewable term of 12 years and may be removed only for cause. Cause for judicial removal must relate to conduct, competence, or a disqualifying offense under §3.12; policy disagreement with judicial decisions does not constitute cause, consistent with the principle established in §3.9. The Legislature may establish a mandatory retirement age by statute, not below 70. Judicial removal occurs through three tracks: legislative removal by 2/3 of both chambers on grounds of constitutional breach or demonstrated incapacity; under §9.1, either chamber may request an EM assessment to inform the proceeding; judicial discipline through a process established by statute under SC oversight; or criminal conviction for a disqualifying offense. No public official may direct, threaten, or seek to influence a judge's decision in any pending matter. Judicial compensation may not be reduced during a judge's term.</w:t>
      </w:r>
    </w:p>
    <w:p>
      <w:pPr>
        <w:spacing w:after="60" w:before="200"/>
        <w:ind w:left="431"/>
        <w:jc w:val="left"/>
      </w:pPr>
      <w:r>
        <w:rPr>
          <w:rFonts w:ascii="Courier New" w:cs="Courier New" w:eastAsia="Courier New" w:hAnsi="Courier New"/>
          <w:b/>
          <w:bCs/>
          <w:color w:val="2a2a2a"/>
          <w:sz w:val="18"/>
          <w:szCs w:val="18"/>
        </w:rPr>
        <w:t xml:space="preserve">§4.3  </w:t>
      </w:r>
      <w:r>
        <w:rPr>
          <w:rFonts w:ascii="Garamond" w:cs="Garamond" w:eastAsia="Garamond" w:hAnsi="Garamond"/>
          <w:b w:val="false"/>
          <w:bCs w:val="false"/>
          <w:i/>
          <w:iCs/>
          <w:color w:val="1B2A4A"/>
          <w:sz w:val="22"/>
          <w:szCs w:val="22"/>
        </w:rPr>
        <w:t xml:space="preserve">The Supreme Court</w:t>
      </w:r>
    </w:p>
    <w:p>
      <w:pPr>
        <w:spacing w:after="120" w:before="0"/>
        <w:ind w:left="431"/>
        <w:jc w:val="both"/>
      </w:pPr>
      <w:r>
        <w:rPr>
          <w:rFonts w:ascii="Garamond" w:cs="Garamond" w:eastAsia="Garamond" w:hAnsi="Garamond"/>
          <w:b w:val="false"/>
          <w:bCs w:val="false"/>
          <w:i w:val="false"/>
          <w:iCs w:val="false"/>
          <w:color w:val="2a2a2a"/>
          <w:sz w:val="22"/>
          <w:szCs w:val="22"/>
        </w:rPr>
        <w:t xml:space="preserve">The Supreme Court consists initially of nine justices organized into three staggered classes, each serving a single non-renewable 12-year term. The Legislature may increase the number of justices by statute requiring 2/3 of both chambers; any seat added must be filled within 18 months from the statute's effective date or expires by operation of law. The Legislature may decrease the number only by 2/3 of both chambers, effective through natural attrition only, never by removing a sitting justice. The Court may not fall below three justices. Where the Court is equally divided, the challenged ruling of the lower court or government body stands. A majority of the SC's seated justices — including any Temporary Associate Justices — constitutes quorum for ordinary decisions. Constitutional questions require a minimum of five justices regardless of total seated membership.</w:t>
      </w:r>
    </w:p>
    <w:p>
      <w:pPr>
        <w:spacing w:after="60" w:before="200"/>
        <w:ind w:left="431"/>
        <w:jc w:val="left"/>
      </w:pPr>
      <w:r>
        <w:rPr>
          <w:rFonts w:ascii="Courier New" w:cs="Courier New" w:eastAsia="Courier New" w:hAnsi="Courier New"/>
          <w:b/>
          <w:bCs/>
          <w:color w:val="2a2a2a"/>
          <w:sz w:val="18"/>
          <w:szCs w:val="18"/>
        </w:rPr>
        <w:t xml:space="preserve">§4.3.b  </w:t>
      </w:r>
      <w:r>
        <w:rPr>
          <w:rFonts w:ascii="Garamond" w:cs="Garamond" w:eastAsia="Garamond" w:hAnsi="Garamond"/>
          <w:b w:val="false"/>
          <w:bCs w:val="false"/>
          <w:i/>
          <w:iCs/>
          <w:color w:val="1B2A4A"/>
          <w:sz w:val="22"/>
          <w:szCs w:val="22"/>
        </w:rPr>
        <w:t xml:space="preserve">Supreme Court Justice Removal</w:t>
      </w:r>
    </w:p>
    <w:p>
      <w:pPr>
        <w:spacing w:after="120" w:before="0"/>
        <w:ind w:left="431"/>
        <w:jc w:val="both"/>
      </w:pPr>
      <w:r>
        <w:rPr>
          <w:rFonts w:ascii="Garamond" w:cs="Garamond" w:eastAsia="Garamond" w:hAnsi="Garamond"/>
          <w:b w:val="false"/>
          <w:bCs w:val="false"/>
          <w:i w:val="false"/>
          <w:iCs w:val="false"/>
          <w:color w:val="2a2a2a"/>
          <w:sz w:val="22"/>
          <w:szCs w:val="22"/>
        </w:rPr>
        <w:t xml:space="preserve">A Supreme Court justice may be removed only for cause. Three grounds constitute sufficient cause: constitutional breach in the exercise of judicial authority, as assessed by the EM under §9.1 or as determined by the removing chambers; certified permanent incapacity jointly certified by the EM and LM; or conviction for a disqualifying offense. Removal requires a 2/3 vote of both chambers in a concurrent vote following publication of the relevant ground. No removal vote may be held within 180 days of a major national election without prior SC review under §4.5; the SC must rule within 48 hours of petition. Judicial disagreement — however profound — does not constitute grounds for removal; the independence of SC judicial judgment is absolute and may not itself be invoked as grounds for removal. Upon removal, the most senior Appellate Court judge auto-designates as Temporary Associate Justice under §4.4 until the vacancy is filled.</w:t>
      </w:r>
    </w:p>
    <w:p>
      <w:pPr>
        <w:spacing w:after="60" w:before="200"/>
        <w:ind w:left="431"/>
        <w:jc w:val="left"/>
      </w:pPr>
      <w:r>
        <w:rPr>
          <w:rFonts w:ascii="Courier New" w:cs="Courier New" w:eastAsia="Courier New" w:hAnsi="Courier New"/>
          <w:b/>
          <w:bCs/>
          <w:color w:val="2a2a2a"/>
          <w:sz w:val="18"/>
          <w:szCs w:val="18"/>
        </w:rPr>
        <w:t xml:space="preserve">§4.4  </w:t>
      </w:r>
      <w:r>
        <w:rPr>
          <w:rFonts w:ascii="Garamond" w:cs="Garamond" w:eastAsia="Garamond" w:hAnsi="Garamond"/>
          <w:b w:val="false"/>
          <w:bCs w:val="false"/>
          <w:i/>
          <w:iCs/>
          <w:color w:val="1B2A4A"/>
          <w:sz w:val="22"/>
          <w:szCs w:val="22"/>
        </w:rPr>
        <w:t xml:space="preserve">Supreme Court Selection</w:t>
      </w:r>
    </w:p>
    <w:p>
      <w:pPr>
        <w:spacing w:after="120" w:before="0"/>
        <w:ind w:left="431"/>
        <w:jc w:val="both"/>
      </w:pPr>
      <w:r>
        <w:rPr>
          <w:rFonts w:ascii="Garamond" w:cs="Garamond" w:eastAsia="Garamond" w:hAnsi="Garamond"/>
          <w:b w:val="false"/>
          <w:bCs w:val="false"/>
          <w:i w:val="false"/>
          <w:iCs w:val="false"/>
          <w:color w:val="2a2a2a"/>
          <w:sz w:val="22"/>
          <w:szCs w:val="22"/>
        </w:rPr>
        <w:t xml:space="preserve">SC justices are nominated by the Civic Consul from the Judicial Pool maintained by the Elections Panel under §9.12 — any pool member meeting the statutory qualifications for Supreme Court appointment is eligible for SC nomination. The Civic Consul nominates within the period defined by statute following a vacancy (not to exceed 90 days for anticipated vacancies, 60 days for unanticipated vacancies). The Senate must vote within the period defined by statute following nomination (not to exceed 120 days); the JM’s ongoing audit of the Judicial Pool is available on the NRS and the Senate may consider any published JM findings on the nominee; no deemed confirmation applies, but failure to vote within that period is a constitutional compliance breach. If the Senate declines, the Civic Consul nominates again within the period defined by statute. Where the Civic Consul fails to nominate within 30 days of an LM assessment of constitutional breach under this section, the Senate may select a nominee directly from the Judicial Pool by 2/3 vote of full seated membership; a Senate selection under this provision requires no further Civic Consul nomination and proceeds directly to confirmation. The confirmed justice serves a single non-renewable 12-year term from the date of confirmation. A mid-term replacement serves only the remainder of the original term. At founding, the nine initial justices are confirmed simultaneously and assigned to their three classes by public lot. Upon any SC vacancy, the most senior Appellate Court judge by continuous service is automatically designated Temporary Associate Justice within 5 days — without nomination or confirmation — holding full voting rights until the vacancy is filled; where two or more Appellate Court judges have equal continuous service, the oldest by age is designated. The Civic Consul may not nominate a serving Temporary Associate Justice for the seat they are temporarily filling through the ordinary appointment process under this section; this bar does not affect placement on a public confirmation ballot under §4.4.a.</w:t>
      </w:r>
    </w:p>
    <w:p>
      <w:pPr>
        <w:spacing w:after="60" w:before="200"/>
        <w:ind w:left="431"/>
        <w:jc w:val="left"/>
      </w:pPr>
      <w:r>
        <w:rPr>
          <w:rFonts w:ascii="Courier New" w:cs="Courier New" w:eastAsia="Courier New" w:hAnsi="Courier New"/>
          <w:b/>
          <w:bCs/>
          <w:color w:val="2a2a2a"/>
          <w:sz w:val="18"/>
          <w:szCs w:val="18"/>
        </w:rPr>
        <w:t xml:space="preserve">§4.4.a  </w:t>
      </w:r>
      <w:r>
        <w:rPr>
          <w:rFonts w:ascii="Garamond" w:cs="Garamond" w:eastAsia="Garamond" w:hAnsi="Garamond"/>
          <w:b w:val="false"/>
          <w:bCs w:val="false"/>
          <w:i/>
          <w:iCs/>
          <w:color w:val="1B2A4A"/>
          <w:sz w:val="22"/>
          <w:szCs w:val="22"/>
        </w:rPr>
        <w:t xml:space="preserve">Senate Bypass — Public Confirmation</w:t>
      </w:r>
    </w:p>
    <w:p>
      <w:pPr>
        <w:spacing w:after="120" w:before="0"/>
        <w:ind w:left="431"/>
        <w:jc w:val="both"/>
      </w:pPr>
      <w:r>
        <w:rPr>
          <w:rFonts w:ascii="Garamond" w:cs="Garamond" w:eastAsia="Garamond" w:hAnsi="Garamond"/>
          <w:b w:val="false"/>
          <w:bCs w:val="false"/>
          <w:i w:val="false"/>
          <w:iCs w:val="false"/>
          <w:color w:val="2a2a2a"/>
          <w:sz w:val="22"/>
          <w:szCs w:val="22"/>
        </w:rPr>
        <w:t xml:space="preserve">Where the LM has assessed and reported a Senate breach under §4.4, the Civic Consul may — with 2/3 Assembly consent — place the serving Temporary Associate Justice on the next federal electoral period ballot for public confirmation. Confirmation requires 60% of votes cast under §7.4; the justice’s seniority-based designation is published to the NRS as ballot information. If confirmed, the justice serves the remainder of the original term and the Senate’s confirmation authority for that seat is extinguished. If not confirmed, the justice steps down, the next most senior Appellate Court judge auto-designates, and the process may repeat. Senate confirmation of a Judicial Pool nominee before the public vote is certified ends the bypass immediately. The Temporary Associate Justice may advocate for their own confirmation once placed on the ballot under this section. A public confirmation vote under this section is not an election; §8.1’s electoral finance framework does not apply. Rules governing advocacy conduct, contributions, and disclosure during a public confirmation vote are defined by statute, which must maintain the foreign contribution prohibition and disclosure requirements consistent with the principles of §8.1.</w:t>
      </w:r>
    </w:p>
    <w:p>
      <w:pPr>
        <w:spacing w:after="60" w:before="200"/>
        <w:ind w:left="431"/>
        <w:jc w:val="left"/>
      </w:pPr>
      <w:r>
        <w:rPr>
          <w:rFonts w:ascii="Courier New" w:cs="Courier New" w:eastAsia="Courier New" w:hAnsi="Courier New"/>
          <w:b/>
          <w:bCs/>
          <w:color w:val="2a2a2a"/>
          <w:sz w:val="18"/>
          <w:szCs w:val="18"/>
        </w:rPr>
        <w:t xml:space="preserve">§4.5  </w:t>
      </w:r>
      <w:r>
        <w:rPr>
          <w:rFonts w:ascii="Garamond" w:cs="Garamond" w:eastAsia="Garamond" w:hAnsi="Garamond"/>
          <w:b w:val="false"/>
          <w:bCs w:val="false"/>
          <w:i/>
          <w:iCs/>
          <w:color w:val="1B2A4A"/>
          <w:sz w:val="22"/>
          <w:szCs w:val="22"/>
        </w:rPr>
        <w:t xml:space="preserve">Judicial Review and Scope</w:t>
      </w:r>
    </w:p>
    <w:p>
      <w:pPr>
        <w:spacing w:after="120" w:before="0"/>
        <w:ind w:left="431"/>
        <w:jc w:val="both"/>
      </w:pPr>
      <w:r>
        <w:rPr>
          <w:rFonts w:ascii="Garamond" w:cs="Garamond" w:eastAsia="Garamond" w:hAnsi="Garamond"/>
          <w:b w:val="false"/>
          <w:bCs w:val="false"/>
          <w:i w:val="false"/>
          <w:iCs w:val="false"/>
          <w:color w:val="2a2a2a"/>
          <w:sz w:val="22"/>
          <w:szCs w:val="22"/>
        </w:rPr>
        <w:t xml:space="preserve">Courts have authority to declare legislative acts, executive orders, and administrative decisions unconstitutional and void. No political actor may override a constitutional ruling. The SC identifies the constitutional defect; the Legislature may respond by enacting legislation that addresses it. Courts decide constitutional questions, not policy questions — Where a statute is ambiguous, courts apply the interpretation most consistent with this constitution. Courts may not rewrite clear statutory language. Monitor findings published to the NRS are admissible and must be given due consideration; where a court's conclusions differ from a prior finding, the court must address the inconsistency in its written decision. Any person with a concrete, articulable legal injury has the right to seek relief from a court of competent jurisdiction; the Legislature may not structure the judicial system in a manner that leaves any category of legal injury without a forum for relief. The SC has original jurisdiction over: constitutional disputes between States, between a State and the federal government, and constitutional challenges to federal statutes; disputes between the Legat Consul and Civic Consul concerning their respective constitutional domains under §2.1; constitutional challenges involving constitutionally independent institutions where their independence protections make inferior court review structurally inappropriate; emergency rights claims brought directly under §16.5; and disputes over the consistency of ratified amendments with entrenched provisions under §17.3. A four-justice emergency panel drawn by rotation holds jurisdiction over constitutional challenges to immediate defensive military authority under §2.2 during active operations and must rule within the period defined by statute, not to exceed 48 hours. Where the Court has fewer than four seated justices, the emergency panel consists of all seated justices; quorum for emergency panel review is three. Where conflict between constitutional actors creates a risk of suspension of lawful governance or constitutionally mandated essential services, the constitutional default is continuity at existing scope pending formal resolution. No constitutional actor may use a refusal to certify, approve, or coordinate to achieve the functional suspension of a constitutional obligation. The SC holds expedited jurisdiction over any dispute in which continuity of lawful governance is at immediate risk. Where this Constitution establishes a deadline for an SC ruling, a majority of seated justices may file an extension request within that period specifying the reason and additional time required, published to the NRS; the maximum extension is defined by statute, not to exceed 30 days per extension. The SC may issue interim protective orders of limited scope in matters within its original jurisdiction where delay would cause irreparable harm pending its full ruling, published to the NRS. The SC’s failure to rule within any constitutionally required period produces no substantive constitutional outcome by operation of that failure; the petitioning party may reinitiate under any procedure applicable to the underlying matter.</w:t>
      </w:r>
    </w:p>
    <w:p>
      <w:pPr>
        <w:spacing w:after="60" w:before="200"/>
        <w:ind w:left="431"/>
        <w:jc w:val="left"/>
      </w:pPr>
      <w:r>
        <w:rPr>
          <w:rFonts w:ascii="Courier New" w:cs="Courier New" w:eastAsia="Courier New" w:hAnsi="Courier New"/>
          <w:b/>
          <w:bCs/>
          <w:color w:val="2a2a2a"/>
          <w:sz w:val="18"/>
          <w:szCs w:val="18"/>
        </w:rPr>
        <w:t xml:space="preserve">§4.6  </w:t>
      </w:r>
      <w:r>
        <w:rPr>
          <w:rFonts w:ascii="Garamond" w:cs="Garamond" w:eastAsia="Garamond" w:hAnsi="Garamond"/>
          <w:b w:val="false"/>
          <w:bCs w:val="false"/>
          <w:i/>
          <w:iCs/>
          <w:color w:val="1B2A4A"/>
          <w:sz w:val="22"/>
          <w:szCs w:val="22"/>
        </w:rPr>
        <w:t xml:space="preserve">Judgment Recognition</w:t>
      </w:r>
    </w:p>
    <w:p>
      <w:pPr>
        <w:spacing w:after="120" w:before="0"/>
        <w:ind w:left="431"/>
        <w:jc w:val="both"/>
      </w:pPr>
      <w:r>
        <w:rPr>
          <w:rFonts w:ascii="Garamond" w:cs="Garamond" w:eastAsia="Garamond" w:hAnsi="Garamond"/>
          <w:b w:val="false"/>
          <w:bCs w:val="false"/>
          <w:i w:val="false"/>
          <w:iCs w:val="false"/>
          <w:color w:val="2a2a2a"/>
          <w:sz w:val="22"/>
          <w:szCs w:val="22"/>
        </w:rPr>
        <w:t xml:space="preserve">Judicial judgments, official records, and authenticated documents are recognized across all jurisdictions within the Republic. A judgment valid in one jurisdiction must be recognized in all others. Non-recognition grounds are exhaustive: the issuing court lacked jurisdiction; the judgment was obtained by fraud; or enforcement would require an act defined by the Legislature as categorically unenforceable. Judgments contrary to Article I are void by operation of §17.4. A judgment or status order published to the NRS is self-authenticating in any Republic court and takes immediate effect without re-registration. No State or Territory may discriminate in recognition based on the nature of the parties or the subject matter recognized by the issuing jurisdiction.</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V — Citizenship and National Identity</w:t>
      </w:r>
    </w:p>
    <w:p>
      <w:pPr>
        <w:spacing w:after="60" w:before="200"/>
        <w:ind w:left="431"/>
        <w:jc w:val="left"/>
      </w:pPr>
      <w:r>
        <w:rPr>
          <w:rFonts w:ascii="Courier New" w:cs="Courier New" w:eastAsia="Courier New" w:hAnsi="Courier New"/>
          <w:b/>
          <w:bCs/>
          <w:color w:val="2a2a2a"/>
          <w:sz w:val="18"/>
          <w:szCs w:val="18"/>
        </w:rPr>
        <w:t xml:space="preserve">§5.1  </w:t>
      </w:r>
      <w:r>
        <w:rPr>
          <w:rFonts w:ascii="Garamond" w:cs="Garamond" w:eastAsia="Garamond" w:hAnsi="Garamond"/>
          <w:b w:val="false"/>
          <w:bCs w:val="false"/>
          <w:i/>
          <w:iCs/>
          <w:color w:val="1B2A4A"/>
          <w:sz w:val="22"/>
          <w:szCs w:val="22"/>
        </w:rPr>
        <w:t xml:space="preserve">Citizenship</w:t>
      </w:r>
    </w:p>
    <w:p>
      <w:pPr>
        <w:spacing w:after="120" w:before="0"/>
        <w:ind w:left="431"/>
        <w:jc w:val="both"/>
      </w:pPr>
      <w:r>
        <w:rPr>
          <w:rFonts w:ascii="Garamond" w:cs="Garamond" w:eastAsia="Garamond" w:hAnsi="Garamond"/>
          <w:b w:val="false"/>
          <w:bCs w:val="false"/>
          <w:i w:val="false"/>
          <w:iCs w:val="false"/>
          <w:color w:val="2a2a2a"/>
          <w:sz w:val="22"/>
          <w:szCs w:val="22"/>
        </w:rPr>
        <w:t xml:space="preserve">Citizenship is acquired by birth, by parentage, or by naturalization. A child is automatically a citizen if at least one parent is a citizen or legal resident at birth. Citizens acquire their full citizenship rights, including the right to vote and stand for office, at 18. Citizenship may not be stripped from a natural-born citizen. Where a child born on Republic territory would hold no other citizenship, or would otherwise be stateless regardless of birthplace, citizenship is granted from birth. A legal resident may earn citizenship after the continuous residency period and clean legal record established by statute, upon passing a standardized assessment of civic and constitutional proficiency established by statute. A legal resident may alternatively earn citizenship through honorable completion of military or national service. The assessment tests knowledge of constitutional principles and civic structure — not political opinions or cultural loyalty. It is administered by a statutory independent agency under §3.9. No citizenship may be revoked as punishment once granted; the Republic may not manufacture statelessness as a punitive tool. A child born before a parent acquired legal residency or citizenship, who accompanies that parent to the Republic within a Legislature-defined window, receives derivative status.</w:t>
      </w:r>
    </w:p>
    <w:p>
      <w:pPr>
        <w:spacing w:after="60" w:before="200"/>
        <w:ind w:left="431"/>
        <w:jc w:val="left"/>
      </w:pPr>
      <w:r>
        <w:rPr>
          <w:rFonts w:ascii="Courier New" w:cs="Courier New" w:eastAsia="Courier New" w:hAnsi="Courier New"/>
          <w:b/>
          <w:bCs/>
          <w:color w:val="2a2a2a"/>
          <w:sz w:val="18"/>
          <w:szCs w:val="18"/>
        </w:rPr>
        <w:t xml:space="preserve">§5.2  </w:t>
      </w:r>
      <w:r>
        <w:rPr>
          <w:rFonts w:ascii="Garamond" w:cs="Garamond" w:eastAsia="Garamond" w:hAnsi="Garamond"/>
          <w:b w:val="false"/>
          <w:bCs w:val="false"/>
          <w:i/>
          <w:iCs/>
          <w:color w:val="1B2A4A"/>
          <w:sz w:val="22"/>
          <w:szCs w:val="22"/>
        </w:rPr>
        <w:t xml:space="preserve">Legal Resident Rights</w:t>
      </w:r>
    </w:p>
    <w:p>
      <w:pPr>
        <w:spacing w:after="120" w:before="0"/>
        <w:ind w:left="431"/>
        <w:jc w:val="both"/>
      </w:pPr>
      <w:r>
        <w:rPr>
          <w:rFonts w:ascii="Garamond" w:cs="Garamond" w:eastAsia="Garamond" w:hAnsi="Garamond"/>
          <w:b w:val="false"/>
          <w:bCs w:val="false"/>
          <w:i w:val="false"/>
          <w:iCs w:val="false"/>
          <w:color w:val="2a2a2a"/>
          <w:sz w:val="22"/>
          <w:szCs w:val="22"/>
        </w:rPr>
        <w:t xml:space="preserve">Legal residents hold a Residency Credential allowing them to work, enter contracts, own property, and access social state systems under Article XII. They hold all Article I rights as Inhabitants. They do not hold federal voting rights or the right to stand for federal office. No child of a citizen or legal resident may be deported regardless of the child's own documentation status.</w:t>
      </w:r>
    </w:p>
    <w:p>
      <w:pPr>
        <w:spacing w:after="60" w:before="200"/>
        <w:ind w:left="431"/>
        <w:jc w:val="left"/>
      </w:pPr>
      <w:r>
        <w:rPr>
          <w:rFonts w:ascii="Courier New" w:cs="Courier New" w:eastAsia="Courier New" w:hAnsi="Courier New"/>
          <w:b/>
          <w:bCs/>
          <w:color w:val="2a2a2a"/>
          <w:sz w:val="18"/>
          <w:szCs w:val="18"/>
        </w:rPr>
        <w:t xml:space="preserve">§5.3  </w:t>
      </w:r>
      <w:r>
        <w:rPr>
          <w:rFonts w:ascii="Garamond" w:cs="Garamond" w:eastAsia="Garamond" w:hAnsi="Garamond"/>
          <w:b w:val="false"/>
          <w:bCs w:val="false"/>
          <w:i/>
          <w:iCs/>
          <w:color w:val="1B2A4A"/>
          <w:sz w:val="22"/>
          <w:szCs w:val="22"/>
        </w:rPr>
        <w:t xml:space="preserve">Custodial Care of Citizen Children</w:t>
      </w:r>
    </w:p>
    <w:p>
      <w:pPr>
        <w:spacing w:after="120" w:before="0"/>
        <w:ind w:left="431"/>
        <w:jc w:val="both"/>
      </w:pPr>
      <w:r>
        <w:rPr>
          <w:rFonts w:ascii="Garamond" w:cs="Garamond" w:eastAsia="Garamond" w:hAnsi="Garamond"/>
          <w:b w:val="false"/>
          <w:bCs w:val="false"/>
          <w:i w:val="false"/>
          <w:iCs w:val="false"/>
          <w:color w:val="2a2a2a"/>
          <w:sz w:val="22"/>
          <w:szCs w:val="22"/>
        </w:rPr>
        <w:t xml:space="preserve">Where a parent or guardian who is the primary caregiver of a citizen child is removed from the Republic, the Republic accepts responsibility for that citizen child — housing, care, and connection to remaining family. The Republic may not separate citizen children from their sole caregivers without providing for them. Where a removal order would deprive an Inhabitant child of their primary caregiver, that order is stayed pending resolution of custodial arrangements.</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VI — Immigration and Residency</w:t>
      </w:r>
    </w:p>
    <w:p>
      <w:pPr>
        <w:spacing w:after="60" w:before="200"/>
        <w:ind w:left="431"/>
        <w:jc w:val="left"/>
      </w:pPr>
      <w:r>
        <w:rPr>
          <w:rFonts w:ascii="Courier New" w:cs="Courier New" w:eastAsia="Courier New" w:hAnsi="Courier New"/>
          <w:b/>
          <w:bCs/>
          <w:color w:val="2a2a2a"/>
          <w:sz w:val="18"/>
          <w:szCs w:val="18"/>
        </w:rPr>
        <w:t xml:space="preserve">§6.1  </w:t>
      </w:r>
      <w:r>
        <w:rPr>
          <w:rFonts w:ascii="Garamond" w:cs="Garamond" w:eastAsia="Garamond" w:hAnsi="Garamond"/>
          <w:b w:val="false"/>
          <w:bCs w:val="false"/>
          <w:i/>
          <w:iCs/>
          <w:color w:val="1B2A4A"/>
          <w:sz w:val="22"/>
          <w:szCs w:val="22"/>
        </w:rPr>
        <w:t xml:space="preserve">The Two-Stage Immigration System</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immigration application must clear two sequential stages: State sponsorship and federal certification. Legal residency requires passing both stages. States retain discretion over whom they sponsor but may not apply sponsorship criteria that violate §1.6. Federal certification categories are established by statute; no ideological screening or nationality-based quotas may be applied at any stage. Any denial must specify the precise ground in writing. Once an applicant clears both stages, the Legat Consul must ministerially issue residency credentials; interference with credential issuance by the Legat Consul is constitutionally prohibited. The Legislature may establish a Federal Sponsorship Category where federal agencies serve as the State sponsorship stage for applicants serving a defined federal interest; this does not bypass federal certification. The Legislature may set aggregate limits on total applications received and processed in any period, provided limits are applied without §1.6 discrimination. Asylum proceedings under §6.3 are exempt from the State sponsorship stage — no State's refusal to sponsor can extinguish a §1.21 asylum claim.</w:t>
      </w:r>
    </w:p>
    <w:p>
      <w:pPr>
        <w:spacing w:after="60" w:before="200"/>
        <w:ind w:left="431"/>
        <w:jc w:val="left"/>
      </w:pPr>
      <w:r>
        <w:rPr>
          <w:rFonts w:ascii="Courier New" w:cs="Courier New" w:eastAsia="Courier New" w:hAnsi="Courier New"/>
          <w:b/>
          <w:bCs/>
          <w:color w:val="2a2a2a"/>
          <w:sz w:val="18"/>
          <w:szCs w:val="18"/>
        </w:rPr>
        <w:t xml:space="preserve">§6.2  </w:t>
      </w:r>
      <w:r>
        <w:rPr>
          <w:rFonts w:ascii="Garamond" w:cs="Garamond" w:eastAsia="Garamond" w:hAnsi="Garamond"/>
          <w:b w:val="false"/>
          <w:bCs w:val="false"/>
          <w:i/>
          <w:iCs/>
          <w:color w:val="1B2A4A"/>
          <w:sz w:val="22"/>
          <w:szCs w:val="22"/>
        </w:rPr>
        <w:t xml:space="preserve">Enforcement, Removal, and Appeals</w:t>
      </w:r>
    </w:p>
    <w:p>
      <w:pPr>
        <w:spacing w:after="120" w:before="0"/>
        <w:ind w:left="431"/>
        <w:jc w:val="both"/>
      </w:pPr>
      <w:r>
        <w:rPr>
          <w:rFonts w:ascii="Garamond" w:cs="Garamond" w:eastAsia="Garamond" w:hAnsi="Garamond"/>
          <w:b w:val="false"/>
          <w:bCs w:val="false"/>
          <w:i w:val="false"/>
          <w:iCs w:val="false"/>
          <w:color w:val="2a2a2a"/>
          <w:sz w:val="22"/>
          <w:szCs w:val="22"/>
        </w:rPr>
        <w:t xml:space="preserve">Only the federal government may remove individuals from the Republic. Removal occurs only for violations of laws the Legislature has defined — executive detention without statutory basis is unlawful detention subject to habeas corpus. Federal certification denials are judicially challengeable on three grounds: criterion not established under the federal certification mandate; discriminatory grounds contrary to §1.6; or procedural violation affecting the outcome. State sponsorship denials are not reviewable on the merits of the sponsorship decision but are challengeable as constitutional violations where made on §1.6 discriminatory grounds — a court finding discrimination may order reconsideration free of discriminatory criteria but may not compel sponsorship. Court decisions on State sponsorship challenges brought on §1.6 grounds are published to the NRS; personally identifying information of applicants who are not public figures as defined by statute is protected consistent with §1.7. Where federal certification is denied on national security grounds, a reviewing court may examine the classified assessment in camera to determine whether it constitutes a credible, specific, and documented security concern; where the court finds the assessment insufficient, the denial is vacated and federal certification must be reconsidered on the remaining criteria. All removal proceedings and challenge proceedings under this section carry the right to legal representation; where an applicant cannot afford representation, counsel is appointed at public expense.</w:t>
      </w:r>
    </w:p>
    <w:p>
      <w:pPr>
        <w:spacing w:after="60" w:before="200"/>
        <w:ind w:left="431"/>
        <w:jc w:val="left"/>
      </w:pPr>
      <w:r>
        <w:rPr>
          <w:rFonts w:ascii="Courier New" w:cs="Courier New" w:eastAsia="Courier New" w:hAnsi="Courier New"/>
          <w:b/>
          <w:bCs/>
          <w:color w:val="2a2a2a"/>
          <w:sz w:val="18"/>
          <w:szCs w:val="18"/>
        </w:rPr>
        <w:t xml:space="preserve">§6.3  </w:t>
      </w:r>
      <w:r>
        <w:rPr>
          <w:rFonts w:ascii="Garamond" w:cs="Garamond" w:eastAsia="Garamond" w:hAnsi="Garamond"/>
          <w:b w:val="false"/>
          <w:bCs w:val="false"/>
          <w:i/>
          <w:iCs/>
          <w:color w:val="1B2A4A"/>
          <w:sz w:val="22"/>
          <w:szCs w:val="22"/>
        </w:rPr>
        <w:t xml:space="preserve">Asylum and Protection</w:t>
      </w:r>
    </w:p>
    <w:p>
      <w:pPr>
        <w:spacing w:after="120" w:before="0"/>
        <w:ind w:left="431"/>
        <w:jc w:val="both"/>
      </w:pPr>
      <w:r>
        <w:rPr>
          <w:rFonts w:ascii="Garamond" w:cs="Garamond" w:eastAsia="Garamond" w:hAnsi="Garamond"/>
          <w:b w:val="false"/>
          <w:bCs w:val="false"/>
          <w:i w:val="false"/>
          <w:iCs w:val="false"/>
          <w:color w:val="2a2a2a"/>
          <w:sz w:val="22"/>
          <w:szCs w:val="22"/>
        </w:rPr>
        <w:t xml:space="preserve">Asylum proceedings operate on a separate constitutional track from the dual-gate system. Any person who files an asylum claim under §1.21 is an Inhabitant from the date of filing — entitled to Article I protections and social state access. Claims must be determined before any removal order takes effect. A claim filed solely to delay a final removal order may be expedited under procedures the Legislature defines, consistent with the right to a fair hearing. Where the Asylum Court grants protection, the person receives federal residency credentials by operation of that grant; State sponsorship and federal certification are not required conditions. The manner of entry does not affect the right to claim asylum or have that claim determined. No penalty arising solely from irregular entry may be imposed on a person whose claim is pending or has been granted. Asylum proceedings must provide: a qualified adjudicator, interpreter access, the right to present evidence and witnesses, the right to legal representation with appointed counsel at public expense where the applicant cannot afford representation, a written decision with grounds, and a right of appeal — regardless of point of entry. The asylum proceedings statute must ensure accessibility to persons in Territories and geographically remote areas. The Asylum Court is a federal judicial institution constitutionally independent of both executive branches. Its judges are appointed under §4.2 and hold full tenure protections. The Legislature may not establish any asylum determination body as a subdivision or instrumentality of either executive branch. An unaccompanied minor arriving in the Republic is an Inhabitant from the moment of contact and holds full §1.21 protection. A federal legal guardian must be appointed by the federal court with jurisdiction over the point of contact within 72 hours. No unaccompanied minor may be detained in a facility not specifically designated and resourced for children.</w:t>
      </w:r>
    </w:p>
    <w:p>
      <w:pPr>
        <w:spacing w:after="60" w:before="200"/>
        <w:ind w:left="431"/>
        <w:jc w:val="left"/>
      </w:pPr>
      <w:r>
        <w:rPr>
          <w:rFonts w:ascii="Courier New" w:cs="Courier New" w:eastAsia="Courier New" w:hAnsi="Courier New"/>
          <w:b/>
          <w:bCs/>
          <w:color w:val="2a2a2a"/>
          <w:sz w:val="18"/>
          <w:szCs w:val="18"/>
        </w:rPr>
        <w:t xml:space="preserve">§6.3.b  </w:t>
      </w:r>
      <w:r>
        <w:rPr>
          <w:rFonts w:ascii="Garamond" w:cs="Garamond" w:eastAsia="Garamond" w:hAnsi="Garamond"/>
          <w:b w:val="false"/>
          <w:bCs w:val="false"/>
          <w:i/>
          <w:iCs/>
          <w:color w:val="1B2A4A"/>
          <w:sz w:val="22"/>
          <w:szCs w:val="22"/>
        </w:rPr>
        <w:t xml:space="preserve">Unresolvable and Security Cases</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Legislature must define a minimum status, material conditions, and periodic judicial review for persons subject to final removal orders that cannot be executed — because the destination country will not accept them or execution would violate §1.21. Indefinite stateless detention is constitutionally prohibited. Where the Asylum Court grants §1.21 protection to a person who poses a documented security threat, removal remains constitutionally barred and indefinite unreviewed detention is not available. Detention is permitted subject to: mandatory judicial review by an independent federal court within 90 days of initial detention; mandatory review every 180 days thereafter; statutory minimum conditions of humane treatment; and no detention beyond 5 years without annual judicial review by the court with active jurisdiction over the case.</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VII — Elections</w:t>
      </w:r>
    </w:p>
    <w:p>
      <w:pPr>
        <w:spacing w:after="60" w:before="200"/>
        <w:ind w:left="431"/>
        <w:jc w:val="left"/>
      </w:pPr>
      <w:r>
        <w:rPr>
          <w:rFonts w:ascii="Courier New" w:cs="Courier New" w:eastAsia="Courier New" w:hAnsi="Courier New"/>
          <w:b/>
          <w:bCs/>
          <w:color w:val="2a2a2a"/>
          <w:sz w:val="18"/>
          <w:szCs w:val="18"/>
        </w:rPr>
        <w:t xml:space="preserve">§7.1  </w:t>
      </w:r>
      <w:r>
        <w:rPr>
          <w:rFonts w:ascii="Garamond" w:cs="Garamond" w:eastAsia="Garamond" w:hAnsi="Garamond"/>
          <w:b w:val="false"/>
          <w:bCs w:val="false"/>
          <w:i/>
          <w:iCs/>
          <w:color w:val="1B2A4A"/>
          <w:sz w:val="22"/>
          <w:szCs w:val="22"/>
        </w:rPr>
        <w:t xml:space="preserve">The Right to Vote</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citizen holds the right to vote in federal elections and the right to have that vote counted. Government at every level is prohibited from taking any action that makes voting more difficult, less accessible, or less secure. No law, rule, administrative decision, or practice that reduces access to the franchise is constitutionally valid. The Republic holds an affirmative obligation to make voting as accessible as possible consistent with security — it may not compel citizens to vote, but it must provide conditions in which doing so is genuinely possible. Federal election periods are public holidays.</w:t>
      </w:r>
    </w:p>
    <w:p>
      <w:pPr>
        <w:spacing w:after="60" w:before="200"/>
        <w:ind w:left="431"/>
        <w:jc w:val="left"/>
      </w:pPr>
      <w:r>
        <w:rPr>
          <w:rFonts w:ascii="Courier New" w:cs="Courier New" w:eastAsia="Courier New" w:hAnsi="Courier New"/>
          <w:b/>
          <w:bCs/>
          <w:color w:val="2a2a2a"/>
          <w:sz w:val="18"/>
          <w:szCs w:val="18"/>
        </w:rPr>
        <w:t xml:space="preserve">§7.2  </w:t>
      </w:r>
      <w:r>
        <w:rPr>
          <w:rFonts w:ascii="Garamond" w:cs="Garamond" w:eastAsia="Garamond" w:hAnsi="Garamond"/>
          <w:b w:val="false"/>
          <w:bCs w:val="false"/>
          <w:i/>
          <w:iCs/>
          <w:color w:val="1B2A4A"/>
          <w:sz w:val="22"/>
          <w:szCs w:val="22"/>
        </w:rPr>
        <w:t xml:space="preserve">Consular Election System</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Legat Consul is elected through two concurrent requirements: a national RCV majority and a State plurality qualification. A candidate wins outright by satisfying both. Where a candidate's national RCV majority reaches or exceeds 60% of votes cast, the State plurality requirement is waived. Where no candidate wins outright, a runoff is conducted between the two candidates with the highest national first-preference totals, determined by national RCV only with no State plurality requirement; where two candidates are tied for the second position, the Elections Panel determines which advances by lot. Where the runoff itself produces a tied result, the Elections Panel determines the winner by lot in a public session; the result is published to the NRS and is final. The Elections Panel administers and certifies all consular elections. Territory citizens vote in consular elections and their votes count in the national RCV total; Territories are not included in the State plurality calculation. A candidate satisfies the State plurality requirement by receiving more first-preference votes than any other candidate in a majority of the Republic's States. The Elections Panel certifies State-by-State first-preference results as part of overall election certification. Certification is final and may be challenged only before the SC within 14 days of certification by either candidate, any State or Territory government on the ground that the certification does not accurately reflect votes cast within its jurisdiction, or the Elections Panel itself where it identifies a material error in its own certification.</w:t>
      </w:r>
    </w:p>
    <w:p>
      <w:pPr>
        <w:spacing w:after="60" w:before="200"/>
        <w:ind w:left="431"/>
        <w:jc w:val="left"/>
      </w:pPr>
      <w:r>
        <w:rPr>
          <w:rFonts w:ascii="Courier New" w:cs="Courier New" w:eastAsia="Courier New" w:hAnsi="Courier New"/>
          <w:b/>
          <w:bCs/>
          <w:color w:val="2a2a2a"/>
          <w:sz w:val="18"/>
          <w:szCs w:val="18"/>
        </w:rPr>
        <w:t xml:space="preserve">§7.3  </w:t>
      </w:r>
      <w:r>
        <w:rPr>
          <w:rFonts w:ascii="Garamond" w:cs="Garamond" w:eastAsia="Garamond" w:hAnsi="Garamond"/>
          <w:b w:val="false"/>
          <w:bCs w:val="false"/>
          <w:i/>
          <w:iCs/>
          <w:color w:val="1B2A4A"/>
          <w:sz w:val="22"/>
          <w:szCs w:val="22"/>
        </w:rPr>
        <w:t xml:space="preserve">Federal Elections</w:t>
      </w:r>
    </w:p>
    <w:p>
      <w:pPr>
        <w:spacing w:after="120" w:before="0"/>
        <w:ind w:left="431"/>
        <w:jc w:val="both"/>
      </w:pPr>
      <w:r>
        <w:rPr>
          <w:rFonts w:ascii="Garamond" w:cs="Garamond" w:eastAsia="Garamond" w:hAnsi="Garamond"/>
          <w:b w:val="false"/>
          <w:bCs w:val="false"/>
          <w:i w:val="false"/>
          <w:iCs w:val="false"/>
          <w:color w:val="2a2a2a"/>
          <w:sz w:val="22"/>
          <w:szCs w:val="22"/>
        </w:rPr>
        <w:t xml:space="preserve">Federal elections are held at regular intervals: Assembly elections every two years; Senate elections on the staggered six-year cycle; Consular elections every six years. All federal elections use Ranked Choice Voting — majority required, not plurality; Consular elections use RCV within the framework of §7.2, which adds the State plurality requirement. The Legislature defines by statute the specific timing, duration, and structure of the federal electoral period within these constitutional floors. Federal elections are administered by the States within standards established and enforced by the Elections Panel; all state election systems must connect to and operate through the National Voting System, free from executive interference. The Legat Consul may not declare, postpone, or influence the scheduling of elections — including declaring emergencies that have the effect of delaying them. No State may take any action that reduces NVS access, functionality, or availability within its territory. States may offer early voting, mail-in ballots, and alternative participation methods provided all methods connect to the NVS and meet Elections Panel standards. The Republic shall provide such financial and technical assistance as is necessary to ensure every State has the capacity to procure certified equipment and meet federal election standards; the Legislature establishes the assistance mechanism and eligibility criteria by statute; the Elections Panel certifies whether assistance has been sufficient to bring each State into compliance.</w:t>
      </w:r>
    </w:p>
    <w:p>
      <w:pPr>
        <w:spacing w:after="60" w:before="200"/>
        <w:ind w:left="431"/>
        <w:jc w:val="left"/>
      </w:pPr>
      <w:r>
        <w:rPr>
          <w:rFonts w:ascii="Courier New" w:cs="Courier New" w:eastAsia="Courier New" w:hAnsi="Courier New"/>
          <w:b/>
          <w:bCs/>
          <w:color w:val="2a2a2a"/>
          <w:sz w:val="18"/>
          <w:szCs w:val="18"/>
        </w:rPr>
        <w:t xml:space="preserve">§7.3.a  </w:t>
      </w:r>
      <w:r>
        <w:rPr>
          <w:rFonts w:ascii="Garamond" w:cs="Garamond" w:eastAsia="Garamond" w:hAnsi="Garamond"/>
          <w:b w:val="false"/>
          <w:bCs w:val="false"/>
          <w:i/>
          <w:iCs/>
          <w:color w:val="1B2A4A"/>
          <w:sz w:val="22"/>
          <w:szCs w:val="22"/>
        </w:rPr>
        <w:t xml:space="preserve">Special Elections and Postponements</w:t>
      </w:r>
    </w:p>
    <w:p>
      <w:pPr>
        <w:spacing w:after="120" w:before="0"/>
        <w:ind w:left="431"/>
        <w:jc w:val="both"/>
      </w:pPr>
      <w:r>
        <w:rPr>
          <w:rFonts w:ascii="Garamond" w:cs="Garamond" w:eastAsia="Garamond" w:hAnsi="Garamond"/>
          <w:b w:val="false"/>
          <w:bCs w:val="false"/>
          <w:i w:val="false"/>
          <w:iCs w:val="false"/>
          <w:color w:val="2a2a2a"/>
          <w:sz w:val="22"/>
          <w:szCs w:val="22"/>
        </w:rPr>
        <w:t xml:space="preserve">Special elections for vacancies are administered by the Elections Panel under procedures established by statute. Where the Elections Panel certifies that elections cannot be held across a substantial portion of the Republic due to a natural disaster or catastrophic infrastructure failure, the Legislature may by 2/3 of both chambers in a concurrent vote postpone the affected election for a period not to exceed 90 days, publishing the determination to the NRS; the mandates of sitting members extend automatically for that period only. The Elections Panel publishes a finding when conditions have normalized sufficiently for elections to proceed; elections must be held within 30 days of that publication. Either chamber may petition the SC seeking expedited judicial review of the Elections Panel’s finding; the applicable court and expedited process are defined by statute. No further postponement may be granted without a new Elections Panel finding of impossibility and a new 2/3 legislative determination.</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VIII — Electoral Finance and Campaign Conduct</w:t>
      </w:r>
    </w:p>
    <w:p>
      <w:pPr>
        <w:spacing w:after="60" w:before="200"/>
        <w:ind w:left="431"/>
        <w:jc w:val="left"/>
      </w:pPr>
      <w:r>
        <w:rPr>
          <w:rFonts w:ascii="Courier New" w:cs="Courier New" w:eastAsia="Courier New" w:hAnsi="Courier New"/>
          <w:b/>
          <w:bCs/>
          <w:color w:val="2a2a2a"/>
          <w:sz w:val="18"/>
          <w:szCs w:val="18"/>
        </w:rPr>
        <w:t xml:space="preserve">§8.1  </w:t>
      </w:r>
      <w:r>
        <w:rPr>
          <w:rFonts w:ascii="Garamond" w:cs="Garamond" w:eastAsia="Garamond" w:hAnsi="Garamond"/>
          <w:b w:val="false"/>
          <w:bCs w:val="false"/>
          <w:i/>
          <w:iCs/>
          <w:color w:val="1B2A4A"/>
          <w:sz w:val="22"/>
          <w:szCs w:val="22"/>
        </w:rPr>
        <w:t xml:space="preserve">Electoral Finance</w:t>
      </w:r>
    </w:p>
    <w:p>
      <w:pPr>
        <w:spacing w:after="120" w:before="0"/>
        <w:ind w:left="431"/>
        <w:jc w:val="both"/>
      </w:pPr>
      <w:r>
        <w:rPr>
          <w:rFonts w:ascii="Garamond" w:cs="Garamond" w:eastAsia="Garamond" w:hAnsi="Garamond"/>
          <w:b w:val="false"/>
          <w:bCs w:val="false"/>
          <w:i w:val="false"/>
          <w:iCs w:val="false"/>
          <w:color w:val="2a2a2a"/>
          <w:sz w:val="22"/>
          <w:szCs w:val="22"/>
        </w:rPr>
        <w:t xml:space="preserve">All contributions above the de minimis threshold must be publicly disclosed to the Elections Panel and published to the NRS — anonymity in electoral finance is prohibited. Individual contributions to electoral campaigns are capped at a level defined by statute. Corporate, organizational, and foreign contributions are prohibited; the prohibition on foreign contributions applies to any person or entity that is not a Republic citizen or resident. Independent expenditures made in support of a campaign are subject to the same disclosure requirements as direct contributions; coordinated expenditures are treated as direct contributions. Financial contributions to electoral campaigns are not constitutionally protected speech under §1.5 and are not protected as associational activity — the regulation of electoral finance is explicitly reserved from both speech and associational protection.</w:t>
      </w:r>
    </w:p>
    <w:p>
      <w:pPr>
        <w:spacing w:after="60" w:before="200"/>
        <w:ind w:left="431"/>
        <w:jc w:val="left"/>
      </w:pPr>
      <w:r>
        <w:rPr>
          <w:rFonts w:ascii="Courier New" w:cs="Courier New" w:eastAsia="Courier New" w:hAnsi="Courier New"/>
          <w:b/>
          <w:bCs/>
          <w:color w:val="2a2a2a"/>
          <w:sz w:val="18"/>
          <w:szCs w:val="18"/>
        </w:rPr>
        <w:t xml:space="preserve">§8.2  </w:t>
      </w:r>
      <w:r>
        <w:rPr>
          <w:rFonts w:ascii="Garamond" w:cs="Garamond" w:eastAsia="Garamond" w:hAnsi="Garamond"/>
          <w:b w:val="false"/>
          <w:bCs w:val="false"/>
          <w:i/>
          <w:iCs/>
          <w:color w:val="1B2A4A"/>
          <w:sz w:val="22"/>
          <w:szCs w:val="22"/>
        </w:rPr>
        <w:t xml:space="preserve">Campaign Conduct</w:t>
      </w:r>
    </w:p>
    <w:p>
      <w:pPr>
        <w:spacing w:after="120" w:before="0"/>
        <w:ind w:left="431"/>
        <w:jc w:val="both"/>
      </w:pPr>
      <w:r>
        <w:rPr>
          <w:rFonts w:ascii="Garamond" w:cs="Garamond" w:eastAsia="Garamond" w:hAnsi="Garamond"/>
          <w:b w:val="false"/>
          <w:bCs w:val="false"/>
          <w:i w:val="false"/>
          <w:iCs w:val="false"/>
          <w:color w:val="2a2a2a"/>
          <w:sz w:val="22"/>
          <w:szCs w:val="22"/>
        </w:rPr>
        <w:t xml:space="preserve">Candidates for constitutional office campaign in compliance with published Elections Panel conduct standards, which include: prohibition on impersonating other candidates; prohibition on vote suppression activities; and prohibition on interference with the electoral administration process. Campaign communications must clearly identify their sponsor. Fabricated or deceptively edited communications about other candidates are a constitutional violation; the Elections Panel publishes findings of violation to the NRS and candidates found in violation are subject to sanctions defined by statute. Any attempt by a foreign government, foreign national, or foreign-controlled entity to influence a Republic election is a constitutional violation; candidates who knowingly accept foreign assistance are disqualified from that election cycle. Constitutional officeholders standing for election in a different race must observe strict separation between official functions and campaign activity; official resources may not be used for campaign purposes.</w:t>
      </w:r>
    </w:p>
    <w:p>
      <w:pPr>
        <w:spacing w:after="60" w:before="200"/>
        <w:ind w:left="431"/>
        <w:jc w:val="left"/>
      </w:pPr>
      <w:r>
        <w:rPr>
          <w:rFonts w:ascii="Courier New" w:cs="Courier New" w:eastAsia="Courier New" w:hAnsi="Courier New"/>
          <w:b/>
          <w:bCs/>
          <w:color w:val="2a2a2a"/>
          <w:sz w:val="18"/>
          <w:szCs w:val="18"/>
        </w:rPr>
        <w:t xml:space="preserve">§8.3  </w:t>
      </w:r>
      <w:r>
        <w:rPr>
          <w:rFonts w:ascii="Garamond" w:cs="Garamond" w:eastAsia="Garamond" w:hAnsi="Garamond"/>
          <w:b w:val="false"/>
          <w:bCs w:val="false"/>
          <w:i/>
          <w:iCs/>
          <w:color w:val="1B2A4A"/>
          <w:sz w:val="22"/>
          <w:szCs w:val="22"/>
        </w:rPr>
        <w:t xml:space="preserve">Public Spectrum Access for Campaigns</w:t>
      </w:r>
    </w:p>
    <w:p>
      <w:pPr>
        <w:spacing w:after="120" w:before="0"/>
        <w:ind w:left="431"/>
        <w:jc w:val="both"/>
      </w:pPr>
      <w:r>
        <w:rPr>
          <w:rFonts w:ascii="Garamond" w:cs="Garamond" w:eastAsia="Garamond" w:hAnsi="Garamond"/>
          <w:b w:val="false"/>
          <w:bCs w:val="false"/>
          <w:i w:val="false"/>
          <w:iCs w:val="false"/>
          <w:color w:val="2a2a2a"/>
          <w:sz w:val="22"/>
          <w:szCs w:val="22"/>
        </w:rPr>
        <w:t xml:space="preserve">Licensees operating on public broadcast spectrum — including television, radio, and licensed carriers of automated political communications — shall provide equal free access to qualified candidates during the federal electoral period. The terms and quantity of access are defined by statute. The Elections Panel certifies compliance and publishes findings to the NRS.</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IX — The Monitors</w:t>
      </w:r>
    </w:p>
    <w:p>
      <w:pPr>
        <w:spacing w:after="60" w:before="200"/>
        <w:ind w:left="431"/>
        <w:jc w:val="left"/>
      </w:pPr>
      <w:r>
        <w:rPr>
          <w:rFonts w:ascii="Courier New" w:cs="Courier New" w:eastAsia="Courier New" w:hAnsi="Courier New"/>
          <w:b/>
          <w:bCs/>
          <w:color w:val="2a2a2a"/>
          <w:sz w:val="18"/>
          <w:szCs w:val="18"/>
        </w:rPr>
        <w:t xml:space="preserve">§9.1  </w:t>
      </w:r>
      <w:r>
        <w:rPr>
          <w:rFonts w:ascii="Garamond" w:cs="Garamond" w:eastAsia="Garamond" w:hAnsi="Garamond"/>
          <w:b w:val="false"/>
          <w:bCs w:val="false"/>
          <w:i/>
          <w:iCs/>
          <w:color w:val="1B2A4A"/>
          <w:sz w:val="22"/>
          <w:szCs w:val="22"/>
        </w:rPr>
        <w:t xml:space="preserve">Three Monitors</w:t>
      </w:r>
    </w:p>
    <w:p>
      <w:pPr>
        <w:spacing w:after="120" w:before="0"/>
        <w:ind w:left="431"/>
        <w:jc w:val="both"/>
      </w:pPr>
      <w:r>
        <w:rPr>
          <w:rFonts w:ascii="Garamond" w:cs="Garamond" w:eastAsia="Garamond" w:hAnsi="Garamond"/>
          <w:b w:val="false"/>
          <w:bCs w:val="false"/>
          <w:i w:val="false"/>
          <w:iCs w:val="false"/>
          <w:color w:val="2a2a2a"/>
          <w:sz w:val="22"/>
          <w:szCs w:val="22"/>
        </w:rPr>
        <w:t xml:space="preserve">The Republic maintains three constitutionally independent Monitors — Legislative (LM), Executive (EM), and Judicial (JM) — each selected by bodies other than those it oversees. Monitors hold an information-only mandate: they observe constitutional processes, verify compliance, and publish findings to the NRS. Findings are not binding on any constitutional actor and are not a prerequisite for any legal proceeding or governmental function. Each Monitor General serves a 10-year non-renewable term with a constitutionally protected funding floor. Failure of a Monitor to act does not extinguish constitutional authority or suspend any constitutional obligation. Any constitutional officer, chamber, or body may request a focused assessment from any Monitor within that Monitor’s mandate; the Monitor publishes the assessment by the requested date where practicable; a requesting party may proceed whether or not the assessment has been published. Persistent non-responsiveness to reasonable requests may be published by the other two Monitors as a non-responsiveness finding to the NRS.</w:t>
      </w:r>
    </w:p>
    <w:p>
      <w:pPr>
        <w:spacing w:after="60" w:before="200"/>
        <w:ind w:left="431"/>
        <w:jc w:val="left"/>
      </w:pPr>
      <w:r>
        <w:rPr>
          <w:rFonts w:ascii="Courier New" w:cs="Courier New" w:eastAsia="Courier New" w:hAnsi="Courier New"/>
          <w:b/>
          <w:bCs/>
          <w:color w:val="2a2a2a"/>
          <w:sz w:val="18"/>
          <w:szCs w:val="18"/>
        </w:rPr>
        <w:t xml:space="preserve">§9.1.a  </w:t>
      </w:r>
      <w:r>
        <w:rPr>
          <w:rFonts w:ascii="Garamond" w:cs="Garamond" w:eastAsia="Garamond" w:hAnsi="Garamond"/>
          <w:b w:val="false"/>
          <w:bCs w:val="false"/>
          <w:i/>
          <w:iCs/>
          <w:color w:val="1B2A4A"/>
          <w:sz w:val="22"/>
          <w:szCs w:val="22"/>
        </w:rPr>
        <w:t xml:space="preserve">The Legislative Monitor</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LM audits the Legislature for fiscal accuracy and constitutional compliance. Responsibilities include auditing the population census for constitutional compliance; reviewing Assembly district maps against §3.3 criteria and publishing germaneness analyses; auditing the Elections Panel’s administration of the referendum eligibility process; auditing legislative mandate compliance; and publishing an annual compliance report to the NRS.</w:t>
      </w:r>
    </w:p>
    <w:p>
      <w:pPr>
        <w:spacing w:after="60" w:before="200"/>
        <w:ind w:left="431"/>
        <w:jc w:val="left"/>
      </w:pPr>
      <w:r>
        <w:rPr>
          <w:rFonts w:ascii="Courier New" w:cs="Courier New" w:eastAsia="Courier New" w:hAnsi="Courier New"/>
          <w:b/>
          <w:bCs/>
          <w:color w:val="2a2a2a"/>
          <w:sz w:val="18"/>
          <w:szCs w:val="18"/>
        </w:rPr>
        <w:t xml:space="preserve">§9.1.b  </w:t>
      </w:r>
      <w:r>
        <w:rPr>
          <w:rFonts w:ascii="Garamond" w:cs="Garamond" w:eastAsia="Garamond" w:hAnsi="Garamond"/>
          <w:b w:val="false"/>
          <w:bCs w:val="false"/>
          <w:i/>
          <w:iCs/>
          <w:color w:val="1B2A4A"/>
          <w:sz w:val="22"/>
          <w:szCs w:val="22"/>
        </w:rPr>
        <w:t xml:space="preserve">The Executive Monitor</w:t>
      </w:r>
    </w:p>
    <w:p>
      <w:pPr>
        <w:spacing w:after="120" w:before="0"/>
        <w:ind w:left="431"/>
        <w:jc w:val="both"/>
      </w:pPr>
      <w:r>
        <w:rPr>
          <w:rFonts w:ascii="Garamond" w:cs="Garamond" w:eastAsia="Garamond" w:hAnsi="Garamond"/>
          <w:b w:val="false"/>
          <w:bCs w:val="false"/>
          <w:i w:val="false"/>
          <w:iCs w:val="false"/>
          <w:color w:val="2a2a2a"/>
          <w:sz w:val="22"/>
          <w:szCs w:val="22"/>
        </w:rPr>
        <w:t xml:space="preserve">The EM audits both executives and the Monetary Authority. Annual responsibilities include: military compliance assessment covering whether military force was used for an authorized purpose under §14.1, whether legislative authorization and allocation requirements under §14.2 were observed, whether the §2.3 intelligence warrant requirement was maintained, and whether all military orders were published to the NRS within the required period; publishing clemency background reports before any executive act; reviewing disclosure records for constitutional appointments; and auditing electoral finance within the period defined by statute following any election. The EM audits constitutional officers for dereliction — failure to perform a constitutionally mandated function within the required period where that failure was not caused by circumstances genuinely beyond the officer’s control; political disagreement with a constitutional requirement is not a defense.</w:t>
      </w:r>
    </w:p>
    <w:p>
      <w:pPr>
        <w:spacing w:after="60" w:before="200"/>
        <w:ind w:left="431"/>
        <w:jc w:val="left"/>
      </w:pPr>
      <w:r>
        <w:rPr>
          <w:rFonts w:ascii="Courier New" w:cs="Courier New" w:eastAsia="Courier New" w:hAnsi="Courier New"/>
          <w:b/>
          <w:bCs/>
          <w:color w:val="2a2a2a"/>
          <w:sz w:val="18"/>
          <w:szCs w:val="18"/>
        </w:rPr>
        <w:t xml:space="preserve">§9.1.c  </w:t>
      </w:r>
      <w:r>
        <w:rPr>
          <w:rFonts w:ascii="Garamond" w:cs="Garamond" w:eastAsia="Garamond" w:hAnsi="Garamond"/>
          <w:b w:val="false"/>
          <w:bCs w:val="false"/>
          <w:i/>
          <w:iCs/>
          <w:color w:val="1B2A4A"/>
          <w:sz w:val="22"/>
          <w:szCs w:val="22"/>
        </w:rPr>
        <w:t xml:space="preserve">The Judicial Monitor</w:t>
      </w:r>
    </w:p>
    <w:p>
      <w:pPr>
        <w:spacing w:after="120" w:before="0"/>
        <w:ind w:left="431"/>
        <w:jc w:val="both"/>
      </w:pPr>
      <w:r>
        <w:rPr>
          <w:rFonts w:ascii="Garamond" w:cs="Garamond" w:eastAsia="Garamond" w:hAnsi="Garamond"/>
          <w:b w:val="false"/>
          <w:bCs w:val="false"/>
          <w:i w:val="false"/>
          <w:iCs w:val="false"/>
          <w:color w:val="2a2a2a"/>
          <w:sz w:val="22"/>
          <w:szCs w:val="22"/>
        </w:rPr>
        <w:t xml:space="preserve">The JM audits the courts for judicial scope and independence, and conducts annual audits of the Elections Panel for electoral integrity compliance, including the administration of the Judicial Pool and all constitutional pools. The JM reviews compliance with compact agreements under Article XVI and Associated Community compact agreements under Article XX. The JM administers all constitutional lottery draws and candidate certification functions.</w:t>
      </w:r>
    </w:p>
    <w:p>
      <w:pPr>
        <w:spacing w:after="60" w:before="200"/>
        <w:ind w:left="431"/>
        <w:jc w:val="left"/>
      </w:pPr>
      <w:r>
        <w:rPr>
          <w:rFonts w:ascii="Courier New" w:cs="Courier New" w:eastAsia="Courier New" w:hAnsi="Courier New"/>
          <w:b/>
          <w:bCs/>
          <w:color w:val="2a2a2a"/>
          <w:sz w:val="18"/>
          <w:szCs w:val="18"/>
        </w:rPr>
        <w:t xml:space="preserve">§9.1.d  </w:t>
      </w:r>
      <w:r>
        <w:rPr>
          <w:rFonts w:ascii="Garamond" w:cs="Garamond" w:eastAsia="Garamond" w:hAnsi="Garamond"/>
          <w:b w:val="false"/>
          <w:bCs w:val="false"/>
          <w:i/>
          <w:iCs/>
          <w:color w:val="1B2A4A"/>
          <w:sz w:val="22"/>
          <w:szCs w:val="22"/>
        </w:rPr>
        <w:t xml:space="preserve">Monitor General Term Expiry and Incapacity</w:t>
      </w:r>
    </w:p>
    <w:p>
      <w:pPr>
        <w:spacing w:after="120" w:before="0"/>
        <w:ind w:left="431"/>
        <w:jc w:val="both"/>
      </w:pPr>
      <w:r>
        <w:rPr>
          <w:rFonts w:ascii="Garamond" w:cs="Garamond" w:eastAsia="Garamond" w:hAnsi="Garamond"/>
          <w:b w:val="false"/>
          <w:bCs w:val="false"/>
          <w:i w:val="false"/>
          <w:iCs w:val="false"/>
          <w:color w:val="2a2a2a"/>
          <w:sz w:val="22"/>
          <w:szCs w:val="22"/>
        </w:rPr>
        <w:t xml:space="preserve">A Monitor General’s constitutional authority terminates automatically at the moment their term expires — no further act or proceeding is required. Any official act taken after term expiry is constitutionally void. Where an unexpected vacancy arises mid-term — through death, resignation, removal, or certified incapacity — the most senior eligible member of the affected Monitor’s candidate pool by continuous pool tenure who accepts designation serves as Acting Monitor General until a successor is confirmed under §9.3; where two or more pool members have equal continuous pool tenure, the tiebreaker is defined by statute. The Acting Monitor General holds full constitutional authority of the office. The Acting Monitor General is not eligible for permanent appointment to the position in which they serve; upon conclusion of acting service they return to the candidate pool. The JMC confirms the designation and both executives are notified immediately; notice does not condition the designation’s effectiveness. Pool membership satisfies the eligibility requirement of §3.13. Where a Monitor General is certified incapacitated by the other two Monitors jointly, the incapacitated Monitor General’s authority is suspended from the moment of joint certification and the acting mechanism under this provision activates immediately.</w:t>
      </w:r>
    </w:p>
    <w:p>
      <w:pPr>
        <w:spacing w:after="60" w:before="200"/>
        <w:ind w:left="431"/>
        <w:jc w:val="left"/>
      </w:pPr>
      <w:r>
        <w:rPr>
          <w:rFonts w:ascii="Courier New" w:cs="Courier New" w:eastAsia="Courier New" w:hAnsi="Courier New"/>
          <w:b/>
          <w:bCs/>
          <w:color w:val="2a2a2a"/>
          <w:sz w:val="18"/>
          <w:szCs w:val="18"/>
        </w:rPr>
        <w:t xml:space="preserve">§9.2  </w:t>
      </w:r>
      <w:r>
        <w:rPr>
          <w:rFonts w:ascii="Garamond" w:cs="Garamond" w:eastAsia="Garamond" w:hAnsi="Garamond"/>
          <w:b w:val="false"/>
          <w:bCs w:val="false"/>
          <w:i/>
          <w:iCs/>
          <w:color w:val="1B2A4A"/>
          <w:sz w:val="22"/>
          <w:szCs w:val="22"/>
        </w:rPr>
        <w:t xml:space="preserve">Selection and Independence</w:t>
      </w:r>
    </w:p>
    <w:p>
      <w:pPr>
        <w:spacing w:after="120" w:before="0"/>
        <w:ind w:left="431"/>
        <w:jc w:val="both"/>
      </w:pPr>
      <w:r>
        <w:rPr>
          <w:rFonts w:ascii="Garamond" w:cs="Garamond" w:eastAsia="Garamond" w:hAnsi="Garamond"/>
          <w:b w:val="false"/>
          <w:bCs w:val="false"/>
          <w:i w:val="false"/>
          <w:iCs w:val="false"/>
          <w:color w:val="2a2a2a"/>
          <w:sz w:val="22"/>
          <w:szCs w:val="22"/>
        </w:rPr>
        <w:t xml:space="preserve">Each Monitor is constituted through a process that structurally excludes the body being watched from selecting its watchers. The SC nominates the LM Monitor General, confirmed by national popular vote. The Assembly Speaker and Senate Speaker jointly nominate the EM Monitor General, confirmed by national popular vote with JM audit findings on the nominee’s disclosure record published to the NRS before the vote. The JM Monitor General is selected by public lottery from a pool of former judges audited by the LM and EM.</w:t>
      </w:r>
    </w:p>
    <w:p>
      <w:pPr>
        <w:spacing w:after="60" w:before="200"/>
        <w:ind w:left="431"/>
        <w:jc w:val="left"/>
      </w:pPr>
      <w:r>
        <w:rPr>
          <w:rFonts w:ascii="Courier New" w:cs="Courier New" w:eastAsia="Courier New" w:hAnsi="Courier New"/>
          <w:b/>
          <w:bCs/>
          <w:color w:val="2a2a2a"/>
          <w:sz w:val="18"/>
          <w:szCs w:val="18"/>
        </w:rPr>
        <w:t xml:space="preserve">§9.3  </w:t>
      </w:r>
      <w:r>
        <w:rPr>
          <w:rFonts w:ascii="Garamond" w:cs="Garamond" w:eastAsia="Garamond" w:hAnsi="Garamond"/>
          <w:b w:val="false"/>
          <w:bCs w:val="false"/>
          <w:i/>
          <w:iCs/>
          <w:color w:val="1B2A4A"/>
          <w:sz w:val="22"/>
          <w:szCs w:val="22"/>
        </w:rPr>
        <w:t xml:space="preserve">Monitor General Selection</w:t>
      </w:r>
    </w:p>
    <w:p>
      <w:pPr>
        <w:spacing w:after="120" w:before="0"/>
        <w:ind w:left="431"/>
        <w:jc w:val="both"/>
      </w:pPr>
      <w:r>
        <w:rPr>
          <w:rFonts w:ascii="Garamond" w:cs="Garamond" w:eastAsia="Garamond" w:hAnsi="Garamond"/>
          <w:b w:val="false"/>
          <w:bCs w:val="false"/>
          <w:i w:val="false"/>
          <w:iCs w:val="false"/>
          <w:color w:val="2a2a2a"/>
          <w:sz w:val="22"/>
          <w:szCs w:val="22"/>
        </w:rPr>
        <w:t xml:space="preserve">All Monitor General confirmations follow the same process: the nominated or lottery-selected candidate is confirmed by national popular vote at the next federal electoral period by simple majority; timing is defined by statute to ensure seamless succession; if the confirmation vote fails, the §9.1.d acting mechanism activates and a new selection must begin within 60 days. The Elections Panel administers all confirmation votes. The LM Monitor General is nominated by the SC from the pool maintained by the Elections Panel and audited jointly by the EM and JM. The EM Monitor General is nominated jointly by the Assembly Speaker and Senate Speaker from the pool maintained by the Elections Panel and audited jointly by the LM and JM, with JM audit findings on the nominee’s disclosure record published to the NRS before the vote; where the Speakers fail to jointly nominate within 60 days of a vacancy, the Senate selects from the pool by 2/3 vote. The JM Monitor General is selected by public lottery under §9.12 from the JM Candidate Pool under §9.4.a. No two Monitor General terms may begin within 18 months of each other. The confirmed successor assumes full authority at the precise moment the incumbent’s term concludes.</w:t>
      </w:r>
    </w:p>
    <w:p>
      <w:pPr>
        <w:spacing w:after="60" w:before="200"/>
        <w:ind w:left="431"/>
        <w:jc w:val="left"/>
      </w:pPr>
      <w:r>
        <w:rPr>
          <w:rFonts w:ascii="Courier New" w:cs="Courier New" w:eastAsia="Courier New" w:hAnsi="Courier New"/>
          <w:b/>
          <w:bCs/>
          <w:color w:val="2a2a2a"/>
          <w:sz w:val="18"/>
          <w:szCs w:val="18"/>
        </w:rPr>
        <w:t xml:space="preserve">§9.4  </w:t>
      </w:r>
      <w:r>
        <w:rPr>
          <w:rFonts w:ascii="Garamond" w:cs="Garamond" w:eastAsia="Garamond" w:hAnsi="Garamond"/>
          <w:b w:val="false"/>
          <w:bCs w:val="false"/>
          <w:i/>
          <w:iCs/>
          <w:color w:val="1B2A4A"/>
          <w:sz w:val="22"/>
          <w:szCs w:val="22"/>
        </w:rPr>
        <w:t xml:space="preserve">Judicial Monitor Audit and Lottery Administration Mandate</w:t>
      </w:r>
    </w:p>
    <w:p>
      <w:pPr>
        <w:spacing w:after="120" w:before="0"/>
        <w:ind w:left="431"/>
        <w:jc w:val="both"/>
      </w:pPr>
      <w:r>
        <w:rPr>
          <w:rFonts w:ascii="Garamond" w:cs="Garamond" w:eastAsia="Garamond" w:hAnsi="Garamond"/>
          <w:b w:val="false"/>
          <w:bCs w:val="false"/>
          <w:i w:val="false"/>
          <w:iCs w:val="false"/>
          <w:color w:val="2a2a2a"/>
          <w:sz w:val="22"/>
          <w:szCs w:val="22"/>
        </w:rPr>
        <w:t xml:space="preserve">The JM holds two constitutional mandates: as auditor, it monitors the court system, audits the Elections Panel’s administration of the Judicial Pool, and conducts compliance audits across compact obligations; as certification administrator, it certifies lottery draws and panel selections throughout the constitution. The audit mandate is information-only; the lottery administration mandate is ministerial — the JM administers the process and certifies the result, but cannot influence the outcome. Annual audit responsibilities include: court operations for scope compliance and independence; the Elections Panel for electoral integrity; SC independence; inferior court compliance with jurisdictional limits; and compliance under Article XIV, Article XIX, and Article XX compacts. Any candidate removed from a ballot by the Elections Panel may appeal to the Appellate Court within 14 days; the Court reviews only whether eligibility criteria were correctly applied and must rule within 21 days. The Elections Panel maintains the JM Candidate Pool. Eligibility is limited to former Republic judges — persons who have completed judicial service on a court of record at the trial court level or above, whether in a State court or the Republic's federal court structure — who have been out of active judicial office for at least one year. Former SC justices must have been out of SC service for at least five years. The JM holds no role in constituting or certifying its own candidate pool. The Elections Panel applies the eligibility criteria and enters qualifying applicants into the pool. The LM's ongoing audit encompasses verification of judicial service records; the EM's ongoing audit encompasses financial disclosure review; both publish findings to the NRS. The JMC conducts the lottery in a public session; the outgoing JM Monitor General does not participate. The pool is publicly accessible at all times.</w:t>
      </w:r>
    </w:p>
    <w:p>
      <w:pPr>
        <w:spacing w:after="60" w:before="200"/>
        <w:ind w:left="431"/>
        <w:jc w:val="left"/>
      </w:pPr>
      <w:r>
        <w:rPr>
          <w:rFonts w:ascii="Courier New" w:cs="Courier New" w:eastAsia="Courier New" w:hAnsi="Courier New"/>
          <w:b/>
          <w:bCs/>
          <w:color w:val="2a2a2a"/>
          <w:sz w:val="18"/>
          <w:szCs w:val="18"/>
        </w:rPr>
        <w:t xml:space="preserve">§9.4.b  </w:t>
      </w:r>
      <w:r>
        <w:rPr>
          <w:rFonts w:ascii="Garamond" w:cs="Garamond" w:eastAsia="Garamond" w:hAnsi="Garamond"/>
          <w:b w:val="false"/>
          <w:bCs w:val="false"/>
          <w:i/>
          <w:iCs/>
          <w:color w:val="1B2A4A"/>
          <w:sz w:val="22"/>
          <w:szCs w:val="22"/>
        </w:rPr>
        <w:t xml:space="preserve">Judicial Pool — Eligibility Criteria</w:t>
      </w:r>
    </w:p>
    <w:p>
      <w:pPr>
        <w:spacing w:after="120" w:before="0"/>
        <w:ind w:left="431"/>
        <w:jc w:val="both"/>
      </w:pPr>
      <w:r>
        <w:rPr>
          <w:rFonts w:ascii="Garamond" w:cs="Garamond" w:eastAsia="Garamond" w:hAnsi="Garamond"/>
          <w:b w:val="false"/>
          <w:bCs w:val="false"/>
          <w:i w:val="false"/>
          <w:iCs w:val="false"/>
          <w:color w:val="2a2a2a"/>
          <w:sz w:val="22"/>
          <w:szCs w:val="22"/>
        </w:rPr>
        <w:t xml:space="preserve">The Elections Panel maintains the standing Judicial Pool from which all federal judicial appointments are drawn. Any citizen meeting the following eligibility criteria may apply directly to the Elections Panel: at least 15 years of legal practice or 10 years of judicial service; no current government position; no disqualifying financial interest as defined in §12.4. The Elections Panel applies the stated eligibility criteria and enters qualifying applicants into the Judicial Pool. The JM’s ongoing audit of the Elections Panel encompasses the administration of the Judicial Pool; audit findings on the registry and its members are published to the NRS as part of that audit. The EM’s ongoing audit of constitutional appointments encompasses financial disclosure review; findings are published to the NRS. Any applicant excluded from or removed from the registry may appeal to the SC within 14 days on the sole ground that the eligibility criteria were misapplied. The Judicial Pool is publicly accessible on the NRS at all times.</w:t>
      </w:r>
    </w:p>
    <w:p>
      <w:pPr>
        <w:spacing w:after="60" w:before="200"/>
        <w:ind w:left="431"/>
        <w:jc w:val="left"/>
      </w:pPr>
      <w:r>
        <w:rPr>
          <w:rFonts w:ascii="Courier New" w:cs="Courier New" w:eastAsia="Courier New" w:hAnsi="Courier New"/>
          <w:b/>
          <w:bCs/>
          <w:color w:val="2a2a2a"/>
          <w:sz w:val="18"/>
          <w:szCs w:val="18"/>
        </w:rPr>
        <w:t xml:space="preserve">§9.6  </w:t>
      </w:r>
      <w:r>
        <w:rPr>
          <w:rFonts w:ascii="Garamond" w:cs="Garamond" w:eastAsia="Garamond" w:hAnsi="Garamond"/>
          <w:b w:val="false"/>
          <w:bCs w:val="false"/>
          <w:i/>
          <w:iCs/>
          <w:color w:val="1B2A4A"/>
          <w:sz w:val="22"/>
          <w:szCs w:val="22"/>
        </w:rPr>
        <w:t xml:space="preserve">Monitor Operations</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finding, report, and discrepancy notice must be published to the NRS permanently and free of charge; no official may suppress, delay, classify, or alter a Monitor report before publication. Monitor reports are permanently exempt from classification. Where any Monitor publishes a Critical Failure finding, the Legislature must publish a remediation plan with actions and timelines within the period defined by statute; failure to publish a remediation plan is a constitutional compliance breach. Any staff member may publish a minority report directly to the NRS if they believe a finding has been improperly omitted or suppressed — staff cannot be disciplined for doing so. All three Monitors jointly publish an annual State of the Republic report on a fixed date regardless of whether any political actor requests it. Where a compliance question spans multiple Monitor mandates, the Monitors may conduct a joint investigation; neither Monitor General may veto the other's contribution. All three Monitors have unrestricted access to records, personnel, facilities, and systems within their audit mandate; obstruction is a constitutional breach.</w:t>
      </w:r>
    </w:p>
    <w:p>
      <w:pPr>
        <w:spacing w:after="60" w:before="200"/>
        <w:ind w:left="431"/>
        <w:jc w:val="left"/>
      </w:pPr>
      <w:r>
        <w:rPr>
          <w:rFonts w:ascii="Courier New" w:cs="Courier New" w:eastAsia="Courier New" w:hAnsi="Courier New"/>
          <w:b/>
          <w:bCs/>
          <w:color w:val="2a2a2a"/>
          <w:sz w:val="18"/>
          <w:szCs w:val="18"/>
        </w:rPr>
        <w:t xml:space="preserve">§9.10  </w:t>
      </w:r>
      <w:r>
        <w:rPr>
          <w:rFonts w:ascii="Garamond" w:cs="Garamond" w:eastAsia="Garamond" w:hAnsi="Garamond"/>
          <w:b w:val="false"/>
          <w:bCs w:val="false"/>
          <w:i/>
          <w:iCs/>
          <w:color w:val="1B2A4A"/>
          <w:sz w:val="22"/>
          <w:szCs w:val="22"/>
        </w:rPr>
        <w:t xml:space="preserve">Monitor Minimum Funding Guarantee</w:t>
      </w:r>
    </w:p>
    <w:p>
      <w:pPr>
        <w:spacing w:after="120" w:before="0"/>
        <w:ind w:left="431"/>
        <w:jc w:val="both"/>
      </w:pPr>
      <w:r>
        <w:rPr>
          <w:rFonts w:ascii="Garamond" w:cs="Garamond" w:eastAsia="Garamond" w:hAnsi="Garamond"/>
          <w:b w:val="false"/>
          <w:bCs w:val="false"/>
          <w:i w:val="false"/>
          <w:iCs w:val="false"/>
          <w:color w:val="2a2a2a"/>
          <w:sz w:val="22"/>
          <w:szCs w:val="22"/>
        </w:rPr>
        <w:t xml:space="preserve">The annual appropriation for each Monitor, the Elections Panel, and the NRS Panel may not fall below the inflation-adjusted equivalent of the prior fiscal year's funding level without a 2/3 vote of both chambers in a concurrent vote. The Monetary Authority certifies each body's prior-year funding level adjusted for inflation and publishes the certified floor to the NRS before the Legislature begins its annual budget process. Where a budget reduces any protected body below its certified inflation-adjusted floor without the required supermajority, the prior-year funding level takes effect automatically for that body by constitutional operation.</w:t>
      </w:r>
    </w:p>
    <w:p>
      <w:pPr>
        <w:spacing w:after="60" w:before="200"/>
        <w:ind w:left="431"/>
        <w:jc w:val="left"/>
      </w:pPr>
      <w:r>
        <w:rPr>
          <w:rFonts w:ascii="Courier New" w:cs="Courier New" w:eastAsia="Courier New" w:hAnsi="Courier New"/>
          <w:b/>
          <w:bCs/>
          <w:color w:val="2a2a2a"/>
          <w:sz w:val="18"/>
          <w:szCs w:val="18"/>
        </w:rPr>
        <w:t xml:space="preserve">§9.11  </w:t>
      </w:r>
      <w:r>
        <w:rPr>
          <w:rFonts w:ascii="Garamond" w:cs="Garamond" w:eastAsia="Garamond" w:hAnsi="Garamond"/>
          <w:b w:val="false"/>
          <w:bCs w:val="false"/>
          <w:i/>
          <w:iCs/>
          <w:color w:val="1B2A4A"/>
          <w:sz w:val="22"/>
          <w:szCs w:val="22"/>
        </w:rPr>
        <w:t xml:space="preserve">Joint Monitor Council</w:t>
      </w:r>
    </w:p>
    <w:p>
      <w:pPr>
        <w:spacing w:after="120" w:before="0"/>
        <w:ind w:left="431"/>
        <w:jc w:val="both"/>
      </w:pPr>
      <w:r>
        <w:rPr>
          <w:rFonts w:ascii="Garamond" w:cs="Garamond" w:eastAsia="Garamond" w:hAnsi="Garamond"/>
          <w:b w:val="false"/>
          <w:bCs w:val="false"/>
          <w:i w:val="false"/>
          <w:iCs w:val="false"/>
          <w:color w:val="2a2a2a"/>
          <w:sz w:val="22"/>
          <w:szCs w:val="22"/>
        </w:rPr>
        <w:t xml:space="preserve">The three Monitor Generals jointly constitute the JMC as the standing coordination body for matters crossing Monitor jurisdictions. The JMC formally houses all jointly administered constitutional functions — including lottery draws and selection processes throughout the constitution. The chair of any joint session is the Monitor General whose domain covers the primary subject matter; where all domains are equally engaged, the chair rotates annually. Two of the three Monitor Generals constitute a quorum for all JMC functions; no mandatory joint function may be permanently blocked by a single Monitor General’s non-participation. Where a Monitor General does not participate in a joint function, their position — if stated — is published to the NRS alongside the joint determination. Where the Monitor Generals cannot reach consensus on a joint matter, each publishes their individual assessment and the disagreement is noted in the permanent NRS record. Sustained non-participation by a single Monitor General is subject to the §9.11.a Institutional Compromise Protocol. The JMC conducts an annual NRS audit covering both operational compliance — whether the NRS is functioning as constitutionally required, accessible, and free of single points of failure — and content integrity — whether all constitutionally required publications across all domains have been made and no records have been altered or deleted. The joint annual NRS audit is published to both chambers. The JMC has no authority to override the individual mandate of any Monitor.</w:t>
      </w:r>
    </w:p>
    <w:p>
      <w:pPr>
        <w:spacing w:after="60" w:before="200"/>
        <w:ind w:left="431"/>
        <w:jc w:val="left"/>
      </w:pPr>
      <w:r>
        <w:rPr>
          <w:rFonts w:ascii="Courier New" w:cs="Courier New" w:eastAsia="Courier New" w:hAnsi="Courier New"/>
          <w:b/>
          <w:bCs/>
          <w:color w:val="2a2a2a"/>
          <w:sz w:val="18"/>
          <w:szCs w:val="18"/>
        </w:rPr>
        <w:t xml:space="preserve">§9.11.a  </w:t>
      </w:r>
      <w:r>
        <w:rPr>
          <w:rFonts w:ascii="Garamond" w:cs="Garamond" w:eastAsia="Garamond" w:hAnsi="Garamond"/>
          <w:b w:val="false"/>
          <w:bCs w:val="false"/>
          <w:i/>
          <w:iCs/>
          <w:color w:val="1B2A4A"/>
          <w:sz w:val="22"/>
          <w:szCs w:val="22"/>
        </w:rPr>
        <w:t xml:space="preserve">Institutional Compromise Protocol</w:t>
      </w:r>
    </w:p>
    <w:p>
      <w:pPr>
        <w:spacing w:after="120" w:before="0"/>
        <w:ind w:left="431"/>
        <w:jc w:val="both"/>
      </w:pPr>
      <w:r>
        <w:rPr>
          <w:rFonts w:ascii="Garamond" w:cs="Garamond" w:eastAsia="Garamond" w:hAnsi="Garamond"/>
          <w:b w:val="false"/>
          <w:bCs w:val="false"/>
          <w:i w:val="false"/>
          <w:iCs w:val="false"/>
          <w:color w:val="2a2a2a"/>
          <w:sz w:val="22"/>
          <w:szCs w:val="22"/>
        </w:rPr>
        <w:t xml:space="preserve">Where two of the three Monitors jointly assess and report that the third is operating in demonstrable bad faith, they petition the SC directly for confirmation of the finding under its original jurisdiction in §4.5; the SC rules within 14 days. Upon filing the petition, the two petitioning Monitors jointly designate an Acting Monitor General as the most senior member of the affected Monitor’s candidate pool by continuous pool tenure who accepts the designation; both executives are notified immediately. The Acting Monitor General assumes all constitutional functions of the compromised Monitor from the moment of designation. If the SC rules that the finding is not confirmed, the Acting Monitor General stands down and all functions return immediately to the original Monitor General. Where the SC neither rules nor files an extension request within the applicable period, the Acting Monitor General stands down, all functions return to the original Monitor General, and the petition may be refiled. If confirmed, the Acting Monitor General serves until either the original Monitor General is restored to full function or a new permanent Monitor General is confirmed under §9.3 — whichever occurs first. The Acting Monitor General is not eligible for permanent appointment to the position in which they serve; upon conclusion of acting service they return to the candidate pool.</w:t>
      </w:r>
    </w:p>
    <w:p>
      <w:pPr>
        <w:spacing w:after="60" w:before="200"/>
        <w:ind w:left="431"/>
        <w:jc w:val="left"/>
      </w:pPr>
      <w:r>
        <w:rPr>
          <w:rFonts w:ascii="Courier New" w:cs="Courier New" w:eastAsia="Courier New" w:hAnsi="Courier New"/>
          <w:b/>
          <w:bCs/>
          <w:color w:val="2a2a2a"/>
          <w:sz w:val="18"/>
          <w:szCs w:val="18"/>
        </w:rPr>
        <w:t xml:space="preserve">§9.12  </w:t>
      </w:r>
      <w:r>
        <w:rPr>
          <w:rFonts w:ascii="Garamond" w:cs="Garamond" w:eastAsia="Garamond" w:hAnsi="Garamond"/>
          <w:b w:val="false"/>
          <w:bCs w:val="false"/>
          <w:i/>
          <w:iCs/>
          <w:color w:val="1B2A4A"/>
          <w:sz w:val="22"/>
          <w:szCs w:val="22"/>
        </w:rPr>
        <w:t xml:space="preserve">Constitutional Pool Framework</w:t>
      </w:r>
    </w:p>
    <w:p>
      <w:pPr>
        <w:spacing w:after="120" w:before="0"/>
        <w:ind w:left="431"/>
        <w:jc w:val="both"/>
      </w:pPr>
      <w:r>
        <w:rPr>
          <w:rFonts w:ascii="Garamond" w:cs="Garamond" w:eastAsia="Garamond" w:hAnsi="Garamond"/>
          <w:b w:val="false"/>
          <w:bCs w:val="false"/>
          <w:i w:val="false"/>
          <w:iCs w:val="false"/>
          <w:color w:val="2a2a2a"/>
          <w:sz w:val="22"/>
          <w:szCs w:val="22"/>
        </w:rPr>
        <w:t xml:space="preserve">The Elections Panel maintains all constitutional candidate registries and pools, including the Judicial Pool, and administers public access to their records via the NRS. Each pool is subject to ongoing Monitor audit; findings are published to the NRS. Any applicant excluded may appeal to the SC within 14 days on the sole ground that the qualification requirements were misapplied. Lottery draws are conducted by the JMC in a public session and published to the NRS. The constitutional minimum for all pools is five eligible members; where a pool falls below five, the JM publishes a compliance breach and the relevant nominating bodies must act to restore the minimum within the period defined by statute. Where a pool reaches zero before an acting designation is made, the most senior eligible federal judge by continuous service who is not currently serving in any constitutional office serves as Acting officer until the pool is restored; this fallback applies only to judicial and Monitor pools. Eligibility criteria for all pools are strictly objective — years of practice or service, office status, and financial interests as defined under §12.4. No registry administrator may apply criteria relating to legal philosophy, judicial temperament, ideological orientation, or political association; any exclusion on such grounds is constitutionally void. Where an applicant is excluded or removed, the administering body must publish the specific grounds to the NRS within 14 days; an excluded applicant may appeal to the courts within 30 days of NRS publication on the sole ground that stated grounds do not correspond to an established eligibility criterion; the applicable court and process are defined by statute. Changes to eligibility criteria apply prospectively only and do not affect persons already entered in a constitutional pool or registry under the criteria applicable at the time of their entry.</w:t>
      </w:r>
    </w:p>
    <w:p>
      <w:pPr>
        <w:spacing w:after="60" w:before="200"/>
        <w:ind w:left="431"/>
        <w:jc w:val="left"/>
      </w:pPr>
      <w:r>
        <w:rPr>
          <w:rFonts w:ascii="Courier New" w:cs="Courier New" w:eastAsia="Courier New" w:hAnsi="Courier New"/>
          <w:b/>
          <w:bCs/>
          <w:color w:val="2a2a2a"/>
          <w:sz w:val="18"/>
          <w:szCs w:val="18"/>
        </w:rPr>
        <w:t xml:space="preserve">§9.14  </w:t>
      </w:r>
      <w:r>
        <w:rPr>
          <w:rFonts w:ascii="Garamond" w:cs="Garamond" w:eastAsia="Garamond" w:hAnsi="Garamond"/>
          <w:b w:val="false"/>
          <w:bCs w:val="false"/>
          <w:i/>
          <w:iCs/>
          <w:color w:val="1B2A4A"/>
          <w:sz w:val="22"/>
          <w:szCs w:val="22"/>
        </w:rPr>
        <w:t xml:space="preserve">Constitutional Officer Removal — Standard Track</w:t>
      </w:r>
    </w:p>
    <w:p>
      <w:pPr>
        <w:spacing w:after="120" w:before="0"/>
        <w:ind w:left="431"/>
        <w:jc w:val="both"/>
      </w:pPr>
      <w:r>
        <w:rPr>
          <w:rFonts w:ascii="Garamond" w:cs="Garamond" w:eastAsia="Garamond" w:hAnsi="Garamond"/>
          <w:b w:val="false"/>
          <w:bCs w:val="false"/>
          <w:i w:val="false"/>
          <w:iCs w:val="false"/>
          <w:color w:val="2a2a2a"/>
          <w:sz w:val="22"/>
          <w:szCs w:val="22"/>
        </w:rPr>
        <w:t xml:space="preserve">This section governs for-cause removal of all constitutionally confirmed independent officers except Supreme Court justices under §4.3.b and elected executives. Monitor Generals are subject to for-cause removal under this section; the Judicial Track is additionally available for Monitor Generals where two of the three Monitors jointly assess and report for-cause grounds. A concurrent resolution of 1/3 of either chamber, or two of the three Monitors jointly, may initiate removal by filing stated grounds with the SC. The SC determines within 14 days whether the stated grounds constitute at least one statutory removal category for the subject office; the SC reviews constitutional category only, not factual merits. If grounds are confirmed, duty suspension activates immediately and removal requires a 2/3 concurrent vote of both chambers; no removal vote may be held within 180 days of a major national election without prior SC review within 48 hours. If grounds are not confirmed, the process closes and may not be reinitiated on the same or substantially similar grounds within six months. The SC must rule within 14 days; where the SC requires additional time, a majority of seated justices may file an extension request within the 14-day period specifying the reason and the additional period required, published to the NRS; the maximum extension period is defined by statute. Where the SC neither rules nor files an extension request within the applicable period, the removal proceeding lapses for that session and may be reinitiated under this section. The Legislature defines enumerated removal categories for each constitutionally confirmed office by statute.</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X — The National Record System</w:t>
      </w:r>
    </w:p>
    <w:p>
      <w:pPr>
        <w:spacing w:after="60" w:before="200"/>
        <w:ind w:left="431"/>
        <w:jc w:val="left"/>
      </w:pPr>
      <w:r>
        <w:rPr>
          <w:rFonts w:ascii="Courier New" w:cs="Courier New" w:eastAsia="Courier New" w:hAnsi="Courier New"/>
          <w:b/>
          <w:bCs/>
          <w:color w:val="2a2a2a"/>
          <w:sz w:val="18"/>
          <w:szCs w:val="18"/>
        </w:rPr>
        <w:t xml:space="preserve">§10.1  </w:t>
      </w:r>
      <w:r>
        <w:rPr>
          <w:rFonts w:ascii="Garamond" w:cs="Garamond" w:eastAsia="Garamond" w:hAnsi="Garamond"/>
          <w:b w:val="false"/>
          <w:bCs w:val="false"/>
          <w:i/>
          <w:iCs/>
          <w:color w:val="1B2A4A"/>
          <w:sz w:val="22"/>
          <w:szCs w:val="22"/>
        </w:rPr>
        <w:t xml:space="preserve">National Record System</w:t>
      </w:r>
    </w:p>
    <w:p>
      <w:pPr>
        <w:spacing w:after="120" w:before="0"/>
        <w:ind w:left="431"/>
        <w:jc w:val="both"/>
      </w:pPr>
      <w:r>
        <w:rPr>
          <w:rFonts w:ascii="Garamond" w:cs="Garamond" w:eastAsia="Garamond" w:hAnsi="Garamond"/>
          <w:b w:val="false"/>
          <w:bCs w:val="false"/>
          <w:i w:val="false"/>
          <w:iCs w:val="false"/>
          <w:color w:val="2a2a2a"/>
          <w:sz w:val="22"/>
          <w:szCs w:val="22"/>
        </w:rPr>
        <w:t xml:space="preserve">The National Record System is the permanent, tamper-evident public record of the Republic — freely accessible to every Inhabitant at no cost. Every constitutional act, order, finding, certification, designation, declaration, and determination made under this Constitution is published to the NRS as a permanent record; no provision need state this obligation individually. All electoral records — voter registration, ballot counts, audit trails, and certification documents — must be published to the NRS within the timeframes specified by the Elections Panel's constitutional mandate under Article XI; no classification exception applies to electoral records. Where a specific publication timeline is provided it governs; otherwise publication occurs at or before the effective moment of the act. Records may not be deleted, altered, or reclassified after publication; corrections are published as new entries alongside the original. Where the NRS Panel determines by unanimous vote that a record poses an imminent, specific, and documented threat to individual safety, it may temporarily restrict access for up to 30 days pending judicial review; the reviewing court must rule within 14 days; the record is permanently restored unless the court confirms the restriction on the narrowest possible grounds; the applicable court is designated by statute. The original timestamp and the restriction record both remain as permanent NRS entries. Government acts take legal effect from the moment of issuance regardless of NRS status — the NRS is the record of government, not a condition of it. The JM maintains a continuously operating parallel authentication system, physically independent of the NRS, capable of preserving all constitutional acts with full constitutional effect from issuance; upon NRS restoration, parallel records migrate with their original timestamps. Where the NRS has not been restored within 180 days, the parallel system becomes the constitutional record; the Legislature must establish permanent restoration obligations by statute within 90 days of that threshold. The Legislature defines technical standards for both systems by statute. Records published by any Republic jurisdiction are recognized as authentic without re-certification. Monitor reports are permanently exempt from classification. Classification used to conceal a constitutional violation or illegal order is a constitutional offense. Funding for the NRS may not fall below the prior year’s level without a 2/3 vote of both chambers.</w:t>
      </w:r>
    </w:p>
    <w:p>
      <w:pPr>
        <w:spacing w:after="60" w:before="200"/>
        <w:ind w:left="431"/>
        <w:jc w:val="left"/>
      </w:pPr>
      <w:r>
        <w:rPr>
          <w:rFonts w:ascii="Courier New" w:cs="Courier New" w:eastAsia="Courier New" w:hAnsi="Courier New"/>
          <w:b/>
          <w:bCs/>
          <w:color w:val="2a2a2a"/>
          <w:sz w:val="18"/>
          <w:szCs w:val="18"/>
        </w:rPr>
        <w:t xml:space="preserve">§10.3  </w:t>
      </w:r>
      <w:r>
        <w:rPr>
          <w:rFonts w:ascii="Garamond" w:cs="Garamond" w:eastAsia="Garamond" w:hAnsi="Garamond"/>
          <w:b w:val="false"/>
          <w:bCs w:val="false"/>
          <w:i/>
          <w:iCs/>
          <w:color w:val="1B2A4A"/>
          <w:sz w:val="22"/>
          <w:szCs w:val="22"/>
        </w:rPr>
        <w:t xml:space="preserve">Classification Criteria</w:t>
      </w:r>
    </w:p>
    <w:p>
      <w:pPr>
        <w:spacing w:after="120" w:before="0"/>
        <w:ind w:left="431"/>
        <w:jc w:val="both"/>
      </w:pPr>
      <w:r>
        <w:rPr>
          <w:rFonts w:ascii="Garamond" w:cs="Garamond" w:eastAsia="Garamond" w:hAnsi="Garamond"/>
          <w:b w:val="false"/>
          <w:bCs w:val="false"/>
          <w:i w:val="false"/>
          <w:iCs w:val="false"/>
          <w:color w:val="2a2a2a"/>
          <w:sz w:val="22"/>
          <w:szCs w:val="22"/>
        </w:rPr>
        <w:t xml:space="preserve">Government records may be classified only on grounds the Legislature defines by statute. Classification to conceal a constitutional violation, policy disagreement, or political embarrassment is prohibited and void. The classifying authority must state the statutory ground at the time of classification. No record may remain classified beyond 25 years from the date of original classification. A single 5-year extension may be granted where the responsible executive publishes a justification to the EM; the EM assesses whether the justification meets the statutory standard and publishes its finding to the NRS. No material may remain classified beyond 30 years under any circumstances. On expiry, the NRS Panel publishes the declassified record within 30 days of the classification ceiling date; this obligation is automatic and requires no further government act. All other classification periods, procedures, and review mechanisms are defined by statute within this ceiling.</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XI — NRS Panel and Elections Panel</w:t>
      </w:r>
    </w:p>
    <w:p>
      <w:pPr>
        <w:spacing w:after="60" w:before="200"/>
        <w:ind w:left="431"/>
        <w:jc w:val="left"/>
      </w:pPr>
      <w:r>
        <w:rPr>
          <w:rFonts w:ascii="Courier New" w:cs="Courier New" w:eastAsia="Courier New" w:hAnsi="Courier New"/>
          <w:b/>
          <w:bCs/>
          <w:color w:val="2a2a2a"/>
          <w:sz w:val="18"/>
          <w:szCs w:val="18"/>
        </w:rPr>
        <w:t xml:space="preserve">§11.1  </w:t>
      </w:r>
      <w:r>
        <w:rPr>
          <w:rFonts w:ascii="Garamond" w:cs="Garamond" w:eastAsia="Garamond" w:hAnsi="Garamond"/>
          <w:b w:val="false"/>
          <w:bCs w:val="false"/>
          <w:i/>
          <w:iCs/>
          <w:color w:val="1B2A4A"/>
          <w:sz w:val="22"/>
          <w:szCs w:val="22"/>
        </w:rPr>
        <w:t xml:space="preserve">NRS Panel and Elections Panel</w:t>
      </w:r>
    </w:p>
    <w:p>
      <w:pPr>
        <w:spacing w:after="120" w:before="0"/>
        <w:ind w:left="431"/>
        <w:jc w:val="both"/>
      </w:pPr>
      <w:r>
        <w:rPr>
          <w:rFonts w:ascii="Garamond" w:cs="Garamond" w:eastAsia="Garamond" w:hAnsi="Garamond"/>
          <w:b w:val="false"/>
          <w:bCs w:val="false"/>
          <w:i w:val="false"/>
          <w:iCs w:val="false"/>
          <w:color w:val="2a2a2a"/>
          <w:sz w:val="22"/>
          <w:szCs w:val="22"/>
        </w:rPr>
        <w:t xml:space="preserve">Two constitutionally independent panels — the NRS Panel and the Elections Panel — operate the Republic’s permanent record infrastructure and electoral systems respectively. The NRS Panel operates the National Record System. The Elections Panel establishes and maintains the National Voting System, sets administrative and technical standards for federal elections, certifies election equipment for state procurement, audits state compliance with federal election standards, administers referenda and confirmation votes, and certifies all federal election results. Where the Elections Panel certifies a State’s election system as non-compliant before an election, the Panel may withhold result certification for affected districts pending compliance or a special election under §7.3.a. Each panel is operationally independent of the other, of both executives, and of the Legislature in the exercise of its functions. The Legislature defines qualification standards, panel composition, term lengths, and operational parameters for each panel by statute; panel members are appointed through the independent agency process under §3.9. Each panel must have no fewer than five members at all times; the Legislature may not reduce either panel below this floor. No single appointing authority may hold a majority of appointments to either panel within any single electoral term. The Chair of each panel is its most senior member by continuous service; where two or more members have equal continuous service, the Chair is determined by lot conducted by the JMC. Each panel exercises only those ministerial functions expressly granted by this Constitution and by statute. The Legislature must establish by statute a procedure for each panel to adopt temporary technical measures in response to imminent security threats or system failures within its domain; such measures may not change electoral rules, timelines, or NRS record permanence, and expire within 72 hours unless ratified by a majority of the panel's seated members. Where either Panel falls below the five-member floor through resignation, removal, disqualification, or any other cause, the Civic Consul may appoint a qualified civil servant employed by that Panel to serve as Acting member, not to exceed the period defined by statute, which may not exceed 180 days; the Acting member may exercise all authorities of a full member during that period and the appointment does not affect the ordinary process for filling the vacancy permanently.</w:t>
      </w:r>
    </w:p>
    <w:p>
      <w:pPr>
        <w:spacing w:after="60" w:before="200"/>
        <w:ind w:left="431"/>
        <w:jc w:val="left"/>
      </w:pPr>
      <w:r>
        <w:rPr>
          <w:rFonts w:ascii="Courier New" w:cs="Courier New" w:eastAsia="Courier New" w:hAnsi="Courier New"/>
          <w:b/>
          <w:bCs/>
          <w:color w:val="2a2a2a"/>
          <w:sz w:val="18"/>
          <w:szCs w:val="18"/>
        </w:rPr>
        <w:t xml:space="preserve">§11.2  </w:t>
      </w:r>
      <w:r>
        <w:rPr>
          <w:rFonts w:ascii="Garamond" w:cs="Garamond" w:eastAsia="Garamond" w:hAnsi="Garamond"/>
          <w:b w:val="false"/>
          <w:bCs w:val="false"/>
          <w:i/>
          <w:iCs/>
          <w:color w:val="1B2A4A"/>
          <w:sz w:val="22"/>
          <w:szCs w:val="22"/>
        </w:rPr>
        <w:t xml:space="preserve">NVS Properties and Voting Rights</w:t>
      </w:r>
    </w:p>
    <w:p>
      <w:pPr>
        <w:spacing w:after="120" w:before="0"/>
        <w:ind w:left="431"/>
        <w:jc w:val="both"/>
      </w:pPr>
      <w:r>
        <w:rPr>
          <w:rFonts w:ascii="Garamond" w:cs="Garamond" w:eastAsia="Garamond" w:hAnsi="Garamond"/>
          <w:b w:val="false"/>
          <w:bCs w:val="false"/>
          <w:i w:val="false"/>
          <w:iCs w:val="false"/>
          <w:color w:val="2a2a2a"/>
          <w:sz w:val="22"/>
          <w:szCs w:val="22"/>
        </w:rPr>
        <w:t xml:space="preserve">The National Voting System must maintain three constitutionally required properties simultaneously: ballot secrecy (technically impossible to link any vote to any voter, including in post-election audits), public auditability (aggregate results mathematically verifiable by anyone with NRS access; every vote individually verifiable by the voter without revealing identity to any other party), and resilience (capable of operating in degraded conditions without compromising either secrecy or auditability). No information generated by the NVS — including voter participation records — may be shared with any government body or foreign entity for any purpose other than administering the relevant election. The Elections Panel issues and manages the Citizen Voting Credential, storing only cryptographic identifiers — not names or biometric data. Voter eligibility is verified through cryptographic matching against citizenship and residency records maintained separately from the NVS and accessible only for that purpose. No State may impose requirements or intermediaries that effectively reduce NVS access or impose burdens not present in direct NVS participation. Before each federal election window, the Elections Panel delivers to every eligible citizen the list of federal races on their ballot, NVS access procedures, and the certification timeline through at least two distinct channels.</w:t>
      </w:r>
    </w:p>
    <w:p>
      <w:pPr>
        <w:spacing w:after="60" w:before="200"/>
        <w:ind w:left="431"/>
        <w:jc w:val="left"/>
      </w:pPr>
      <w:r>
        <w:rPr>
          <w:rFonts w:ascii="Courier New" w:cs="Courier New" w:eastAsia="Courier New" w:hAnsi="Courier New"/>
          <w:b/>
          <w:bCs/>
          <w:color w:val="2a2a2a"/>
          <w:sz w:val="18"/>
          <w:szCs w:val="18"/>
        </w:rPr>
        <w:t xml:space="preserve">§11.3  </w:t>
      </w:r>
      <w:r>
        <w:rPr>
          <w:rFonts w:ascii="Garamond" w:cs="Garamond" w:eastAsia="Garamond" w:hAnsi="Garamond"/>
          <w:b w:val="false"/>
          <w:bCs w:val="false"/>
          <w:i/>
          <w:iCs/>
          <w:color w:val="1B2A4A"/>
          <w:sz w:val="22"/>
          <w:szCs w:val="22"/>
        </w:rPr>
        <w:t xml:space="preserve">State Election Non-Compliance</w:t>
      </w:r>
    </w:p>
    <w:p>
      <w:pPr>
        <w:spacing w:after="120" w:before="0"/>
        <w:ind w:left="431"/>
        <w:jc w:val="both"/>
      </w:pPr>
      <w:r>
        <w:rPr>
          <w:rFonts w:ascii="Garamond" w:cs="Garamond" w:eastAsia="Garamond" w:hAnsi="Garamond"/>
          <w:b w:val="false"/>
          <w:bCs w:val="false"/>
          <w:i w:val="false"/>
          <w:iCs w:val="false"/>
          <w:color w:val="2a2a2a"/>
          <w:sz w:val="22"/>
          <w:szCs w:val="22"/>
        </w:rPr>
        <w:t xml:space="preserve">Where the Elections Panel finds through audit that a State's election administration materially fails to meet the constitutional standards required under §11.1, it publishes the finding to the NRS and notifies the State formally. The State has the period defined by statute to cure the identified failures. Where the State does not cure within that period, the Elections Panel administers the relevant federal election directly within that State for that electoral period only; State administration resumes automatically at the conclusion of that period. The State may petition the SC for challenge the Elections Panel’s finding under §4.5’s original jurisdiction provisions governing State-federal disputes; the process and timeline are defined by statute. A finding of non-compliance does not affect the validity of votes cast; the Elections Panel's administration obligation is to ensure constitutional standards are met going forward.</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XII — Social State and Economic Rights</w:t>
      </w:r>
    </w:p>
    <w:p>
      <w:pPr>
        <w:spacing w:after="60" w:before="200"/>
        <w:ind w:left="431"/>
        <w:jc w:val="left"/>
      </w:pPr>
      <w:r>
        <w:rPr>
          <w:rFonts w:ascii="Courier New" w:cs="Courier New" w:eastAsia="Courier New" w:hAnsi="Courier New"/>
          <w:b/>
          <w:bCs/>
          <w:color w:val="2a2a2a"/>
          <w:sz w:val="18"/>
          <w:szCs w:val="18"/>
        </w:rPr>
        <w:t xml:space="preserve">§12.1  </w:t>
      </w:r>
      <w:r>
        <w:rPr>
          <w:rFonts w:ascii="Garamond" w:cs="Garamond" w:eastAsia="Garamond" w:hAnsi="Garamond"/>
          <w:b w:val="false"/>
          <w:bCs w:val="false"/>
          <w:i/>
          <w:iCs/>
          <w:color w:val="1B2A4A"/>
          <w:sz w:val="22"/>
          <w:szCs w:val="22"/>
        </w:rPr>
        <w:t xml:space="preserve">The Social State and Monetary Authority</w:t>
      </w:r>
    </w:p>
    <w:p>
      <w:pPr>
        <w:spacing w:after="120" w:before="0"/>
        <w:ind w:left="431"/>
        <w:jc w:val="both"/>
      </w:pPr>
      <w:r>
        <w:rPr>
          <w:rFonts w:ascii="Garamond" w:cs="Garamond" w:eastAsia="Garamond" w:hAnsi="Garamond"/>
          <w:b w:val="false"/>
          <w:bCs w:val="false"/>
          <w:i w:val="false"/>
          <w:iCs w:val="false"/>
          <w:color w:val="2a2a2a"/>
          <w:sz w:val="22"/>
          <w:szCs w:val="22"/>
        </w:rPr>
        <w:t xml:space="preserve">The Republic is a social state. Every Inhabitant is entitled to conditions of life consistent with human dignity, which the Republic fulfills through three mandatory systems: universally accessible healthcare insurance; social assistance sufficient to maintain basic material conditions; and free compulsory education for every child. The Legislature establishes the framework for each by statute.</w:t>
      </w:r>
    </w:p>
    <w:p>
      <w:pPr>
        <w:spacing w:after="60" w:before="200"/>
        <w:ind w:left="431"/>
        <w:jc w:val="left"/>
      </w:pPr>
      <w:r>
        <w:rPr>
          <w:rFonts w:ascii="Courier New" w:cs="Courier New" w:eastAsia="Courier New" w:hAnsi="Courier New"/>
          <w:b/>
          <w:bCs/>
          <w:color w:val="2a2a2a"/>
          <w:sz w:val="18"/>
          <w:szCs w:val="18"/>
        </w:rPr>
        <w:t xml:space="preserve">§12.1.a  </w:t>
      </w:r>
      <w:r>
        <w:rPr>
          <w:rFonts w:ascii="Garamond" w:cs="Garamond" w:eastAsia="Garamond" w:hAnsi="Garamond"/>
          <w:b w:val="false"/>
          <w:bCs w:val="false"/>
          <w:i/>
          <w:iCs/>
          <w:color w:val="1B2A4A"/>
          <w:sz w:val="22"/>
          <w:szCs w:val="22"/>
        </w:rPr>
        <w:t xml:space="preserve">The Monetary Authority</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Legislature must establish the Monetary Authority as an independent agency under §3.9, responsible for monetary policy, currency issuance, and fiscal integrity certification. The MA has exclusive authority to issue the Republic’s currency; no State, Territory, or other body may issue instruments intended to function as legal tender within the Republic. The Legislature may not define MA independence standards in a manner that compromises the credibility of its certification functions; the EM audits MA operations and independence annually and publishes findings to the NRS.</w:t>
      </w:r>
    </w:p>
    <w:p>
      <w:pPr>
        <w:spacing w:after="60" w:before="200"/>
        <w:ind w:left="431"/>
        <w:jc w:val="left"/>
      </w:pPr>
      <w:r>
        <w:rPr>
          <w:rFonts w:ascii="Courier New" w:cs="Courier New" w:eastAsia="Courier New" w:hAnsi="Courier New"/>
          <w:b/>
          <w:bCs/>
          <w:color w:val="2a2a2a"/>
          <w:sz w:val="18"/>
          <w:szCs w:val="18"/>
        </w:rPr>
        <w:t xml:space="preserve">§12.2  </w:t>
      </w:r>
      <w:r>
        <w:rPr>
          <w:rFonts w:ascii="Garamond" w:cs="Garamond" w:eastAsia="Garamond" w:hAnsi="Garamond"/>
          <w:b w:val="false"/>
          <w:bCs w:val="false"/>
          <w:i/>
          <w:iCs/>
          <w:color w:val="1B2A4A"/>
          <w:sz w:val="22"/>
          <w:szCs w:val="22"/>
        </w:rPr>
        <w:t xml:space="preserve">Fiscal Accountability</w:t>
      </w:r>
    </w:p>
    <w:p>
      <w:pPr>
        <w:spacing w:after="120" w:before="0"/>
        <w:ind w:left="431"/>
        <w:jc w:val="both"/>
      </w:pPr>
      <w:r>
        <w:rPr>
          <w:rFonts w:ascii="Garamond" w:cs="Garamond" w:eastAsia="Garamond" w:hAnsi="Garamond"/>
          <w:b w:val="false"/>
          <w:bCs w:val="false"/>
          <w:i w:val="false"/>
          <w:iCs w:val="false"/>
          <w:color w:val="2a2a2a"/>
          <w:sz w:val="22"/>
          <w:szCs w:val="22"/>
        </w:rPr>
        <w:t xml:space="preserve">The annual budget originates in the Assembly. Each Consul prepares and submits to the Assembly a proposed budget for their respective domain, published to the NRS upon submission, by the deadline defined by statute; absent a statutory deadline, no later than 120 days before the start of the fiscal year. The Assembly gives the Consuls’ proposals due consideration in preparing the annual budget and is not bound by them. A Consul’s failure to submit a domain proposal does not delay or bar the budget process; the failure is published to the NRS and the Assembly proceeds. The Legislature must pass a balanced budget or publish a structural deficit justification reviewed by the MA for fiscal accuracy. Structural deficits above the threshold defined by the MA require a published plan for return to balance. Where the Legislature fails to enact a budget by the constitutional deadline defined by statute, an interim automatic appropriation takes effect by constitutional operation covering: judicial operations, active defense authorizations under §14.2, and social state continuity under §12.1; civil service compensation; and debt service obligations. The interim appropriation continues at the prior fiscal year’s inflation-adjusted level until a budget is enacted; no new programs may be initiated or expanded under the interim appropriation. Where discretionary government spending is suspended due to budget failure, the pay of all members of both chambers is withheld from the same date on which government employee pay is withheld and released only upon budget enactment. The Legislature must fund the National Endowment by appropriation in years of fiscal surplus; failure to adequately fund the Endowment is a constitutional compliance breach.</w:t>
      </w:r>
    </w:p>
    <w:p>
      <w:pPr>
        <w:spacing w:after="60" w:before="200"/>
        <w:ind w:left="431"/>
        <w:jc w:val="left"/>
      </w:pPr>
      <w:r>
        <w:rPr>
          <w:rFonts w:ascii="Courier New" w:cs="Courier New" w:eastAsia="Courier New" w:hAnsi="Courier New"/>
          <w:b/>
          <w:bCs/>
          <w:color w:val="2a2a2a"/>
          <w:sz w:val="18"/>
          <w:szCs w:val="18"/>
        </w:rPr>
        <w:t xml:space="preserve">§12.3  </w:t>
      </w:r>
      <w:r>
        <w:rPr>
          <w:rFonts w:ascii="Garamond" w:cs="Garamond" w:eastAsia="Garamond" w:hAnsi="Garamond"/>
          <w:b w:val="false"/>
          <w:bCs w:val="false"/>
          <w:i/>
          <w:iCs/>
          <w:color w:val="1B2A4A"/>
          <w:sz w:val="22"/>
          <w:szCs w:val="22"/>
        </w:rPr>
        <w:t xml:space="preserve">Taxing Power and National Revenue Fund</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Legislature has exclusive authority to levy taxes, duties, and tariffs by statute; no other body may impose a tax, duty, or levy of any kind. All public money received by the Republic — including tax revenue, fees, and other receipts — is deposited into the National Revenue Fund. No money may be withdrawn from the National Revenue Fund except by legislative appropriation. The EM audits the Fund's receipts and disbursements as part of its annual fiscal mandate and publishes findings to the NRS. No tax may discriminate on the basis of the characteristics listed in §1.6. Tariff rates established by a ratified treaty or approved trade agreement under §3.6 constitute legislatively authorized rates for the duration of that instrument; the Legislature may set tariff schedules within which the Legat Consul may negotiate specific rates.</w:t>
      </w:r>
    </w:p>
    <w:p>
      <w:pPr>
        <w:spacing w:after="60" w:before="200"/>
        <w:ind w:left="431"/>
        <w:jc w:val="left"/>
      </w:pPr>
      <w:r>
        <w:rPr>
          <w:rFonts w:ascii="Courier New" w:cs="Courier New" w:eastAsia="Courier New" w:hAnsi="Courier New"/>
          <w:b/>
          <w:bCs/>
          <w:color w:val="2a2a2a"/>
          <w:sz w:val="18"/>
          <w:szCs w:val="18"/>
        </w:rPr>
        <w:t xml:space="preserve">§12.4  </w:t>
      </w:r>
      <w:r>
        <w:rPr>
          <w:rFonts w:ascii="Garamond" w:cs="Garamond" w:eastAsia="Garamond" w:hAnsi="Garamond"/>
          <w:b w:val="false"/>
          <w:bCs w:val="false"/>
          <w:i/>
          <w:iCs/>
          <w:color w:val="1B2A4A"/>
          <w:sz w:val="22"/>
          <w:szCs w:val="22"/>
        </w:rPr>
        <w:t xml:space="preserve">Ethics and Conflict of Interest</w:t>
      </w:r>
    </w:p>
    <w:p>
      <w:pPr>
        <w:spacing w:after="120" w:before="0"/>
        <w:ind w:left="431"/>
        <w:jc w:val="both"/>
      </w:pPr>
      <w:r>
        <w:rPr>
          <w:rFonts w:ascii="Garamond" w:cs="Garamond" w:eastAsia="Garamond" w:hAnsi="Garamond"/>
          <w:b w:val="false"/>
          <w:bCs w:val="false"/>
          <w:i w:val="false"/>
          <w:iCs w:val="false"/>
          <w:color w:val="2a2a2a"/>
          <w:sz w:val="22"/>
          <w:szCs w:val="22"/>
        </w:rPr>
        <w:t xml:space="preserve">A financial interest includes any holding, income source, liability, business relationship, or similar economic interest; a financial interest is disqualifying where it creates a direct and material conflict between an officer’s personal economic interest and the impartial exercise of their official duties, with statute permitted to further specify categories and thresholds consistent with this standard. All constitutional officers must disclose all financial interests, holdings, income sources, and liabilities to their respective Monitor — the LM for members of the Legislature; the EM for both Consuls, executive branch officers, and military officers; the JM for judicial officers — within the period defined by statute after taking office and annually thereafter; disclosure records are published to the NRS. Candidates for a Monitor General’s own candidate pool are audited for financial disclosure by the other two Monitors jointly rather than by the Monitor whose pool they would join, as provided in §9.3 and §9.4. Any officer with a direct financial interest in a decision within their authority must recuse themselves; recusal is self-executing. Any decision made without required recusal is voidable; the relevant chamber may void the decision by simple majority within 90 days of the respective Monitor’s finding of conflict. Constitutional officers may not, for a period defined by statute after leaving office — which may not be less than two years — engage in any activity that monetizes or draws on non-public information, relationships, or access accumulated during service; the respective Monitor audits post-service activities of constitutional officers for compliance with this restriction and publishes findings to the NRS; enforcement is through the appropriate legal authority. Officers may not accept gifts above a de minimis threshold; all gifts above the threshold must be disclosed to their respective Monitor and deposited with the relevant treasury. All records created in the exercise of official functions are public records and may not be retained, destroyed, or removed by departing officers. Each Monitor investigates alleged violations of this section within their respective jurisdiction and publishes findings to the NRS; where findings warrant further action, the Monitor refers to the appropriate authority.</w:t>
      </w:r>
    </w:p>
    <w:p>
      <w:pPr>
        <w:spacing w:after="60" w:before="200"/>
        <w:ind w:left="431"/>
        <w:jc w:val="left"/>
      </w:pPr>
      <w:r>
        <w:rPr>
          <w:rFonts w:ascii="Courier New" w:cs="Courier New" w:eastAsia="Courier New" w:hAnsi="Courier New"/>
          <w:b/>
          <w:bCs/>
          <w:color w:val="2a2a2a"/>
          <w:sz w:val="18"/>
          <w:szCs w:val="18"/>
        </w:rPr>
        <w:t xml:space="preserve">§12.4.a  </w:t>
      </w:r>
      <w:r>
        <w:rPr>
          <w:rFonts w:ascii="Garamond" w:cs="Garamond" w:eastAsia="Garamond" w:hAnsi="Garamond"/>
          <w:b w:val="false"/>
          <w:bCs w:val="false"/>
          <w:i/>
          <w:iCs/>
          <w:color w:val="1B2A4A"/>
          <w:sz w:val="22"/>
          <w:szCs w:val="22"/>
        </w:rPr>
        <w:t xml:space="preserve">Codes of Conduct and Recusal</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Legislature may by statute establish codes of conduct and procedural rules for any constitutionally established office outside the Legislature, including standards for recusal from specific proceedings, disclosure obligations beyond those required by §12.4, and disciplinary procedures for conduct falling short of removal grounds under §9.14. Such rules must be consistent with the independence protections of the relevant office and may not be used to constrain the substantive exercise of any constitutionally assigned function. In the absence of statute establishing recusal standards for a given office, an officer must recuse where their impartiality could reasonably be questioned. An officer who fails to recuse in circumstances requiring recusal — whether defined by statute or this default standard — acts in constitutional breach; the act or determination in which they participated remains subject to challenge on that ground. No statute enacted under this provision may be amended or repealed within the legislative session immediately following the session of its enactment; thereafter, amendment or repeal requires a 2/3 majority of both chambers.</w:t>
      </w:r>
    </w:p>
    <w:p>
      <w:pPr>
        <w:spacing w:after="60" w:before="200"/>
        <w:ind w:left="431"/>
        <w:jc w:val="left"/>
      </w:pPr>
      <w:r>
        <w:rPr>
          <w:rFonts w:ascii="Courier New" w:cs="Courier New" w:eastAsia="Courier New" w:hAnsi="Courier New"/>
          <w:b/>
          <w:bCs/>
          <w:color w:val="2a2a2a"/>
          <w:sz w:val="18"/>
          <w:szCs w:val="18"/>
        </w:rPr>
        <w:t xml:space="preserve">§12.4.b  </w:t>
      </w:r>
      <w:r>
        <w:rPr>
          <w:rFonts w:ascii="Garamond" w:cs="Garamond" w:eastAsia="Garamond" w:hAnsi="Garamond"/>
          <w:b w:val="false"/>
          <w:bCs w:val="false"/>
          <w:i/>
          <w:iCs/>
          <w:color w:val="1B2A4A"/>
          <w:sz w:val="22"/>
          <w:szCs w:val="22"/>
        </w:rPr>
        <w:t xml:space="preserve">Monitor General Disclosure</w:t>
      </w:r>
    </w:p>
    <w:p>
      <w:pPr>
        <w:spacing w:after="120" w:before="0"/>
        <w:ind w:left="431"/>
        <w:jc w:val="both"/>
      </w:pPr>
      <w:r>
        <w:rPr>
          <w:rFonts w:ascii="Garamond" w:cs="Garamond" w:eastAsia="Garamond" w:hAnsi="Garamond"/>
          <w:b w:val="false"/>
          <w:bCs w:val="false"/>
          <w:i w:val="false"/>
          <w:iCs w:val="false"/>
          <w:color w:val="2a2a2a"/>
          <w:sz w:val="22"/>
          <w:szCs w:val="22"/>
        </w:rPr>
        <w:t xml:space="preserve">Monitor Generals disclose under the same requirements and schedule as other constitutional officers under §12.4, published directly to the NRS; no Monitor reviews another Monitor’s disclosure. Self-executing recusal applies as under §12.4, but the voidable-decision remedy does not apply to Monitor General functions. The Legislature must include concealment of a disqualifying financial interest, or failure to recuse where required, among the statutory removal categories established for Monitor Generals under §9.14.</w:t>
      </w:r>
    </w:p>
    <w:p>
      <w:pPr>
        <w:spacing w:after="60" w:before="200"/>
        <w:ind w:left="431"/>
        <w:jc w:val="left"/>
      </w:pPr>
      <w:r>
        <w:rPr>
          <w:rFonts w:ascii="Courier New" w:cs="Courier New" w:eastAsia="Courier New" w:hAnsi="Courier New"/>
          <w:b/>
          <w:bCs/>
          <w:color w:val="2a2a2a"/>
          <w:sz w:val="18"/>
          <w:szCs w:val="18"/>
        </w:rPr>
        <w:t xml:space="preserve">§12.4.c  </w:t>
      </w:r>
      <w:r>
        <w:rPr>
          <w:rFonts w:ascii="Garamond" w:cs="Garamond" w:eastAsia="Garamond" w:hAnsi="Garamond"/>
          <w:b w:val="false"/>
          <w:bCs w:val="false"/>
          <w:i/>
          <w:iCs/>
          <w:color w:val="1B2A4A"/>
          <w:sz w:val="22"/>
          <w:szCs w:val="22"/>
        </w:rPr>
        <w:t xml:space="preserve">Federal Employee and Military Disclosure</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Legislature must by statute establish disclosure and recusal requirements for federal government employees and military personnel whose duties create material conflict-of-interest risk, including procurement, regulatory, and senior civil service positions. The respective Monitor audits the administering agency’s compliance with this requirement and publishes findings to the NRS; this audit is systemic and does not require individual-filing review by the Monitor.</w:t>
      </w:r>
    </w:p>
    <w:p>
      <w:pPr>
        <w:spacing w:after="60" w:before="200"/>
        <w:ind w:left="431"/>
        <w:jc w:val="left"/>
      </w:pPr>
      <w:r>
        <w:rPr>
          <w:rFonts w:ascii="Courier New" w:cs="Courier New" w:eastAsia="Courier New" w:hAnsi="Courier New"/>
          <w:b/>
          <w:bCs/>
          <w:color w:val="2a2a2a"/>
          <w:sz w:val="18"/>
          <w:szCs w:val="18"/>
        </w:rPr>
        <w:t xml:space="preserve">§12.5  </w:t>
      </w:r>
      <w:r>
        <w:rPr>
          <w:rFonts w:ascii="Garamond" w:cs="Garamond" w:eastAsia="Garamond" w:hAnsi="Garamond"/>
          <w:b w:val="false"/>
          <w:bCs w:val="false"/>
          <w:i/>
          <w:iCs/>
          <w:color w:val="1B2A4A"/>
          <w:sz w:val="22"/>
          <w:szCs w:val="22"/>
        </w:rPr>
        <w:t xml:space="preserve">National Endowment</w:t>
      </w:r>
    </w:p>
    <w:p>
      <w:pPr>
        <w:spacing w:after="120" w:before="0"/>
        <w:ind w:left="431"/>
        <w:jc w:val="both"/>
      </w:pPr>
      <w:r>
        <w:rPr>
          <w:rFonts w:ascii="Garamond" w:cs="Garamond" w:eastAsia="Garamond" w:hAnsi="Garamond"/>
          <w:b w:val="false"/>
          <w:bCs w:val="false"/>
          <w:i w:val="false"/>
          <w:iCs w:val="false"/>
          <w:color w:val="2a2a2a"/>
          <w:sz w:val="22"/>
          <w:szCs w:val="22"/>
        </w:rPr>
        <w:t xml:space="preserve">The National Endowment is a constitutionally established reserve fund that backstops the Republic’s social state obligations under §12.1 during periods of Severe Revenue Contraction, as certified by the Monetary Authority. The Endowment operates independently of the annual budget process and is managed by the Monetary Authority as part of its constitutional mandate; the Monetary Authority’s sole obligation with respect to the Endowment is to preserve and grow it for social state backstop purposes. Disbursements are activated on Monetary Authority certification of Severe Revenue Contraction and continue until the Monetary Authority certifies the contraction has ended. The EM audits the Monetary Authority’s management of the Endowment annually and publishes findings to the NRS.</w:t>
      </w:r>
    </w:p>
    <w:p>
      <w:pPr>
        <w:spacing w:after="60" w:before="200"/>
        <w:ind w:left="431"/>
        <w:jc w:val="left"/>
      </w:pPr>
      <w:r>
        <w:rPr>
          <w:rFonts w:ascii="Courier New" w:cs="Courier New" w:eastAsia="Courier New" w:hAnsi="Courier New"/>
          <w:b/>
          <w:bCs/>
          <w:color w:val="2a2a2a"/>
          <w:sz w:val="18"/>
          <w:szCs w:val="18"/>
        </w:rPr>
        <w:t xml:space="preserve">§12.6  </w:t>
      </w:r>
      <w:r>
        <w:rPr>
          <w:rFonts w:ascii="Garamond" w:cs="Garamond" w:eastAsia="Garamond" w:hAnsi="Garamond"/>
          <w:b w:val="false"/>
          <w:bCs w:val="false"/>
          <w:i/>
          <w:iCs/>
          <w:color w:val="1B2A4A"/>
          <w:sz w:val="22"/>
          <w:szCs w:val="22"/>
        </w:rPr>
        <w:t xml:space="preserve">Compensation of Public Officials</w:t>
      </w:r>
    </w:p>
    <w:p>
      <w:pPr>
        <w:spacing w:after="120" w:before="0"/>
        <w:ind w:left="431"/>
        <w:jc w:val="both"/>
      </w:pPr>
      <w:r>
        <w:rPr>
          <w:rFonts w:ascii="Garamond" w:cs="Garamond" w:eastAsia="Garamond" w:hAnsi="Garamond"/>
          <w:b w:val="false"/>
          <w:bCs w:val="false"/>
          <w:i w:val="false"/>
          <w:iCs w:val="false"/>
          <w:color w:val="2a2a2a"/>
          <w:sz w:val="22"/>
          <w:szCs w:val="22"/>
        </w:rPr>
        <w:t xml:space="preserve">No government official may set their own compensation or the compensation of their direct supervisors. All official compensation is set by statute and is a public record on the NRS. The Legislature may by statute set the compensation of elected constitutional officers; no such change takes effect until after the next election for the relevant office following the session in which it was enacted. Official benefits and accommodations reflect the functional requirements of the office, not the status of the officeholder; no benefit may exceed what the function genuinely requires.</w:t>
      </w:r>
    </w:p>
    <w:p>
      <w:pPr>
        <w:spacing w:after="60" w:before="200"/>
        <w:ind w:left="431"/>
        <w:jc w:val="left"/>
      </w:pPr>
      <w:r>
        <w:rPr>
          <w:rFonts w:ascii="Courier New" w:cs="Courier New" w:eastAsia="Courier New" w:hAnsi="Courier New"/>
          <w:b/>
          <w:bCs/>
          <w:color w:val="2a2a2a"/>
          <w:sz w:val="18"/>
          <w:szCs w:val="18"/>
        </w:rPr>
        <w:t xml:space="preserve">§12.7  </w:t>
      </w:r>
      <w:r>
        <w:rPr>
          <w:rFonts w:ascii="Garamond" w:cs="Garamond" w:eastAsia="Garamond" w:hAnsi="Garamond"/>
          <w:b w:val="false"/>
          <w:bCs w:val="false"/>
          <w:i/>
          <w:iCs/>
          <w:color w:val="1B2A4A"/>
          <w:sz w:val="22"/>
          <w:szCs w:val="22"/>
        </w:rPr>
        <w:t xml:space="preserve">Internal Commerce</w:t>
      </w:r>
    </w:p>
    <w:p>
      <w:pPr>
        <w:spacing w:after="120" w:before="0"/>
        <w:ind w:left="431"/>
        <w:jc w:val="both"/>
      </w:pPr>
      <w:r>
        <w:rPr>
          <w:rFonts w:ascii="Garamond" w:cs="Garamond" w:eastAsia="Garamond" w:hAnsi="Garamond"/>
          <w:b w:val="false"/>
          <w:bCs w:val="false"/>
          <w:i w:val="false"/>
          <w:iCs w:val="false"/>
          <w:color w:val="2a2a2a"/>
          <w:sz w:val="22"/>
          <w:szCs w:val="22"/>
        </w:rPr>
        <w:t xml:space="preserve">No State or Territory may impose requirements on goods, services, or economic activity originating in another State or Territory that are more burdensome than those applied to its own. The Legislature may establish uniform internal commerce standards by statute.</w:t>
      </w:r>
    </w:p>
    <w:p>
      <w:pPr>
        <w:spacing w:after="60" w:before="200"/>
        <w:ind w:left="431"/>
        <w:jc w:val="left"/>
      </w:pPr>
      <w:r>
        <w:rPr>
          <w:rFonts w:ascii="Courier New" w:cs="Courier New" w:eastAsia="Courier New" w:hAnsi="Courier New"/>
          <w:b/>
          <w:bCs/>
          <w:color w:val="2a2a2a"/>
          <w:sz w:val="18"/>
          <w:szCs w:val="18"/>
        </w:rPr>
        <w:t xml:space="preserve">§12.8  </w:t>
      </w:r>
      <w:r>
        <w:rPr>
          <w:rFonts w:ascii="Garamond" w:cs="Garamond" w:eastAsia="Garamond" w:hAnsi="Garamond"/>
          <w:b w:val="false"/>
          <w:bCs w:val="false"/>
          <w:i/>
          <w:iCs/>
          <w:color w:val="1B2A4A"/>
          <w:sz w:val="22"/>
          <w:szCs w:val="22"/>
        </w:rPr>
        <w:t xml:space="preserve">Fiscal Equalization</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Legislature shall by statute establish a mechanism ensuring that every State and Territory has fiscal capacity reasonably sufficient to fulfil the Social State obligations under §12.1 and the rights guaranteed under Article I. The mechanism is reviewed at intervals the Legislature defines by statute. The EM certifies whether the mechanism is operating as required and publishes its finding to the NRS annually. Where the EM finds the mechanism has failed, the Legislature must respond within 90 days. Following an EM finding that the mechanism has failed, the Monetary Authority must submit a remedy plan to the Civic Consul and the Speaker of each chamber within 30 days, published to the NRS.</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XIII — Direct Democracy</w:t>
      </w:r>
    </w:p>
    <w:p>
      <w:pPr>
        <w:spacing w:after="60" w:before="200"/>
        <w:ind w:left="431"/>
        <w:jc w:val="left"/>
      </w:pPr>
      <w:r>
        <w:rPr>
          <w:rFonts w:ascii="Courier New" w:cs="Courier New" w:eastAsia="Courier New" w:hAnsi="Courier New"/>
          <w:b/>
          <w:bCs/>
          <w:color w:val="2a2a2a"/>
          <w:sz w:val="18"/>
          <w:szCs w:val="18"/>
        </w:rPr>
        <w:t xml:space="preserve">§13.1  </w:t>
      </w:r>
      <w:r>
        <w:rPr>
          <w:rFonts w:ascii="Garamond" w:cs="Garamond" w:eastAsia="Garamond" w:hAnsi="Garamond"/>
          <w:b w:val="false"/>
          <w:bCs w:val="false"/>
          <w:i/>
          <w:iCs/>
          <w:color w:val="1B2A4A"/>
          <w:sz w:val="22"/>
          <w:szCs w:val="22"/>
        </w:rPr>
        <w:t xml:space="preserve">Optional Referendum</w:t>
      </w:r>
    </w:p>
    <w:p>
      <w:pPr>
        <w:spacing w:after="120" w:before="0"/>
        <w:ind w:left="431"/>
        <w:jc w:val="both"/>
      </w:pPr>
      <w:r>
        <w:rPr>
          <w:rFonts w:ascii="Garamond" w:cs="Garamond" w:eastAsia="Garamond" w:hAnsi="Garamond"/>
          <w:b w:val="false"/>
          <w:bCs w:val="false"/>
          <w:i w:val="false"/>
          <w:iCs w:val="false"/>
          <w:color w:val="2a2a2a"/>
          <w:sz w:val="22"/>
          <w:szCs w:val="22"/>
        </w:rPr>
        <w:t xml:space="preserve">Citizens may initiate a national referendum to repeal enacted legislation. The petition process begins within 90 days of enactment and proceeds in two phases, each authenticated through the NVS using Citizen Voting Credentials. Phase One, lasting up to 8 months, requires signatures from citizens equal to a percentage of eligible voters — defined by statute at not less than 0.5% nor more than 3% — in each of at least one-third of all States and Territories. Phase Two, lasting up to 8 months following Phase One’s completion, requires signatures from 5% of eligible voters nationally; signatures gathered in Phase One carry over and count toward this threshold. Laws that solely or primarily expand an Article I right, budget laws, and laws implementing a constitutionally mandated obligation are ineligible. The Elections Panel applies these ineligibility categories when administering petitions; the LM’s ongoing audit of legislative compliance encompasses published findings on the character of enacted laws, which the Elections Panel and any party may reference. Any eligibility determination is challengeable in the Appellate Court within 14 days. If the threshold is met, the Elections Panel administers the referendum within 90 days of verification. A simple majority of votes cast, subject to a turnout threshold defined by the Legislature of not less than 30% and not to exceed 50%, repeals the law immediately upon certification. A failed referendum may not be re-initiated on the same or substantially similar grounds; the Legislature may re-enact a repealed law, which is again subject to referendum.</w:t>
      </w:r>
    </w:p>
    <w:p>
      <w:pPr>
        <w:spacing w:after="60" w:before="200"/>
        <w:ind w:left="431"/>
        <w:jc w:val="left"/>
      </w:pPr>
      <w:r>
        <w:rPr>
          <w:rFonts w:ascii="Courier New" w:cs="Courier New" w:eastAsia="Courier New" w:hAnsi="Courier New"/>
          <w:b/>
          <w:bCs/>
          <w:color w:val="2a2a2a"/>
          <w:sz w:val="18"/>
          <w:szCs w:val="18"/>
        </w:rPr>
        <w:t xml:space="preserve">§13.2  </w:t>
      </w:r>
      <w:r>
        <w:rPr>
          <w:rFonts w:ascii="Garamond" w:cs="Garamond" w:eastAsia="Garamond" w:hAnsi="Garamond"/>
          <w:b w:val="false"/>
          <w:bCs w:val="false"/>
          <w:i/>
          <w:iCs/>
          <w:color w:val="1B2A4A"/>
          <w:sz w:val="22"/>
          <w:szCs w:val="22"/>
        </w:rPr>
        <w:t xml:space="preserve">Citizen Legislative Initiative</w:t>
      </w:r>
    </w:p>
    <w:p>
      <w:pPr>
        <w:spacing w:after="120" w:before="0"/>
        <w:ind w:left="431"/>
        <w:jc w:val="both"/>
      </w:pPr>
      <w:r>
        <w:rPr>
          <w:rFonts w:ascii="Garamond" w:cs="Garamond" w:eastAsia="Garamond" w:hAnsi="Garamond"/>
          <w:b w:val="false"/>
          <w:bCs w:val="false"/>
          <w:i w:val="false"/>
          <w:iCs w:val="false"/>
          <w:color w:val="2a2a2a"/>
          <w:sz w:val="22"/>
          <w:szCs w:val="22"/>
        </w:rPr>
        <w:t xml:space="preserve">Citizens may propose legislation directly to the Legislature. The petition process proceeds in two phases, each authenticated through the NVS using Citizen Voting Credentials. Phase One, lasting up to 10 months, requires signatures from citizens equal to a percentage of eligible voters — defined by statute at not less than 0.5% nor more than 3% — in each of at least one-third of all States and Territories. Phase Two, lasting up to 10 months following Phase One’s completion, requires signatures from 10% of eligible voters nationally; signatures gathered in Phase One carry over and count toward this threshold. Once the threshold is met, the Legislature must vote on the proposal within 90 days; if it fails or is not voted on, the proposal proceeds to a direct citizen referendum; passage requires 60% of votes cast with at least 50% citizen participation. A failed initiative may not be re-initiated on the same or substantially similar grounds.</w:t>
      </w:r>
    </w:p>
    <w:p>
      <w:pPr>
        <w:spacing w:after="60" w:before="200"/>
        <w:ind w:left="431"/>
        <w:jc w:val="left"/>
      </w:pPr>
      <w:r>
        <w:rPr>
          <w:rFonts w:ascii="Courier New" w:cs="Courier New" w:eastAsia="Courier New" w:hAnsi="Courier New"/>
          <w:b/>
          <w:bCs/>
          <w:color w:val="2a2a2a"/>
          <w:sz w:val="18"/>
          <w:szCs w:val="18"/>
        </w:rPr>
        <w:t xml:space="preserve">§7.4  </w:t>
      </w:r>
      <w:r>
        <w:rPr>
          <w:rFonts w:ascii="Garamond" w:cs="Garamond" w:eastAsia="Garamond" w:hAnsi="Garamond"/>
          <w:b w:val="false"/>
          <w:bCs w:val="false"/>
          <w:i/>
          <w:iCs/>
          <w:color w:val="1B2A4A"/>
          <w:sz w:val="22"/>
          <w:szCs w:val="22"/>
        </w:rPr>
        <w:t xml:space="preserve">Electoral Supermajority Threshold</w:t>
      </w:r>
    </w:p>
    <w:p>
      <w:pPr>
        <w:spacing w:after="120" w:before="0"/>
        <w:ind w:left="431"/>
        <w:jc w:val="both"/>
      </w:pPr>
      <w:r>
        <w:rPr>
          <w:rFonts w:ascii="Garamond" w:cs="Garamond" w:eastAsia="Garamond" w:hAnsi="Garamond"/>
          <w:b w:val="false"/>
          <w:bCs w:val="false"/>
          <w:i w:val="false"/>
          <w:iCs w:val="false"/>
          <w:color w:val="2a2a2a"/>
          <w:sz w:val="22"/>
          <w:szCs w:val="22"/>
        </w:rPr>
        <w:t xml:space="preserve">60% of votes cast is the constitutional threshold for all direct electoral supermajority determinations. This threshold applies wherever this Constitution requires a supermajority outcome in a citizen vote rather than a legislative vote: the consular first-round threshold at which the State plurality requirement is waived (§7.2); public confirmation of a Supreme Court justice under the Senate bypass mechanism (§4.4.a); and public election removal of a constitutional officer under §9.14. The Legislature may not set a higher or lower threshold for any direct electoral supermajority determination without a constitutional amendment. This provision does not govern the optional referendum under §13.1 (simple majority of votes cast subject to a 50% turnout ceiling) or the citizen legislative initiative under §13.2 (60% of votes cast with at least 50% participation where the Legislature has not acted); it governs determinations that require constitutional supermajority democratic consent.</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XIV — Military Authorization and Accountability</w:t>
      </w:r>
    </w:p>
    <w:p>
      <w:pPr>
        <w:spacing w:after="60" w:before="200"/>
        <w:ind w:left="431"/>
        <w:jc w:val="left"/>
      </w:pPr>
      <w:r>
        <w:rPr>
          <w:rFonts w:ascii="Courier New" w:cs="Courier New" w:eastAsia="Courier New" w:hAnsi="Courier New"/>
          <w:b/>
          <w:bCs/>
          <w:color w:val="2a2a2a"/>
          <w:sz w:val="18"/>
          <w:szCs w:val="18"/>
        </w:rPr>
        <w:t xml:space="preserve">§14.1  </w:t>
      </w:r>
      <w:r>
        <w:rPr>
          <w:rFonts w:ascii="Garamond" w:cs="Garamond" w:eastAsia="Garamond" w:hAnsi="Garamond"/>
          <w:b w:val="false"/>
          <w:bCs w:val="false"/>
          <w:i/>
          <w:iCs/>
          <w:color w:val="1B2A4A"/>
          <w:sz w:val="22"/>
          <w:szCs w:val="22"/>
        </w:rPr>
        <w:t xml:space="preserve">Authorized Purposes for Military Force</w:t>
      </w:r>
    </w:p>
    <w:p>
      <w:pPr>
        <w:spacing w:after="120" w:before="0"/>
        <w:ind w:left="431"/>
        <w:jc w:val="both"/>
      </w:pPr>
      <w:r>
        <w:rPr>
          <w:rFonts w:ascii="Garamond" w:cs="Garamond" w:eastAsia="Garamond" w:hAnsi="Garamond"/>
          <w:b w:val="false"/>
          <w:bCs w:val="false"/>
          <w:i w:val="false"/>
          <w:iCs w:val="false"/>
          <w:color w:val="2a2a2a"/>
          <w:sz w:val="22"/>
          <w:szCs w:val="22"/>
        </w:rPr>
        <w:t xml:space="preserve">Military force serves two authorized purposes: protection of the Republic's territory, citizens, and treaty allies; and, with legislative authorization stating the specific grounds, response to crimes against humanity as defined under international law. The Legislature applies that definition directly in each authorization; no prior international recognition or finding is required. Three purposes are explicitly prohibited regardless of legislative authorization: the installation, support, or maintenance of a specific governmental structure in another sovereign state; resource extraction; and ideological imposition. Legislative authorization must state which authorized purpose it serves; authorization that cannot be linked to an authorized purpose is constitutionally void. The SC’s review under this section is limited to whether the Legislature linked the authorization to one of the purposes enumerated above; the SC does not review whether the underlying facts satisfy that purpose’s legal threshold.</w:t>
      </w:r>
    </w:p>
    <w:p>
      <w:pPr>
        <w:spacing w:after="60" w:before="200"/>
        <w:ind w:left="431"/>
        <w:jc w:val="left"/>
      </w:pPr>
      <w:r>
        <w:rPr>
          <w:rFonts w:ascii="Courier New" w:cs="Courier New" w:eastAsia="Courier New" w:hAnsi="Courier New"/>
          <w:b/>
          <w:bCs/>
          <w:color w:val="2a2a2a"/>
          <w:sz w:val="18"/>
          <w:szCs w:val="18"/>
        </w:rPr>
        <w:t xml:space="preserve">§14.2  </w:t>
      </w:r>
      <w:r>
        <w:rPr>
          <w:rFonts w:ascii="Garamond" w:cs="Garamond" w:eastAsia="Garamond" w:hAnsi="Garamond"/>
          <w:b w:val="false"/>
          <w:bCs w:val="false"/>
          <w:i/>
          <w:iCs/>
          <w:color w:val="1B2A4A"/>
          <w:sz w:val="22"/>
          <w:szCs w:val="22"/>
        </w:rPr>
        <w:t xml:space="preserve">Defense Authorization and Allocation</w:t>
      </w:r>
    </w:p>
    <w:p>
      <w:pPr>
        <w:spacing w:after="120" w:before="0"/>
        <w:ind w:left="431"/>
        <w:jc w:val="both"/>
      </w:pPr>
      <w:r>
        <w:rPr>
          <w:rFonts w:ascii="Garamond" w:cs="Garamond" w:eastAsia="Garamond" w:hAnsi="Garamond"/>
          <w:b w:val="false"/>
          <w:bCs w:val="false"/>
          <w:i w:val="false"/>
          <w:iCs w:val="false"/>
          <w:color w:val="2a2a2a"/>
          <w:sz w:val="22"/>
          <w:szCs w:val="22"/>
        </w:rPr>
        <w:t xml:space="preserve">Military expenditure requires legislative authorization under §14.1 and budget passage under §12.2; the Legat Consul executes that funding. Where authorization specifies categories or amounts, the Legat Consul is bound by them; otherwise, the Legat Consul determines allocation within the authorized total. The Legat Consul answers public questions before the Senate at intervals defined by statute and provides classified briefings to the Senate during active operations. Neither obligation constitutes Senate approval or conditions the Legat Consul’s authority to act. The Legat Consul keeps the Civic Consul informed of expenditure and its budgetary implications through the Council of Ministers under §2.14. When legislative authorization expires or lapses, all expenditure ceases; contracts may wind down for up to 90 days, with no new commitments permitted after expiration. The EM audits expenditure during active operations and publishes findings to the NRS, including intelligence activities conducted in support of those operations, published in classified summary form. The EM publishes a comprehensive accountability report within 180 days of an operation’s conclusion.</w:t>
      </w:r>
    </w:p>
    <w:p>
      <w:pPr>
        <w:spacing w:after="60" w:before="200"/>
        <w:ind w:left="431"/>
        <w:jc w:val="left"/>
      </w:pPr>
      <w:r>
        <w:rPr>
          <w:rFonts w:ascii="Courier New" w:cs="Courier New" w:eastAsia="Courier New" w:hAnsi="Courier New"/>
          <w:b/>
          <w:bCs/>
          <w:color w:val="2a2a2a"/>
          <w:sz w:val="18"/>
          <w:szCs w:val="18"/>
        </w:rPr>
        <w:t xml:space="preserve">§14.3  </w:t>
      </w:r>
      <w:r>
        <w:rPr>
          <w:rFonts w:ascii="Garamond" w:cs="Garamond" w:eastAsia="Garamond" w:hAnsi="Garamond"/>
          <w:b w:val="false"/>
          <w:bCs w:val="false"/>
          <w:i/>
          <w:iCs/>
          <w:color w:val="1B2A4A"/>
          <w:sz w:val="22"/>
          <w:szCs w:val="22"/>
        </w:rPr>
        <w:t xml:space="preserve">Military Accountability</w:t>
      </w:r>
    </w:p>
    <w:p>
      <w:pPr>
        <w:spacing w:after="120" w:before="0"/>
        <w:ind w:left="431"/>
        <w:jc w:val="both"/>
      </w:pPr>
      <w:r>
        <w:rPr>
          <w:rFonts w:ascii="Garamond" w:cs="Garamond" w:eastAsia="Garamond" w:hAnsi="Garamond"/>
          <w:b w:val="false"/>
          <w:bCs w:val="false"/>
          <w:i w:val="false"/>
          <w:iCs w:val="false"/>
          <w:color w:val="2a2a2a"/>
          <w:sz w:val="22"/>
          <w:szCs w:val="22"/>
        </w:rPr>
        <w:t xml:space="preserve">Within the period defined by statute following legislative military authorization being renewed for a second time, the Legat Consul submits a Transition and Reconstruction Plan to the Senate specifying the Republic’s post-conflict obligations: status of alliance obligations, civilian reconstruction support, transitional justice support, and withdrawal timeline. The Senate reviews and approves the Plan, and may amend it in consultation and coordination with the Legat Consul. The approved Plan is published to the NRS and is binding on both executives within their respective domains. Legislative authorization may not be renewed beyond that point unless the Senate has approved a Plan; where authorization is not renewed, expenditure ceases under §14.2.</w:t>
      </w:r>
    </w:p>
    <w:p>
      <w:pPr>
        <w:spacing w:after="60" w:before="200"/>
        <w:ind w:left="431"/>
        <w:jc w:val="left"/>
      </w:pPr>
      <w:r>
        <w:rPr>
          <w:rFonts w:ascii="Courier New" w:cs="Courier New" w:eastAsia="Courier New" w:hAnsi="Courier New"/>
          <w:b/>
          <w:bCs/>
          <w:color w:val="2a2a2a"/>
          <w:sz w:val="18"/>
          <w:szCs w:val="18"/>
        </w:rPr>
        <w:t xml:space="preserve">§14.4  </w:t>
      </w:r>
      <w:r>
        <w:rPr>
          <w:rFonts w:ascii="Garamond" w:cs="Garamond" w:eastAsia="Garamond" w:hAnsi="Garamond"/>
          <w:b w:val="false"/>
          <w:bCs w:val="false"/>
          <w:i/>
          <w:iCs/>
          <w:color w:val="1B2A4A"/>
          <w:sz w:val="22"/>
          <w:szCs w:val="22"/>
        </w:rPr>
        <w:t xml:space="preserve">Treaty-Based Military Authorization</w:t>
      </w:r>
    </w:p>
    <w:p>
      <w:pPr>
        <w:spacing w:after="120" w:before="0"/>
        <w:ind w:left="431"/>
        <w:jc w:val="both"/>
      </w:pPr>
      <w:r>
        <w:rPr>
          <w:rFonts w:ascii="Garamond" w:cs="Garamond" w:eastAsia="Garamond" w:hAnsi="Garamond"/>
          <w:b w:val="false"/>
          <w:bCs w:val="false"/>
          <w:i w:val="false"/>
          <w:iCs w:val="false"/>
          <w:color w:val="2a2a2a"/>
          <w:sz w:val="22"/>
          <w:szCs w:val="22"/>
        </w:rPr>
        <w:t xml:space="preserve">Where an existing treaty requires military action, the Legat Consul may act immediately and must notify both chambers and the Civic Consul within 12 hours, citing the specific treaty obligation triggered. Senate ratification of a treaty by the required supermajority constitutes legislative authorization for all military actions required by that treaty when its obligations are triggered; no separate legislative authorization is required for operations the treaty obligates. The Legislature’s authority over treaty-based operations runs through appropriations and through the treaty withdrawal mechanism under §3.6. The oversight and accountability provisions of §14.2 apply from the moment of action. Where the SC determines that a treaty’s trigger conditions were not met, military operations are limited to a defensive posture, and both chambers of the Legislature must vote on whether to authorize continuation of the action no later than 30 days after the SC’s decision is published. An affirmative vote in both chambers constitutes legislative authorization, and the action proceeds under the ordinary terms of this Article from that point. Absent an affirmative vote within the 30-day period, §14.2’s expiration and wind-down provisions apply.</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XV — Territorial Structure and Statehood</w:t>
      </w:r>
    </w:p>
    <w:p>
      <w:pPr>
        <w:spacing w:after="60" w:before="200"/>
        <w:ind w:left="431"/>
        <w:jc w:val="left"/>
      </w:pPr>
      <w:r>
        <w:rPr>
          <w:rFonts w:ascii="Courier New" w:cs="Courier New" w:eastAsia="Courier New" w:hAnsi="Courier New"/>
          <w:b/>
          <w:bCs/>
          <w:color w:val="2a2a2a"/>
          <w:sz w:val="18"/>
          <w:szCs w:val="18"/>
        </w:rPr>
        <w:t xml:space="preserve">§15.1  </w:t>
      </w:r>
      <w:r>
        <w:rPr>
          <w:rFonts w:ascii="Garamond" w:cs="Garamond" w:eastAsia="Garamond" w:hAnsi="Garamond"/>
          <w:b w:val="false"/>
          <w:bCs w:val="false"/>
          <w:i/>
          <w:iCs/>
          <w:color w:val="1B2A4A"/>
          <w:sz w:val="22"/>
          <w:szCs w:val="22"/>
        </w:rPr>
        <w:t xml:space="preserve">Territorial Compact</w:t>
      </w:r>
    </w:p>
    <w:p>
      <w:pPr>
        <w:spacing w:after="120" w:before="0"/>
        <w:ind w:left="431"/>
        <w:jc w:val="both"/>
      </w:pPr>
      <w:r>
        <w:rPr>
          <w:rFonts w:ascii="Garamond" w:cs="Garamond" w:eastAsia="Garamond" w:hAnsi="Garamond"/>
          <w:b w:val="false"/>
          <w:bCs w:val="false"/>
          <w:i w:val="false"/>
          <w:iCs w:val="false"/>
          <w:color w:val="2a2a2a"/>
          <w:sz w:val="22"/>
          <w:szCs w:val="22"/>
        </w:rPr>
        <w:t xml:space="preserve">A Territory operates under a Territorial Compact — the restructuring agreement under §15.4 or the incorporation agreement under §15.6 where the Territory results from one of those processes, or otherwise a standard statutory framework the Legislature defines, which must provide for an elected local governing authority over matters of local concern — has federal protections under Article I, accesses social state systems under §12.1, and may begin the Statehood pathway under §15.2. Territories hold Assembly seats proportional to their population and participate as full voting members. Territories do not hold Senate seats; Senate representation is reserved for States.</w:t>
      </w:r>
    </w:p>
    <w:p>
      <w:pPr>
        <w:spacing w:after="60" w:before="200"/>
        <w:ind w:left="431"/>
        <w:jc w:val="left"/>
      </w:pPr>
      <w:r>
        <w:rPr>
          <w:rFonts w:ascii="Courier New" w:cs="Courier New" w:eastAsia="Courier New" w:hAnsi="Courier New"/>
          <w:b/>
          <w:bCs/>
          <w:color w:val="2a2a2a"/>
          <w:sz w:val="18"/>
          <w:szCs w:val="18"/>
        </w:rPr>
        <w:t xml:space="preserve">§15.2  </w:t>
      </w:r>
      <w:r>
        <w:rPr>
          <w:rFonts w:ascii="Garamond" w:cs="Garamond" w:eastAsia="Garamond" w:hAnsi="Garamond"/>
          <w:b w:val="false"/>
          <w:bCs w:val="false"/>
          <w:i/>
          <w:iCs/>
          <w:color w:val="1B2A4A"/>
          <w:sz w:val="22"/>
          <w:szCs w:val="22"/>
        </w:rPr>
        <w:t xml:space="preserve">The Statehood Audit</w:t>
      </w:r>
    </w:p>
    <w:p>
      <w:pPr>
        <w:spacing w:after="120" w:before="0"/>
        <w:ind w:left="431"/>
        <w:jc w:val="both"/>
      </w:pPr>
      <w:r>
        <w:rPr>
          <w:rFonts w:ascii="Garamond" w:cs="Garamond" w:eastAsia="Garamond" w:hAnsi="Garamond"/>
          <w:b w:val="false"/>
          <w:bCs w:val="false"/>
          <w:i w:val="false"/>
          <w:iCs w:val="false"/>
          <w:color w:val="2a2a2a"/>
          <w:sz w:val="22"/>
          <w:szCs w:val="22"/>
        </w:rPr>
        <w:t xml:space="preserve">The pathway from Territory to State is automatic upon passing the Statehood Audit and Provisional Membership Period — no political vote is required once the audit is passed. The audit has two components: the LM audits fiscal integrity; the JM audits legal compliance with every Article I right. Both must pass. A Territory that fails receives specific published findings and may resubmit after addressing the failures. The Legislature defines audit methodology and resubmission timelines by statute. Upon passing, the Territory enters a Provisional Membership Period of between one and three years as the Legislature defines; clean completion results in automatic Statehood. Every State must maintain three ongoing conditions: functioning electoral processes, basic rule of law and judicial function, and Article I rights compliance; annual audit verifies continued compliance and a failing State enters a remediation process, not automatic devolution. Where active conflict prevents completion of an annual audit in a significant portion of a State's territory, the LM may publish a provisional audit status finding for that cycle on joint Monitor assessment; provisional status is unavailable where the State materially contributed to the conflict conditions. A defined geographic subdivision of a Territory may petition for Statehood independently of the remainder under the same criteria.</w:t>
      </w:r>
    </w:p>
    <w:p>
      <w:pPr>
        <w:spacing w:after="60" w:before="200"/>
        <w:ind w:left="431"/>
        <w:jc w:val="left"/>
      </w:pPr>
      <w:r>
        <w:rPr>
          <w:rFonts w:ascii="Courier New" w:cs="Courier New" w:eastAsia="Courier New" w:hAnsi="Courier New"/>
          <w:b/>
          <w:bCs/>
          <w:color w:val="2a2a2a"/>
          <w:sz w:val="18"/>
          <w:szCs w:val="18"/>
        </w:rPr>
        <w:t xml:space="preserve">§15.3  </w:t>
      </w:r>
      <w:r>
        <w:rPr>
          <w:rFonts w:ascii="Garamond" w:cs="Garamond" w:eastAsia="Garamond" w:hAnsi="Garamond"/>
          <w:b w:val="false"/>
          <w:bCs w:val="false"/>
          <w:i/>
          <w:iCs/>
          <w:color w:val="1B2A4A"/>
          <w:sz w:val="22"/>
          <w:szCs w:val="22"/>
        </w:rPr>
        <w:t xml:space="preserve">Mandatory Devolution</w:t>
      </w:r>
    </w:p>
    <w:p>
      <w:pPr>
        <w:spacing w:after="120" w:before="0"/>
        <w:ind w:left="431"/>
        <w:jc w:val="both"/>
      </w:pPr>
      <w:r>
        <w:rPr>
          <w:rFonts w:ascii="Garamond" w:cs="Garamond" w:eastAsia="Garamond" w:hAnsi="Garamond"/>
          <w:b w:val="false"/>
          <w:bCs w:val="false"/>
          <w:i w:val="false"/>
          <w:iCs w:val="false"/>
          <w:color w:val="2a2a2a"/>
          <w:sz w:val="22"/>
          <w:szCs w:val="22"/>
        </w:rPr>
        <w:t xml:space="preserve">A State enters Mandatory Devolution upon three consecutive annual Statehood Audit findings of failure published by the LM. After each failing audit, the LM publishes an Early Warning specifying compliance requirements; the State must publish a Remediation Plan within the period defined by statute. After three consecutive failures, citizens vote, administered by the Elections Panel under Article XI, on one of two paths: a two-year federal remediation commission, or Provisional status.
A State in Provisional status retains its existing governing structure and continues under the Statehood Audit cycle; passing the Statehood Audit restores full Statehood immediately, with no additional vote required. Where Provisional status continues for one year without a passed audit, citizens vote, administered by the Elections Panel under Article XI, on the principle of pursuing devolution, on the same terms as §15.4’s voluntary process. An affirmative vote proceeds through negotiation and Senate ratification under §15.4; absent an affirmative vote, the State continues in Provisional status under this section.
Sitting senators complete their current elected terms — Senate seats are not vacated — but no new Senate elections may be held while a State remains in Provisional status or after devolution takes effect, until Statehood is restored; existing Assembly members complete their current terms; Article I rights and social state protections continue without interruption.
Within 30 days of a State entering Provisional status, the affected State may petition the courts on the sole ground that the audit findings are factually insufficient to establish three consecutive failures; the court reviews only the factual basis; process and timeline are defined by statute.</w:t>
      </w:r>
    </w:p>
    <w:p>
      <w:pPr>
        <w:spacing w:after="60" w:before="200"/>
        <w:ind w:left="431"/>
        <w:jc w:val="left"/>
      </w:pPr>
      <w:r>
        <w:rPr>
          <w:rFonts w:ascii="Courier New" w:cs="Courier New" w:eastAsia="Courier New" w:hAnsi="Courier New"/>
          <w:b/>
          <w:bCs/>
          <w:color w:val="2a2a2a"/>
          <w:sz w:val="18"/>
          <w:szCs w:val="18"/>
        </w:rPr>
        <w:t xml:space="preserve">§15.4  </w:t>
      </w:r>
      <w:r>
        <w:rPr>
          <w:rFonts w:ascii="Garamond" w:cs="Garamond" w:eastAsia="Garamond" w:hAnsi="Garamond"/>
          <w:b w:val="false"/>
          <w:bCs w:val="false"/>
          <w:i/>
          <w:iCs/>
          <w:color w:val="1B2A4A"/>
          <w:sz w:val="22"/>
          <w:szCs w:val="22"/>
        </w:rPr>
        <w:t xml:space="preserve">Voluntary Devolution and Merger</w:t>
      </w:r>
    </w:p>
    <w:p>
      <w:pPr>
        <w:spacing w:after="120" w:before="0"/>
        <w:ind w:left="431"/>
        <w:jc w:val="both"/>
      </w:pPr>
      <w:r>
        <w:rPr>
          <w:rFonts w:ascii="Garamond" w:cs="Garamond" w:eastAsia="Garamond" w:hAnsi="Garamond"/>
          <w:b w:val="false"/>
          <w:bCs w:val="false"/>
          <w:i w:val="false"/>
          <w:iCs w:val="false"/>
          <w:color w:val="2a2a2a"/>
          <w:sz w:val="22"/>
          <w:szCs w:val="22"/>
        </w:rPr>
        <w:t xml:space="preserve">A State may voluntarily restructure its relationship with the Republic. The process requires, first, a State referendum achieving 60% approval of eligible voters on the principle of pursuing devolution; and second, upon approval, negotiation of a restructuring agreement between the State and the Legislature, ratified by Senate approval by 2/3 majority. The agreement specifies asset and liability allocation, transition timeline, constitutional status of successor jurisdictions, fiscal obligations to the Republic, and continuing obligations; it is published to the NRS and legally binding. Social state protections and Article I rights continue through the transition. A Territory or defined portion of a Territory may merge with a geographically contiguous existing State, requiring a 60% referendum with at least 50% participation, approval by the existing State through its own constitutional process, a joint LM-JM Statehood Audit confirming the existing State's integrity is maintained, and Senate ratification by simple majority.</w:t>
      </w:r>
    </w:p>
    <w:p>
      <w:pPr>
        <w:spacing w:after="60" w:before="200"/>
        <w:ind w:left="431"/>
        <w:jc w:val="left"/>
      </w:pPr>
      <w:r>
        <w:rPr>
          <w:rFonts w:ascii="Courier New" w:cs="Courier New" w:eastAsia="Courier New" w:hAnsi="Courier New"/>
          <w:b/>
          <w:bCs/>
          <w:color w:val="2a2a2a"/>
          <w:sz w:val="18"/>
          <w:szCs w:val="18"/>
        </w:rPr>
        <w:t xml:space="preserve">§15.5  </w:t>
      </w:r>
      <w:r>
        <w:rPr>
          <w:rFonts w:ascii="Garamond" w:cs="Garamond" w:eastAsia="Garamond" w:hAnsi="Garamond"/>
          <w:b w:val="false"/>
          <w:bCs w:val="false"/>
          <w:i/>
          <w:iCs/>
          <w:color w:val="1B2A4A"/>
          <w:sz w:val="22"/>
          <w:szCs w:val="22"/>
        </w:rPr>
        <w:t xml:space="preserve">Re-Qualification Pathway</w:t>
      </w:r>
    </w:p>
    <w:p>
      <w:pPr>
        <w:spacing w:after="120" w:before="0"/>
        <w:ind w:left="431"/>
        <w:jc w:val="both"/>
      </w:pPr>
      <w:r>
        <w:rPr>
          <w:rFonts w:ascii="Garamond" w:cs="Garamond" w:eastAsia="Garamond" w:hAnsi="Garamond"/>
          <w:b w:val="false"/>
          <w:bCs w:val="false"/>
          <w:i w:val="false"/>
          <w:iCs w:val="false"/>
          <w:color w:val="2a2a2a"/>
          <w:sz w:val="22"/>
          <w:szCs w:val="22"/>
        </w:rPr>
        <w:t xml:space="preserve">A Territory resulting from mandatory or voluntary devolution enters the Statehood re-qualification pathway under §15.2 immediately upon the effective date of devolution. No additional political vote is required to begin the pathway. Where a defined geographic subdivision of the Territory separately achieves Statehood under §15.2 or merges with an existing State under §15.4, the remainder continues under this section without interruption or loss of any progress already accrued toward re-qualification.</w:t>
      </w:r>
    </w:p>
    <w:p>
      <w:pPr>
        <w:spacing w:after="60" w:before="200"/>
        <w:ind w:left="431"/>
        <w:jc w:val="left"/>
      </w:pPr>
      <w:r>
        <w:rPr>
          <w:rFonts w:ascii="Courier New" w:cs="Courier New" w:eastAsia="Courier New" w:hAnsi="Courier New"/>
          <w:b/>
          <w:bCs/>
          <w:color w:val="2a2a2a"/>
          <w:sz w:val="18"/>
          <w:szCs w:val="18"/>
        </w:rPr>
        <w:t xml:space="preserve">§15.6  </w:t>
      </w:r>
      <w:r>
        <w:rPr>
          <w:rFonts w:ascii="Garamond" w:cs="Garamond" w:eastAsia="Garamond" w:hAnsi="Garamond"/>
          <w:b w:val="false"/>
          <w:bCs w:val="false"/>
          <w:i/>
          <w:iCs/>
          <w:color w:val="1B2A4A"/>
          <w:sz w:val="22"/>
          <w:szCs w:val="22"/>
        </w:rPr>
        <w:t xml:space="preserve">Voluntary Incorporation</w:t>
      </w:r>
    </w:p>
    <w:p>
      <w:pPr>
        <w:spacing w:after="120" w:before="0"/>
        <w:ind w:left="431"/>
        <w:jc w:val="both"/>
      </w:pPr>
      <w:r>
        <w:rPr>
          <w:rFonts w:ascii="Garamond" w:cs="Garamond" w:eastAsia="Garamond" w:hAnsi="Garamond"/>
          <w:b w:val="false"/>
          <w:bCs w:val="false"/>
          <w:i w:val="false"/>
          <w:iCs w:val="false"/>
          <w:color w:val="2a2a2a"/>
          <w:sz w:val="22"/>
          <w:szCs w:val="22"/>
        </w:rPr>
        <w:t xml:space="preserve">A sovereign entity may petition to join the Republic's constitutional framework as a Territory. The process requires a petition resolution adopted by the entity's own legislature by 2/3 majority, confirmed by a citizen referendum achieving simple majority on at least 50% participation. Upon confirmation, the entity and the Legislature negotiate an incorporation agreement specifying a transition period not exceeding 48 months; the Legislature ratifies the agreement by 2/3 of both chambers. Under §9.1, either chamber may request a JM assessment of the entity's compliance with §1.19.b before that ratification vote; published JM findings must be given due consideration. Any person with standing may challenge the incorporation before the SC on the ground that the entity systematically violates §1.19.b. No constitutional officer may condition treaty obligations, trade relations, military cooperation, or foreign aid on any entity's decision to initiate or advance this process. An indigenous nation recognized under Article XVI must make a status election under §16.7 before this provision applies.</w:t>
      </w:r>
    </w:p>
    <w:p>
      <w:pPr>
        <w:spacing w:after="60" w:before="200"/>
        <w:ind w:left="431"/>
        <w:jc w:val="left"/>
      </w:pPr>
      <w:r>
        <w:rPr>
          <w:rFonts w:ascii="Courier New" w:cs="Courier New" w:eastAsia="Courier New" w:hAnsi="Courier New"/>
          <w:b/>
          <w:bCs/>
          <w:color w:val="2a2a2a"/>
          <w:sz w:val="18"/>
          <w:szCs w:val="18"/>
        </w:rPr>
        <w:t xml:space="preserve">§15.7  </w:t>
      </w:r>
      <w:r>
        <w:rPr>
          <w:rFonts w:ascii="Garamond" w:cs="Garamond" w:eastAsia="Garamond" w:hAnsi="Garamond"/>
          <w:b w:val="false"/>
          <w:bCs w:val="false"/>
          <w:i/>
          <w:iCs/>
          <w:color w:val="1B2A4A"/>
          <w:sz w:val="22"/>
          <w:szCs w:val="22"/>
        </w:rPr>
        <w:t xml:space="preserve">State Immutability and Territorial Integrity</w:t>
      </w:r>
    </w:p>
    <w:p>
      <w:pPr>
        <w:spacing w:after="120" w:before="0"/>
        <w:ind w:left="431"/>
        <w:jc w:val="both"/>
      </w:pPr>
      <w:r>
        <w:rPr>
          <w:rFonts w:ascii="Garamond" w:cs="Garamond" w:eastAsia="Garamond" w:hAnsi="Garamond"/>
          <w:b w:val="false"/>
          <w:bCs w:val="false"/>
          <w:i w:val="false"/>
          <w:iCs w:val="false"/>
          <w:color w:val="2a2a2a"/>
          <w:sz w:val="22"/>
          <w:szCs w:val="22"/>
        </w:rPr>
        <w:t xml:space="preserve">A State's constitutional boundaries are fixed. No constitutional mechanism permits a State to divide directly into two or more States — the separating portion must first become a Territory before seeking independent Statehood. The Republic's territorial extent may only be reduced by the consent of the affected population through a parliamentary amendment with Popular Ratification, or through a citizen initiative amendment — parliamentary amendment with State Ratification alone is insufficient. A State may not secede by ordinary statute or State referendum alone. No executive action may alter the Republic's territorial extent. A status election under §16.7 constitutes the consent mechanism required by this section for the purposes of indigenous territorial transitions; no additional Popular Ratification is required.</w:t>
      </w:r>
    </w:p>
    <w:p>
      <w:pPr>
        <w:spacing w:after="60" w:before="200"/>
        <w:ind w:left="431"/>
        <w:jc w:val="left"/>
      </w:pPr>
      <w:r>
        <w:rPr>
          <w:rFonts w:ascii="Courier New" w:cs="Courier New" w:eastAsia="Courier New" w:hAnsi="Courier New"/>
          <w:b/>
          <w:bCs/>
          <w:color w:val="2a2a2a"/>
          <w:sz w:val="18"/>
          <w:szCs w:val="18"/>
        </w:rPr>
        <w:t xml:space="preserve">§15.8  </w:t>
      </w:r>
      <w:r>
        <w:rPr>
          <w:rFonts w:ascii="Garamond" w:cs="Garamond" w:eastAsia="Garamond" w:hAnsi="Garamond"/>
          <w:b w:val="false"/>
          <w:bCs w:val="false"/>
          <w:i/>
          <w:iCs/>
          <w:color w:val="1B2A4A"/>
          <w:sz w:val="22"/>
          <w:szCs w:val="22"/>
        </w:rPr>
        <w:t xml:space="preserve">Local Government</w:t>
      </w:r>
    </w:p>
    <w:p>
      <w:pPr>
        <w:spacing w:after="120" w:before="0"/>
        <w:ind w:left="431"/>
        <w:jc w:val="both"/>
      </w:pPr>
      <w:r>
        <w:rPr>
          <w:rFonts w:ascii="Garamond" w:cs="Garamond" w:eastAsia="Garamond" w:hAnsi="Garamond"/>
          <w:b w:val="false"/>
          <w:bCs w:val="false"/>
          <w:i w:val="false"/>
          <w:iCs w:val="false"/>
          <w:color w:val="2a2a2a"/>
          <w:sz w:val="22"/>
          <w:szCs w:val="22"/>
        </w:rPr>
        <w:t xml:space="preserve">Local governments — cities, counties, municipalities, and other subdivisions — receive constitutional recognition as primary points of contact between citizens and government. They are entitled to reasonable fiscal capacity to carry out their constitutional functions. States may not systematically defund local governments to achieve de facto centralization of State-level functions.</w:t>
      </w:r>
    </w:p>
    <w:p>
      <w:pPr>
        <w:spacing w:after="60" w:before="200"/>
        <w:ind w:left="431"/>
        <w:jc w:val="left"/>
      </w:pPr>
      <w:r>
        <w:rPr>
          <w:rFonts w:ascii="Courier New" w:cs="Courier New" w:eastAsia="Courier New" w:hAnsi="Courier New"/>
          <w:b/>
          <w:bCs/>
          <w:color w:val="2a2a2a"/>
          <w:sz w:val="18"/>
          <w:szCs w:val="18"/>
        </w:rPr>
        <w:t xml:space="preserve">§15.9  </w:t>
      </w:r>
      <w:r>
        <w:rPr>
          <w:rFonts w:ascii="Garamond" w:cs="Garamond" w:eastAsia="Garamond" w:hAnsi="Garamond"/>
          <w:b w:val="false"/>
          <w:bCs w:val="false"/>
          <w:i/>
          <w:iCs/>
          <w:color w:val="1B2A4A"/>
          <w:sz w:val="22"/>
          <w:szCs w:val="22"/>
        </w:rPr>
        <w:t xml:space="preserve">Voluntary State Independence</w:t>
      </w:r>
    </w:p>
    <w:p>
      <w:pPr>
        <w:spacing w:after="120" w:before="0"/>
        <w:ind w:left="431"/>
        <w:jc w:val="both"/>
      </w:pPr>
      <w:r>
        <w:rPr>
          <w:rFonts w:ascii="Garamond" w:cs="Garamond" w:eastAsia="Garamond" w:hAnsi="Garamond"/>
          <w:b w:val="false"/>
          <w:bCs w:val="false"/>
          <w:i w:val="false"/>
          <w:iCs w:val="false"/>
          <w:color w:val="2a2a2a"/>
          <w:sz w:val="22"/>
          <w:szCs w:val="22"/>
        </w:rPr>
        <w:t xml:space="preserve">A State may seek independence from the Republic through a two-stage process. Stage One requires the State legislature to resolve by 2/3 majority to submit the independence question to the State's eligible voters; the referendum must achieve 60% of votes cast with at least 60% participation among the State's eligible voters; a failed referendum may not be reinitiated on the same or substantially similar grounds for five years. Upon certification of the referendum result, the Elections Panel publishes the independence petition to the NRS; the election is irrevocable from the moment of publication. The Republic may not prefer, discourage, or offer inducements toward any independence petition or referendum; the Republic must provide factual information about the process upon request. Stage Two requires both chambers to hold a concurrent ratification vote within 90 days of NRS publication; Assembly members elected from districts within the petitioning State and senators whose allocation derives from the petitioning State's population are recused from this vote, and the required 60% majority and quorum for each chamber are calculated from the remaining seated members; if either chamber fails to achieve 60% or fails to vote within 90 days, the petition lapses and the State may reinitiate Stage One without restriction.</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XVI — Indigenous Sovereignty</w:t>
      </w:r>
    </w:p>
    <w:p>
      <w:pPr>
        <w:spacing w:after="60" w:before="200"/>
        <w:ind w:left="431"/>
        <w:jc w:val="left"/>
      </w:pPr>
      <w:r>
        <w:rPr>
          <w:rFonts w:ascii="Courier New" w:cs="Courier New" w:eastAsia="Courier New" w:hAnsi="Courier New"/>
          <w:b/>
          <w:bCs/>
          <w:color w:val="2a2a2a"/>
          <w:sz w:val="18"/>
          <w:szCs w:val="18"/>
        </w:rPr>
        <w:t xml:space="preserve">§16.1  </w:t>
      </w:r>
      <w:r>
        <w:rPr>
          <w:rFonts w:ascii="Garamond" w:cs="Garamond" w:eastAsia="Garamond" w:hAnsi="Garamond"/>
          <w:b w:val="false"/>
          <w:bCs w:val="false"/>
          <w:i/>
          <w:iCs/>
          <w:color w:val="1B2A4A"/>
          <w:sz w:val="22"/>
          <w:szCs w:val="22"/>
        </w:rPr>
        <w:t xml:space="preserve">Acknowledgment of Prior Sovereignty</w:t>
      </w:r>
    </w:p>
    <w:p>
      <w:pPr>
        <w:spacing w:after="120" w:before="0"/>
        <w:ind w:left="431"/>
        <w:jc w:val="both"/>
      </w:pPr>
      <w:r>
        <w:rPr>
          <w:rFonts w:ascii="Garamond" w:cs="Garamond" w:eastAsia="Garamond" w:hAnsi="Garamond"/>
          <w:b w:val="false"/>
          <w:bCs w:val="false"/>
          <w:i w:val="false"/>
          <w:iCs w:val="false"/>
          <w:color w:val="2a2a2a"/>
          <w:sz w:val="22"/>
          <w:szCs w:val="22"/>
        </w:rPr>
        <w:t xml:space="preserve">Indigenous Nations within the Republic's territory hold a distinct constitutional relationship with the Republic based on prior sovereignty. This relationship is acknowledged, not granted — the Republic's constitutional framework does not create indigenous sovereignty; it recognizes sovereignty that precedes it. The compact relationship is bilateral: the Republic acknowledges Indigenous prior sovereignty; Indigenous Nations acknowledge the Republic's constitutional framework within the scope of their compact.</w:t>
      </w:r>
    </w:p>
    <w:p>
      <w:pPr>
        <w:spacing w:after="60" w:before="200"/>
        <w:ind w:left="431"/>
        <w:jc w:val="left"/>
      </w:pPr>
      <w:r>
        <w:rPr>
          <w:rFonts w:ascii="Courier New" w:cs="Courier New" w:eastAsia="Courier New" w:hAnsi="Courier New"/>
          <w:b/>
          <w:bCs/>
          <w:color w:val="2a2a2a"/>
          <w:sz w:val="18"/>
          <w:szCs w:val="18"/>
        </w:rPr>
        <w:t xml:space="preserve">§16.2  </w:t>
      </w:r>
      <w:r>
        <w:rPr>
          <w:rFonts w:ascii="Garamond" w:cs="Garamond" w:eastAsia="Garamond" w:hAnsi="Garamond"/>
          <w:b w:val="false"/>
          <w:bCs w:val="false"/>
          <w:i/>
          <w:iCs/>
          <w:color w:val="1B2A4A"/>
          <w:sz w:val="22"/>
          <w:szCs w:val="22"/>
        </w:rPr>
        <w:t xml:space="preserve">Compact Formation</w:t>
      </w:r>
    </w:p>
    <w:p>
      <w:pPr>
        <w:spacing w:after="120" w:before="0"/>
        <w:ind w:left="431"/>
        <w:jc w:val="both"/>
      </w:pPr>
      <w:r>
        <w:rPr>
          <w:rFonts w:ascii="Garamond" w:cs="Garamond" w:eastAsia="Garamond" w:hAnsi="Garamond"/>
          <w:b w:val="false"/>
          <w:bCs w:val="false"/>
          <w:i w:val="false"/>
          <w:iCs w:val="false"/>
          <w:color w:val="2a2a2a"/>
          <w:sz w:val="22"/>
          <w:szCs w:val="22"/>
        </w:rPr>
        <w:t xml:space="preserve">An Indigenous Nation may enter a compact with the Republic by submitting a compact proposal to the Senate. The Senate must within 90 days either begin compact negotiations or publish written reasons for declining; a declined proposal may be resubmitted after 5 years or after a material change in circumstances. Compact terms are negotiated between the Nation and the Civic Consul, with JM oversight. Compacts take effect upon 2/3 Senate ratification and Indigenous Nation ratification by their own constitutional process.</w:t>
      </w:r>
    </w:p>
    <w:p>
      <w:pPr>
        <w:spacing w:after="60" w:before="200"/>
        <w:ind w:left="431"/>
        <w:jc w:val="left"/>
      </w:pPr>
      <w:r>
        <w:rPr>
          <w:rFonts w:ascii="Courier New" w:cs="Courier New" w:eastAsia="Courier New" w:hAnsi="Courier New"/>
          <w:b/>
          <w:bCs/>
          <w:color w:val="2a2a2a"/>
          <w:sz w:val="18"/>
          <w:szCs w:val="18"/>
        </w:rPr>
        <w:t xml:space="preserve">§16.3  </w:t>
      </w:r>
      <w:r>
        <w:rPr>
          <w:rFonts w:ascii="Garamond" w:cs="Garamond" w:eastAsia="Garamond" w:hAnsi="Garamond"/>
          <w:b w:val="false"/>
          <w:bCs w:val="false"/>
          <w:i/>
          <w:iCs/>
          <w:color w:val="1B2A4A"/>
          <w:sz w:val="22"/>
          <w:szCs w:val="22"/>
        </w:rPr>
        <w:t xml:space="preserve">Rights and Governance in Compact Territories</w:t>
      </w:r>
    </w:p>
    <w:p>
      <w:pPr>
        <w:spacing w:after="120" w:before="0"/>
        <w:ind w:left="431"/>
        <w:jc w:val="both"/>
      </w:pPr>
      <w:r>
        <w:rPr>
          <w:rFonts w:ascii="Garamond" w:cs="Garamond" w:eastAsia="Garamond" w:hAnsi="Garamond"/>
          <w:b w:val="false"/>
          <w:bCs w:val="false"/>
          <w:i w:val="false"/>
          <w:iCs w:val="false"/>
          <w:color w:val="2a2a2a"/>
          <w:sz w:val="22"/>
          <w:szCs w:val="22"/>
        </w:rPr>
        <w:t xml:space="preserve">Article I rights apply in full within all compact territories; no compact provision may limit or qualify any Article I right; where compact governance conflicts with an Article I right, Article I prevails. Indigenous Nations with compacts hold governance, judicial, and resource sovereignty within their territories subject to the specific terms of their compact. Indigenous Nations may establish their own courts with jurisdiction over matters within compact scope, operating in parallel with federal courts; citizens may bring Article I claims directly to federal courts regardless of compact scope. Compact territories include explicit land and resource sovereignty provisions; the Republic may not alter compact land provisions without Nation consent; resource extraction within compact territories requires both Republic and Nation approval. The Republic recognizes Indigenous governance structures as legitimate political institutions within compact scope; federal agencies must coordinate with compact governance bodies. Compacts must include provisions for preservation and transmission of Indigenous languages and cultural practices; the Republic provides federal education funding that supports Indigenous-language instruction.</w:t>
      </w:r>
    </w:p>
    <w:p>
      <w:pPr>
        <w:spacing w:after="60" w:before="200"/>
        <w:ind w:left="431"/>
        <w:jc w:val="left"/>
      </w:pPr>
      <w:r>
        <w:rPr>
          <w:rFonts w:ascii="Courier New" w:cs="Courier New" w:eastAsia="Courier New" w:hAnsi="Courier New"/>
          <w:b/>
          <w:bCs/>
          <w:color w:val="2a2a2a"/>
          <w:sz w:val="18"/>
          <w:szCs w:val="18"/>
        </w:rPr>
        <w:t xml:space="preserve">§16.4  </w:t>
      </w:r>
      <w:r>
        <w:rPr>
          <w:rFonts w:ascii="Garamond" w:cs="Garamond" w:eastAsia="Garamond" w:hAnsi="Garamond"/>
          <w:b w:val="false"/>
          <w:bCs w:val="false"/>
          <w:i/>
          <w:iCs/>
          <w:color w:val="1B2A4A"/>
          <w:sz w:val="22"/>
          <w:szCs w:val="22"/>
        </w:rPr>
        <w:t xml:space="preserve">Compact Administration and Continuity</w:t>
      </w:r>
    </w:p>
    <w:p>
      <w:pPr>
        <w:spacing w:after="120" w:before="0"/>
        <w:ind w:left="431"/>
        <w:jc w:val="both"/>
      </w:pPr>
      <w:r>
        <w:rPr>
          <w:rFonts w:ascii="Garamond" w:cs="Garamond" w:eastAsia="Garamond" w:hAnsi="Garamond"/>
          <w:b w:val="false"/>
          <w:bCs w:val="false"/>
          <w:i w:val="false"/>
          <w:iCs w:val="false"/>
          <w:color w:val="2a2a2a"/>
          <w:sz w:val="22"/>
          <w:szCs w:val="22"/>
        </w:rPr>
        <w:t xml:space="preserve">Each compact establishes a working mechanism for implementation and day-to-day administration in a form the parties agree. The Legat Consul designates a ministerial counterpart within the Legat Consul’s office for each compact or treaty relationship recognized under this Article; this designation is published to the NRS. Disputes not resolved through the compact’s working mechanism are referred to independent adjudication on terms the compact specifies. The compact’s arbitration mechanism is the final forum for disputes between the Republic and the Nation arising from compact administration, including constitutional questions of compact interpretation; neither party may seek review of an arbitration determination in the Republic’s courts. The Executive Monitor audits the Republic’s compliance with its compact obligations annually and publishes findings to the NRS. Compact terms may be modified only by mutual agreement, negotiated by the Legat Consul and ratified by the Senate under §3.6. Compacts are reviewed on a schedule defined in their terms with a minimum review every 20 years; either party may request a review outside that schedule. A compact continues in force until the Nation files a valid status election under §16.7. For Territorial Integration, the compact ends upon ratification of the incorporation agreement under §15.6. For Full Sovereign Independence, the compact ends upon ratification of the independence treaty under §16.7, or upon the provisional framework taking effect under §16.7.a if no treaty is concluded.</w:t>
      </w:r>
    </w:p>
    <w:p>
      <w:pPr>
        <w:spacing w:after="60" w:before="200"/>
        <w:ind w:left="431"/>
        <w:jc w:val="left"/>
      </w:pPr>
      <w:r>
        <w:rPr>
          <w:rFonts w:ascii="Courier New" w:cs="Courier New" w:eastAsia="Courier New" w:hAnsi="Courier New"/>
          <w:b/>
          <w:bCs/>
          <w:color w:val="2a2a2a"/>
          <w:sz w:val="18"/>
          <w:szCs w:val="18"/>
        </w:rPr>
        <w:t xml:space="preserve">§16.5  </w:t>
      </w:r>
      <w:r>
        <w:rPr>
          <w:rFonts w:ascii="Garamond" w:cs="Garamond" w:eastAsia="Garamond" w:hAnsi="Garamond"/>
          <w:b w:val="false"/>
          <w:bCs w:val="false"/>
          <w:i/>
          <w:iCs/>
          <w:color w:val="1B2A4A"/>
          <w:sz w:val="22"/>
          <w:szCs w:val="22"/>
        </w:rPr>
        <w:t xml:space="preserve">Federal Obligations and Emergency Rights</w:t>
      </w:r>
    </w:p>
    <w:p>
      <w:pPr>
        <w:spacing w:after="120" w:before="0"/>
        <w:ind w:left="431"/>
        <w:jc w:val="both"/>
      </w:pPr>
      <w:r>
        <w:rPr>
          <w:rFonts w:ascii="Garamond" w:cs="Garamond" w:eastAsia="Garamond" w:hAnsi="Garamond"/>
          <w:b w:val="false"/>
          <w:bCs w:val="false"/>
          <w:i w:val="false"/>
          <w:iCs w:val="false"/>
          <w:color w:val="2a2a2a"/>
          <w:sz w:val="22"/>
          <w:szCs w:val="22"/>
        </w:rPr>
        <w:t xml:space="preserve">The Republic holds affirmative obligations to compact territories: federal education funding, healthcare access, infrastructure investment, and emergency response. These obligations are enforceable by the Nation through the compact’s dispute resolution mechanism. Any resident of compact territory who believes an Article I right has been violated may bring an Emergency Rights Writ directly to the SC, bypassing all lower courts and the compact’s dispute resolution mechanism; the SC must rule within 7 days under its original jurisdiction in §4.5; the extension and interim protective order provisions of §4.5 apply. Indigenous Nation membership and Republic citizenship are compatible and independent statuses; dual status is the constitutional default.</w:t>
      </w:r>
    </w:p>
    <w:p>
      <w:pPr>
        <w:spacing w:after="60" w:before="200"/>
        <w:ind w:left="431"/>
        <w:jc w:val="left"/>
      </w:pPr>
      <w:r>
        <w:rPr>
          <w:rFonts w:ascii="Courier New" w:cs="Courier New" w:eastAsia="Courier New" w:hAnsi="Courier New"/>
          <w:b/>
          <w:bCs/>
          <w:color w:val="2a2a2a"/>
          <w:sz w:val="18"/>
          <w:szCs w:val="18"/>
        </w:rPr>
        <w:t xml:space="preserve">§16.6  </w:t>
      </w:r>
      <w:r>
        <w:rPr>
          <w:rFonts w:ascii="Garamond" w:cs="Garamond" w:eastAsia="Garamond" w:hAnsi="Garamond"/>
          <w:b w:val="false"/>
          <w:bCs w:val="false"/>
          <w:i/>
          <w:iCs/>
          <w:color w:val="1B2A4A"/>
          <w:sz w:val="22"/>
          <w:szCs w:val="22"/>
        </w:rPr>
        <w:t xml:space="preserve">Treaty Supremacy and Continuity</w:t>
      </w:r>
    </w:p>
    <w:p>
      <w:pPr>
        <w:spacing w:after="120" w:before="0"/>
        <w:ind w:left="431"/>
        <w:jc w:val="both"/>
      </w:pPr>
      <w:r>
        <w:rPr>
          <w:rFonts w:ascii="Garamond" w:cs="Garamond" w:eastAsia="Garamond" w:hAnsi="Garamond"/>
          <w:b w:val="false"/>
          <w:bCs w:val="false"/>
          <w:i w:val="false"/>
          <w:iCs w:val="false"/>
          <w:color w:val="2a2a2a"/>
          <w:sz w:val="22"/>
          <w:szCs w:val="22"/>
        </w:rPr>
        <w:t xml:space="preserve">All treaties entered into by predecessor governments with indigenous nations are binding obligations of the Republic. Treaty rights cannot be diminished by legislation — they must be honored, renegotiated with consent, or formally superseded by mutual agreement through the compact negotiation process under §16.2 and §16.4. Where a treaty’s administration depends on a predecessor-government institution or mechanism with no Republic equivalent, the treaty’s substantive rights and obligations continue in full regardless; the Legat Consul and the Nation must begin discussions to identify an analogous Republic institution or a negotiated substitute mechanism within the Republic’s first year, and pending resolution, the ministerial counterpart designated under §16.4 administers the treaty’s institutional functions on an interim basis. A treaty alone does not constitute a compact under this Article; the protections specific to compacts under §16.3 and §16.4 apply only where the Nation holds a compact, and a Nation whose relationship with the Republic rests solely on a predecessor treaty may petition for a compact under §16.2 at any time, on the same terms as a Nation with no prior treaty.</w:t>
      </w:r>
    </w:p>
    <w:p>
      <w:pPr>
        <w:spacing w:after="60" w:before="200"/>
        <w:ind w:left="431"/>
        <w:jc w:val="left"/>
      </w:pPr>
      <w:r>
        <w:rPr>
          <w:rFonts w:ascii="Courier New" w:cs="Courier New" w:eastAsia="Courier New" w:hAnsi="Courier New"/>
          <w:b/>
          <w:bCs/>
          <w:color w:val="2a2a2a"/>
          <w:sz w:val="18"/>
          <w:szCs w:val="18"/>
        </w:rPr>
        <w:t xml:space="preserve">§16.7  </w:t>
      </w:r>
      <w:r>
        <w:rPr>
          <w:rFonts w:ascii="Garamond" w:cs="Garamond" w:eastAsia="Garamond" w:hAnsi="Garamond"/>
          <w:b w:val="false"/>
          <w:bCs w:val="false"/>
          <w:i/>
          <w:iCs/>
          <w:color w:val="1B2A4A"/>
          <w:sz w:val="22"/>
          <w:szCs w:val="22"/>
        </w:rPr>
        <w:t xml:space="preserve">Indigenous Nation Status Elections</w:t>
      </w:r>
    </w:p>
    <w:p>
      <w:pPr>
        <w:spacing w:after="120" w:before="0"/>
        <w:ind w:left="431"/>
        <w:jc w:val="both"/>
      </w:pPr>
      <w:r>
        <w:rPr>
          <w:rFonts w:ascii="Garamond" w:cs="Garamond" w:eastAsia="Garamond" w:hAnsi="Garamond"/>
          <w:b w:val="false"/>
          <w:bCs w:val="false"/>
          <w:i w:val="false"/>
          <w:iCs w:val="false"/>
          <w:color w:val="2a2a2a"/>
          <w:sz w:val="22"/>
          <w:szCs w:val="22"/>
        </w:rPr>
        <w:t xml:space="preserve">An indigenous nation recognized under this Article holds the constitutional right to initiate a status transition through its own democratic or traditional governance process. Three status options are available: (a) Continued Status — the Nation’s existing compact or treaty relationship under this Article continues (default; no election required to remain); (b) Territorial Integration — election to pursue territorial incorporation through §15.6, entering as a Territory with the standard §15.2 Statehood pathway available; (c) Full Sovereign Independence — the nation exists outside the Republic's constitutional framework as a fully independent sovereign nation, with the Republic obligated to negotiate a treaty within 24 months governing borders, trade, citizenship, and infrastructure — negotiations are conducted jointly by both executives through the Council of Ministers under §2.14, with the Legat Consul holding primary authority on border and defense terms under §2.1 and the Civic Consul holding primary authority on domestic implementation terms under §2.5; the Legislature ratifies the treaty by 2/3 of both chambers. As an independent sovereign, the Nation may subsequently seek an Associated Community compact with the Republic under Article XX. The Republic may not prefer, discourage, or offer inducements toward any option. The Republic must provide factual information about each status upon request.</w:t>
      </w:r>
    </w:p>
    <w:p>
      <w:pPr>
        <w:spacing w:after="60" w:before="200"/>
        <w:ind w:left="431"/>
        <w:jc w:val="left"/>
      </w:pPr>
      <w:r>
        <w:rPr>
          <w:rFonts w:ascii="Courier New" w:cs="Courier New" w:eastAsia="Courier New" w:hAnsi="Courier New"/>
          <w:b/>
          <w:bCs/>
          <w:color w:val="2a2a2a"/>
          <w:sz w:val="18"/>
          <w:szCs w:val="18"/>
        </w:rPr>
        <w:t xml:space="preserve">§16.7.a  </w:t>
      </w:r>
      <w:r>
        <w:rPr>
          <w:rFonts w:ascii="Garamond" w:cs="Garamond" w:eastAsia="Garamond" w:hAnsi="Garamond"/>
          <w:b w:val="false"/>
          <w:bCs w:val="false"/>
          <w:i/>
          <w:iCs/>
          <w:color w:val="1B2A4A"/>
          <w:sz w:val="22"/>
          <w:szCs w:val="22"/>
        </w:rPr>
        <w:t xml:space="preserve">Status Election Process</w:t>
      </w:r>
    </w:p>
    <w:p>
      <w:pPr>
        <w:spacing w:after="120" w:before="0"/>
        <w:ind w:left="431"/>
        <w:jc w:val="both"/>
      </w:pPr>
      <w:r>
        <w:rPr>
          <w:rFonts w:ascii="Garamond" w:cs="Garamond" w:eastAsia="Garamond" w:hAnsi="Garamond"/>
          <w:b w:val="false"/>
          <w:bCs w:val="false"/>
          <w:i w:val="false"/>
          <w:iCs w:val="false"/>
          <w:color w:val="2a2a2a"/>
          <w:sz w:val="22"/>
          <w:szCs w:val="22"/>
        </w:rPr>
        <w:t xml:space="preserve">A status election under §16.7 requires: (1) a decision by the nation's own governance process, meeting the standards the nation itself defines for major governance decisions; and (2) publication of the election to the NRS within the period defined by statute following the governance decision. An election of Territorial Integration constitutes the principle step required by §15.6; once published, the Nation and the Legislature proceed directly to negotiation of the incorporation agreement under §15.6, which the Legislature ratifies by 2/3 of both chambers. A status election is irrevocable — a Nation that elects Territorial Integration or Full Sovereign Independence may not subsequently return to Article XVI status. Once a Nation has transitioned to Territory or State status, any further changes follow the standard constitutional processes applicable to that status under Articles XIII and XIX — including mandatory devolution under §15.3 if three consecutive Statehood Audits are failed. A Territory or State that formerly held Article XVI status has no special pathway back to it; the irrevocability of the status election is unconditional. Once a Nation has elected Full Sovereign Independence, any subsequent relationship with the Republic — including Associated Community status under Article XX — is pursued as an independent sovereign; Associated Community status requires full independence first and cannot be elected directly from Article XVI status. Where no treaty is concluded within 24 months following a status election of Full Sovereign Independence, either party may propose one 12-month extension by mutual agreement published to the NRS. Absent a concluded treaty or a mutually agreed extension, independence takes effect with a provisional framework: existing compact terms govern borders, trade, and infrastructure on a provisional basis until replaced by treaty; citizenship arrangements follow §5.1; the Legat Consul publishes the provisional framework to the NRS. Either party may petition the SC to resolve specific disputes within the provisional framework. At ratification, the Republic must formally notify all recognized indigenous nations of their rights under §16.7.</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XVII — Constitutional Amendments</w:t>
      </w:r>
    </w:p>
    <w:p>
      <w:pPr>
        <w:spacing w:after="60" w:before="200"/>
        <w:ind w:left="431"/>
        <w:jc w:val="left"/>
      </w:pPr>
      <w:r>
        <w:rPr>
          <w:rFonts w:ascii="Courier New" w:cs="Courier New" w:eastAsia="Courier New" w:hAnsi="Courier New"/>
          <w:b/>
          <w:bCs/>
          <w:color w:val="2a2a2a"/>
          <w:sz w:val="18"/>
          <w:szCs w:val="18"/>
        </w:rPr>
        <w:t xml:space="preserve">§17.1  </w:t>
      </w:r>
      <w:r>
        <w:rPr>
          <w:rFonts w:ascii="Garamond" w:cs="Garamond" w:eastAsia="Garamond" w:hAnsi="Garamond"/>
          <w:b w:val="false"/>
          <w:bCs w:val="false"/>
          <w:i/>
          <w:iCs/>
          <w:color w:val="1B2A4A"/>
          <w:sz w:val="22"/>
          <w:szCs w:val="22"/>
        </w:rPr>
        <w:t xml:space="preserve">Amendment Paths</w:t>
      </w:r>
    </w:p>
    <w:p>
      <w:pPr>
        <w:spacing w:after="120" w:before="0"/>
        <w:ind w:left="431"/>
        <w:jc w:val="both"/>
      </w:pPr>
      <w:r>
        <w:rPr>
          <w:rFonts w:ascii="Garamond" w:cs="Garamond" w:eastAsia="Garamond" w:hAnsi="Garamond"/>
          <w:b w:val="false"/>
          <w:bCs w:val="false"/>
          <w:i w:val="false"/>
          <w:iCs w:val="false"/>
          <w:color w:val="2a2a2a"/>
          <w:sz w:val="22"/>
          <w:szCs w:val="22"/>
        </w:rPr>
        <w:t xml:space="preserve">This Constitution may be amended through the parliamentary path or through citizen initiative. No executive signature is required; no executive veto applies. Every member’s vote on any amendment is published to the NRS.
A parliamentary amendment requires a 2/3 supermajority of the full seated membership of both chambers. The proposing body simultaneously specifies the ratification mechanism — either State Ratification (ratification by 2/3 of States within the period defined by statute) or Popular Ratification (a national popular referendum achieving 2/3 affirmative support with at least 55% citizen participation within 180 days). Citizen Initiative Amendment: A proposed constitutional amendment proceeds through the same two-phase petition process as §13.2, with Phase Two requiring signatures from 15% of eligible voters nationally rather than §13.2’s 10%. Once the Phase Two threshold is met, the proposal proceeds directly to a national referendum, with no legislative or executive action required to place it on the ballot; the Elections Panel administers the referendum within 180 days of Phase Two threshold verification. Passage requires 70% of votes cast with a minimum 65% citizen participation; where the participation floor is not met the initiative fails and may not be resubmitted on the same or substantially similar grounds for five years. Citizen initiative amendments are subject to §17.3 consistency analysis by the JM, advisory only. Amendment of the following provisions requires Popular Ratification regardless of the amendment’s origin: the Monitor selection mechanisms and independence protections (§9.2–§9.4), the Monitor information-only mandate and non-dependency principle (§9.1), the Monitor funding guarantee (§9.10), the NRS architecture and permanence requirements (§10.1), and the Elections Panel and NRS Panel independence (§11.1). These provisions may not be amended by State Ratification alone; a Citizen Initiative Amendment satisfies this requirement through its own referendum under this section without separately clearing the Popular Ratification threshold.</w:t>
      </w:r>
    </w:p>
    <w:p>
      <w:pPr>
        <w:spacing w:after="60" w:before="200"/>
        <w:ind w:left="431"/>
        <w:jc w:val="left"/>
      </w:pPr>
      <w:r>
        <w:rPr>
          <w:rFonts w:ascii="Courier New" w:cs="Courier New" w:eastAsia="Courier New" w:hAnsi="Courier New"/>
          <w:b/>
          <w:bCs/>
          <w:color w:val="2a2a2a"/>
          <w:sz w:val="18"/>
          <w:szCs w:val="18"/>
        </w:rPr>
        <w:t xml:space="preserve">§17.2  </w:t>
      </w:r>
      <w:r>
        <w:rPr>
          <w:rFonts w:ascii="Garamond" w:cs="Garamond" w:eastAsia="Garamond" w:hAnsi="Garamond"/>
          <w:b w:val="false"/>
          <w:bCs w:val="false"/>
          <w:i/>
          <w:iCs/>
          <w:color w:val="1B2A4A"/>
          <w:sz w:val="22"/>
          <w:szCs w:val="22"/>
        </w:rPr>
        <w:t xml:space="preserve">No Executive Veto; Amendment Takes Effect</w:t>
      </w:r>
    </w:p>
    <w:p>
      <w:pPr>
        <w:spacing w:after="120" w:before="0"/>
        <w:ind w:left="431"/>
        <w:jc w:val="both"/>
      </w:pPr>
      <w:r>
        <w:rPr>
          <w:rFonts w:ascii="Garamond" w:cs="Garamond" w:eastAsia="Garamond" w:hAnsi="Garamond"/>
          <w:b w:val="false"/>
          <w:bCs w:val="false"/>
          <w:i w:val="false"/>
          <w:iCs w:val="false"/>
          <w:color w:val="2a2a2a"/>
          <w:sz w:val="22"/>
          <w:szCs w:val="22"/>
        </w:rPr>
        <w:t xml:space="preserve">Neither the Legat Consul nor the Civic Consul has any role in the constitutional amendment process. No signature required. No veto available. An amendment takes effect immediately upon LM certification (State Ratification), Elections Panel certification (Popular Ratification), or Elections Panel certification (Citizen Initiative Amendment), and NRS publication — no implementation delay, no executive discretion over timing.</w:t>
      </w:r>
    </w:p>
    <w:p>
      <w:pPr>
        <w:spacing w:after="60" w:before="200"/>
        <w:ind w:left="431"/>
        <w:jc w:val="left"/>
      </w:pPr>
      <w:r>
        <w:rPr>
          <w:rFonts w:ascii="Courier New" w:cs="Courier New" w:eastAsia="Courier New" w:hAnsi="Courier New"/>
          <w:b/>
          <w:bCs/>
          <w:color w:val="2a2a2a"/>
          <w:sz w:val="18"/>
          <w:szCs w:val="18"/>
        </w:rPr>
        <w:t xml:space="preserve">§17.3  </w:t>
      </w:r>
      <w:r>
        <w:rPr>
          <w:rFonts w:ascii="Garamond" w:cs="Garamond" w:eastAsia="Garamond" w:hAnsi="Garamond"/>
          <w:b w:val="false"/>
          <w:bCs w:val="false"/>
          <w:i/>
          <w:iCs/>
          <w:color w:val="1B2A4A"/>
          <w:sz w:val="22"/>
          <w:szCs w:val="22"/>
        </w:rPr>
        <w:t xml:space="preserve">Amendment Consistency and Supremacy</w:t>
      </w:r>
    </w:p>
    <w:p>
      <w:pPr>
        <w:spacing w:after="120" w:before="0"/>
        <w:ind w:left="431"/>
        <w:jc w:val="both"/>
      </w:pPr>
      <w:r>
        <w:rPr>
          <w:rFonts w:ascii="Garamond" w:cs="Garamond" w:eastAsia="Garamond" w:hAnsi="Garamond"/>
          <w:b w:val="false"/>
          <w:bCs w:val="false"/>
          <w:i w:val="false"/>
          <w:iCs w:val="false"/>
          <w:color w:val="2a2a2a"/>
          <w:sz w:val="22"/>
          <w:szCs w:val="22"/>
        </w:rPr>
        <w:t xml:space="preserve">An amendment that is logically inconsistent with an existing provision must either explicitly repeal the inconsistent provision or the inconsistency is treated as void. The JM publishes a consistency analysis of any proposed amendment within 30 days of passage by both chambers for a parliamentary amendment, or within 30 days of Elections Panel Phase Two threshold verification for a citizen initiative amendment — advisory, but a permanent public record of what the amendment changes. If a ratified amendment's consistency with existing provisions is disputed, the SC resolves the dispute under its original jurisdiction in §4.5 on petition of any person with standing; the SC may not refuse to apply an amendment that has met its procedural thresholds, except that no constitutional amendment may extinguish a right designated non-derogable under §1.19.b; any amendment purporting to do so is void to the extent of the extinguishment, and the SC must so rule under its original jurisdiction in §4.5 on petition of any person with standing. Amendments take prospective effect from the date of ratification — they do not retroactively alter the constitutionality of acts that were constitutional when performed. Two amendments may be simultaneously in the ratification process; if both pass, both are law; where they conflict, the one ratified later prevails; where margins and timing are equal, the LM determines precedence from NRS records. A proposed amendment may be withdrawn at any point before ratification is certified.</w:t>
      </w:r>
    </w:p>
    <w:p>
      <w:pPr>
        <w:spacing w:after="60" w:before="200"/>
        <w:ind w:left="431"/>
        <w:jc w:val="left"/>
      </w:pPr>
      <w:r>
        <w:rPr>
          <w:rFonts w:ascii="Courier New" w:cs="Courier New" w:eastAsia="Courier New" w:hAnsi="Courier New"/>
          <w:b/>
          <w:bCs/>
          <w:color w:val="2a2a2a"/>
          <w:sz w:val="18"/>
          <w:szCs w:val="18"/>
        </w:rPr>
        <w:t xml:space="preserve">§17.4  </w:t>
      </w:r>
      <w:r>
        <w:rPr>
          <w:rFonts w:ascii="Garamond" w:cs="Garamond" w:eastAsia="Garamond" w:hAnsi="Garamond"/>
          <w:b w:val="false"/>
          <w:bCs w:val="false"/>
          <w:i/>
          <w:iCs/>
          <w:color w:val="1B2A4A"/>
          <w:sz w:val="22"/>
          <w:szCs w:val="22"/>
        </w:rPr>
        <w:t xml:space="preserve">Supremacy of This Constitution</w:t>
      </w:r>
    </w:p>
    <w:p>
      <w:pPr>
        <w:spacing w:after="120" w:before="0"/>
        <w:ind w:left="431"/>
        <w:jc w:val="both"/>
      </w:pPr>
      <w:r>
        <w:rPr>
          <w:rFonts w:ascii="Garamond" w:cs="Garamond" w:eastAsia="Garamond" w:hAnsi="Garamond"/>
          <w:b w:val="false"/>
          <w:bCs w:val="false"/>
          <w:i w:val="false"/>
          <w:iCs w:val="false"/>
          <w:color w:val="2a2a2a"/>
          <w:sz w:val="22"/>
          <w:szCs w:val="22"/>
        </w:rPr>
        <w:t xml:space="preserve">This Constitution is the supreme law of the Federated Republic. All legislative acts, executive orders, treaties, administrative decisions, and government actions must be consistent with this Constitution. Any provision inconsistent with this Constitution is void to the extent of the inconsistency.</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XVIII — Federal Property and National Trust</w:t>
      </w:r>
    </w:p>
    <w:p>
      <w:pPr>
        <w:spacing w:after="60" w:before="200"/>
        <w:ind w:left="431"/>
        <w:jc w:val="left"/>
      </w:pPr>
      <w:r>
        <w:rPr>
          <w:rFonts w:ascii="Courier New" w:cs="Courier New" w:eastAsia="Courier New" w:hAnsi="Courier New"/>
          <w:b/>
          <w:bCs/>
          <w:color w:val="2a2a2a"/>
          <w:sz w:val="18"/>
          <w:szCs w:val="18"/>
        </w:rPr>
        <w:t xml:space="preserve">§18.1  </w:t>
      </w:r>
      <w:r>
        <w:rPr>
          <w:rFonts w:ascii="Garamond" w:cs="Garamond" w:eastAsia="Garamond" w:hAnsi="Garamond"/>
          <w:b w:val="false"/>
          <w:bCs w:val="false"/>
          <w:i/>
          <w:iCs/>
          <w:color w:val="1B2A4A"/>
          <w:sz w:val="22"/>
          <w:szCs w:val="22"/>
        </w:rPr>
        <w:t xml:space="preserve">The Use Doctrine</w:t>
      </w:r>
    </w:p>
    <w:p>
      <w:pPr>
        <w:spacing w:after="120" w:before="0"/>
        <w:ind w:left="431"/>
        <w:jc w:val="both"/>
      </w:pPr>
      <w:r>
        <w:rPr>
          <w:rFonts w:ascii="Garamond" w:cs="Garamond" w:eastAsia="Garamond" w:hAnsi="Garamond"/>
          <w:b w:val="false"/>
          <w:bCs w:val="false"/>
          <w:i w:val="false"/>
          <w:iCs w:val="false"/>
          <w:color w:val="2a2a2a"/>
          <w:sz w:val="22"/>
          <w:szCs w:val="22"/>
        </w:rPr>
        <w:t xml:space="preserve">Federal government holds no territorial sovereignty within any State or Territory. All federal property rights are functional use rights — operational control over a designated footprint for the duration of the stated function. Use rights do not constitute ownership, do not transfer sovereignty from the host State, and do not survive the termination of the function that justified them. Every use right must be registered on the NRS with precise geographic boundaries, authorized purpose, and termination conditions. There are no unregistered federal land claims; disputes over registration validity are resolved under §18.3.</w:t>
      </w:r>
    </w:p>
    <w:p>
      <w:pPr>
        <w:spacing w:after="60" w:before="200"/>
        <w:ind w:left="431"/>
        <w:jc w:val="left"/>
      </w:pPr>
      <w:r>
        <w:rPr>
          <w:rFonts w:ascii="Courier New" w:cs="Courier New" w:eastAsia="Courier New" w:hAnsi="Courier New"/>
          <w:b/>
          <w:bCs/>
          <w:color w:val="2a2a2a"/>
          <w:sz w:val="18"/>
          <w:szCs w:val="18"/>
        </w:rPr>
        <w:t xml:space="preserve">§18.2  </w:t>
      </w:r>
      <w:r>
        <w:rPr>
          <w:rFonts w:ascii="Garamond" w:cs="Garamond" w:eastAsia="Garamond" w:hAnsi="Garamond"/>
          <w:b w:val="false"/>
          <w:bCs w:val="false"/>
          <w:i/>
          <w:iCs/>
          <w:color w:val="1B2A4A"/>
          <w:sz w:val="22"/>
          <w:szCs w:val="22"/>
        </w:rPr>
        <w:t xml:space="preserve">Seat of Government</w:t>
      </w:r>
    </w:p>
    <w:p>
      <w:pPr>
        <w:spacing w:after="120" w:before="0"/>
        <w:ind w:left="431"/>
        <w:jc w:val="both"/>
      </w:pPr>
      <w:r>
        <w:rPr>
          <w:rFonts w:ascii="Garamond" w:cs="Garamond" w:eastAsia="Garamond" w:hAnsi="Garamond"/>
          <w:b w:val="false"/>
          <w:bCs w:val="false"/>
          <w:i w:val="false"/>
          <w:iCs w:val="false"/>
          <w:color w:val="2a2a2a"/>
          <w:sz w:val="22"/>
          <w:szCs w:val="22"/>
        </w:rPr>
        <w:t xml:space="preserve">The Republic holds no territorial sovereignty at its Seat of Government. The Seat is hosted by a State or Territory selected through a competitive process defined by statute; any State or Territory may submit a bid, and the selected host must satisfy minimum requirements published to the NRS in advance of the selection. A State or Territory whose bid is rejected may challenge the selection before the SC on the ground that the selected bid did not satisfy the published requirements. The hosting arrangement grants the federal government Operational Use Rights over the designated footprint under §18.1; the host State or Territory retains full sovereignty outside that footprint. Federal control within the footprint is exclusive — the host may not tax federal operations or apply its own law to federal functions within the footprint. Residents of the federal footprint retain full Article I rights. The host selection must be reconsidered through a new competitive process no less often than every 20 years; the Legislature may not suspend or indefinitely extend this requirement by statute. Absent a qualifying new selection, the existing arrangement continues.</w:t>
      </w:r>
    </w:p>
    <w:p>
      <w:pPr>
        <w:spacing w:after="60" w:before="200"/>
        <w:ind w:left="431"/>
        <w:jc w:val="left"/>
      </w:pPr>
      <w:r>
        <w:rPr>
          <w:rFonts w:ascii="Courier New" w:cs="Courier New" w:eastAsia="Courier New" w:hAnsi="Courier New"/>
          <w:b/>
          <w:bCs/>
          <w:color w:val="2a2a2a"/>
          <w:sz w:val="18"/>
          <w:szCs w:val="18"/>
        </w:rPr>
        <w:t xml:space="preserve">§18.3  </w:t>
      </w:r>
      <w:r>
        <w:rPr>
          <w:rFonts w:ascii="Garamond" w:cs="Garamond" w:eastAsia="Garamond" w:hAnsi="Garamond"/>
          <w:b w:val="false"/>
          <w:bCs w:val="false"/>
          <w:i/>
          <w:iCs/>
          <w:color w:val="1B2A4A"/>
          <w:sz w:val="22"/>
          <w:szCs w:val="22"/>
        </w:rPr>
        <w:t xml:space="preserve">Operational Use Rights</w:t>
      </w:r>
    </w:p>
    <w:p>
      <w:pPr>
        <w:spacing w:after="120" w:before="0"/>
        <w:ind w:left="431"/>
        <w:jc w:val="both"/>
      </w:pPr>
      <w:r>
        <w:rPr>
          <w:rFonts w:ascii="Garamond" w:cs="Garamond" w:eastAsia="Garamond" w:hAnsi="Garamond"/>
          <w:b w:val="false"/>
          <w:bCs w:val="false"/>
          <w:i w:val="false"/>
          <w:iCs w:val="false"/>
          <w:color w:val="2a2a2a"/>
          <w:sz w:val="22"/>
          <w:szCs w:val="22"/>
        </w:rPr>
        <w:t xml:space="preserve">When a federal function ends, the Operational Use Right terminates automatically; the federal government must publish notice of termination to the NRS within the period defined by statute, not to exceed 90 days. The land and all improvements revert to the host State automatically unless the federal government and host State negotiate a retention agreement within the statutory reversion window. Disputes over use right boundaries, termination, registration validity, or improvement valuation go to the SC on an expedited track; neither party may occupy or alter disputed land during pending resolution.</w:t>
      </w:r>
    </w:p>
    <w:p>
      <w:pPr>
        <w:spacing w:after="60" w:before="200"/>
        <w:ind w:left="431"/>
        <w:jc w:val="left"/>
      </w:pPr>
      <w:r>
        <w:rPr>
          <w:rFonts w:ascii="Courier New" w:cs="Courier New" w:eastAsia="Courier New" w:hAnsi="Courier New"/>
          <w:b/>
          <w:bCs/>
          <w:color w:val="2a2a2a"/>
          <w:sz w:val="18"/>
          <w:szCs w:val="18"/>
        </w:rPr>
        <w:t xml:space="preserve">§18.4  </w:t>
      </w:r>
      <w:r>
        <w:rPr>
          <w:rFonts w:ascii="Garamond" w:cs="Garamond" w:eastAsia="Garamond" w:hAnsi="Garamond"/>
          <w:b w:val="false"/>
          <w:bCs w:val="false"/>
          <w:i/>
          <w:iCs/>
          <w:color w:val="1B2A4A"/>
          <w:sz w:val="22"/>
          <w:szCs w:val="22"/>
        </w:rPr>
        <w:t xml:space="preserve">The National Trust</w:t>
      </w:r>
    </w:p>
    <w:p>
      <w:pPr>
        <w:spacing w:after="120" w:before="0"/>
        <w:ind w:left="431"/>
        <w:jc w:val="both"/>
      </w:pPr>
      <w:r>
        <w:rPr>
          <w:rFonts w:ascii="Garamond" w:cs="Garamond" w:eastAsia="Garamond" w:hAnsi="Garamond"/>
          <w:b w:val="false"/>
          <w:bCs w:val="false"/>
          <w:i w:val="false"/>
          <w:iCs w:val="false"/>
          <w:color w:val="2a2a2a"/>
          <w:sz w:val="22"/>
          <w:szCs w:val="22"/>
        </w:rPr>
        <w:t xml:space="preserve">The National Trust holds all federal land not conveyed by statute to States, indigenous compact territories, or private parties. Land disposal requires statute — the executive cannot convey or encumber public land unilaterally. National Trust designation requires a 2/3 vote of both chambers with host State consent; removal from Trust designation requires the same 2/3 legislative threshold plus a national referendum administered by the Elections Panel within 180 days of the legislative vote, achieving 60% of votes cast with a minimum 50% citizen participation, and must comply with existing treaties and other obligations established in this article. International conservation agreements require a 2/3 Senate vote to withdraw before the national removal process begins. Land designated National Trust carries an active stewardship obligation: the federal government must maintain ecological integrity and public accessibility; the EM monitors compliance annually cross-referenced with §1.18. States and indigenous nations may enter co-management agreements with the Civic Consul for National Trust lands within their borders or ancestral territories without transferring Trust ownership. The National Trust Administrator is a statutory independent officer whose independence is protected by statute; the enabling statute may not reduce the stewardship obligations or diminish the EM's annual monitoring authority.</w:t>
      </w:r>
    </w:p>
    <w:p>
      <w:pPr>
        <w:spacing w:after="60" w:before="200"/>
        <w:ind w:left="431"/>
        <w:jc w:val="left"/>
      </w:pPr>
      <w:r>
        <w:rPr>
          <w:rFonts w:ascii="Courier New" w:cs="Courier New" w:eastAsia="Courier New" w:hAnsi="Courier New"/>
          <w:b/>
          <w:bCs/>
          <w:color w:val="2a2a2a"/>
          <w:sz w:val="18"/>
          <w:szCs w:val="18"/>
        </w:rPr>
        <w:t xml:space="preserve">§18.5  </w:t>
      </w:r>
      <w:r>
        <w:rPr>
          <w:rFonts w:ascii="Garamond" w:cs="Garamond" w:eastAsia="Garamond" w:hAnsi="Garamond"/>
          <w:b w:val="false"/>
          <w:bCs w:val="false"/>
          <w:i/>
          <w:iCs/>
          <w:color w:val="1B2A4A"/>
          <w:sz w:val="22"/>
          <w:szCs w:val="22"/>
        </w:rPr>
        <w:t xml:space="preserve">Federal Property in Territories</w:t>
      </w:r>
    </w:p>
    <w:p>
      <w:pPr>
        <w:spacing w:after="120" w:before="0"/>
        <w:ind w:left="431"/>
        <w:jc w:val="both"/>
      </w:pPr>
      <w:r>
        <w:rPr>
          <w:rFonts w:ascii="Garamond" w:cs="Garamond" w:eastAsia="Garamond" w:hAnsi="Garamond"/>
          <w:b w:val="false"/>
          <w:bCs w:val="false"/>
          <w:i w:val="false"/>
          <w:iCs w:val="false"/>
          <w:color w:val="2a2a2a"/>
          <w:sz w:val="22"/>
          <w:szCs w:val="22"/>
        </w:rPr>
        <w:t xml:space="preserve">Federal operational use rights in Territories follow the same framework as in States under §18.3 and §18.4. Where §18.4 requires host State legislative consent, that consent is not required for a Territory because Territories have no State legislature; instead, the Territory's representative body must publish a written position to the NRS within 60 days of the proposed use right registration; where no position is published within 60 days, registration may proceed; the LM's ongoing audit of territorial use rights encompasses verification of Territory publication compliance and publishes findings to the NRS.</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XIX — Transition and Ratification</w:t>
      </w:r>
    </w:p>
    <w:p>
      <w:pPr>
        <w:spacing w:after="60" w:before="200"/>
        <w:ind w:left="431"/>
        <w:jc w:val="left"/>
      </w:pPr>
      <w:r>
        <w:rPr>
          <w:rFonts w:ascii="Courier New" w:cs="Courier New" w:eastAsia="Courier New" w:hAnsi="Courier New"/>
          <w:b/>
          <w:bCs/>
          <w:color w:val="2a2a2a"/>
          <w:sz w:val="18"/>
          <w:szCs w:val="18"/>
        </w:rPr>
        <w:t xml:space="preserve">§19.1  </w:t>
      </w:r>
      <w:r>
        <w:rPr>
          <w:rFonts w:ascii="Garamond" w:cs="Garamond" w:eastAsia="Garamond" w:hAnsi="Garamond"/>
          <w:b w:val="false"/>
          <w:bCs w:val="false"/>
          <w:i/>
          <w:iCs/>
          <w:color w:val="1B2A4A"/>
          <w:sz w:val="22"/>
          <w:szCs w:val="22"/>
        </w:rPr>
        <w:t xml:space="preserve">Activation Threshold and Ratification</w:t>
      </w:r>
    </w:p>
    <w:p>
      <w:pPr>
        <w:spacing w:after="120" w:before="0"/>
        <w:ind w:left="431"/>
        <w:jc w:val="both"/>
      </w:pPr>
      <w:r>
        <w:rPr>
          <w:rFonts w:ascii="Garamond" w:cs="Garamond" w:eastAsia="Garamond" w:hAnsi="Garamond"/>
          <w:b w:val="false"/>
          <w:bCs w:val="false"/>
          <w:i w:val="false"/>
          <w:iCs w:val="false"/>
          <w:color w:val="2a2a2a"/>
          <w:sz w:val="22"/>
          <w:szCs w:val="22"/>
        </w:rPr>
        <w:t xml:space="preserve">This constitution takes effect upon: (1) interim Elections Panel certification that the NVS is operational and meets §11.2; and (2) a national ratification vote achieving 60% of votes cast with at least 50% participation. Ratification creates binding constitutional obligations on all governmental actors from Day Zero. Where multiple sovereign nations simultaneously pool sovereignty through a treaty of union, transition provisions adapt as specified in the treaty of union, subject to the constitutional principles of this Article. Where the ratifying polity maintains existing institutions overlapping with constitutional mechanisms, the Legislature must by statute within two years of Phase 4 define their relationship; accommodation statutes may not reduce the legal standing of pre-existing governance structures below their pre-Phase 4 status. Where the Legislature fails to meet this deadline, the LM publishes a compliance finding to the NRS, and the LM's ongoing audit encompasses the unresolved relationship until the statute is passed.</w:t>
      </w:r>
    </w:p>
    <w:p>
      <w:pPr>
        <w:spacing w:after="60" w:before="200"/>
        <w:ind w:left="431"/>
        <w:jc w:val="left"/>
      </w:pPr>
      <w:r>
        <w:rPr>
          <w:rFonts w:ascii="Courier New" w:cs="Courier New" w:eastAsia="Courier New" w:hAnsi="Courier New"/>
          <w:b/>
          <w:bCs/>
          <w:color w:val="2a2a2a"/>
          <w:sz w:val="18"/>
          <w:szCs w:val="18"/>
        </w:rPr>
        <w:t xml:space="preserve">§19.2  </w:t>
      </w:r>
      <w:r>
        <w:rPr>
          <w:rFonts w:ascii="Garamond" w:cs="Garamond" w:eastAsia="Garamond" w:hAnsi="Garamond"/>
          <w:b w:val="false"/>
          <w:bCs w:val="false"/>
          <w:i/>
          <w:iCs/>
          <w:color w:val="1B2A4A"/>
          <w:sz w:val="22"/>
          <w:szCs w:val="22"/>
        </w:rPr>
        <w:t xml:space="preserve">Day Zero and Transition</w:t>
      </w:r>
    </w:p>
    <w:p>
      <w:pPr>
        <w:spacing w:after="120" w:before="0"/>
        <w:ind w:left="431"/>
        <w:jc w:val="both"/>
      </w:pPr>
      <w:r>
        <w:rPr>
          <w:rFonts w:ascii="Garamond" w:cs="Garamond" w:eastAsia="Garamond" w:hAnsi="Garamond"/>
          <w:b w:val="false"/>
          <w:bCs w:val="false"/>
          <w:i w:val="false"/>
          <w:iCs w:val="false"/>
          <w:color w:val="2a2a2a"/>
          <w:sz w:val="22"/>
          <w:szCs w:val="22"/>
        </w:rPr>
        <w:t xml:space="preserve">Day Zero is the date the ratification threshold is certified as achieved. Upon ratification, all laws conflicting with the Individual Sovereignty Floor are immediately null and void; all public assets transfer to the NRS; and the 24-month Transition Window begins. The Republic exists the moment the Elections Panel certifies the threshold. The constitution is implemented through a four-phase transition: Phase 0 — pre-ratification preparation, during which the interim Elections Panel is constituted, the NVS certified operational, and the joint Monitor panel formed; Phase 1 — Emergency Stabilization (Days 1–90), during which existing officials serve as caretakers and social state continuity is the priority; Phase 2 — Institutional Construction (Days 91–270), during which Statehood Audits are conducted, Monitors formally constituted, and the NVS fully deployed; Phase 3 — First Elections (Days 271–450), encompassing the first federal electoral period and inaugural executive and judicial appointments; Phase 4 — Full Constitutional Operation, beginning the day the first Legislature convenes and the first executives take the constitutional oath.</w:t>
      </w:r>
    </w:p>
    <w:p>
      <w:pPr>
        <w:spacing w:after="60" w:before="200"/>
        <w:ind w:left="431"/>
        <w:jc w:val="left"/>
      </w:pPr>
      <w:r>
        <w:rPr>
          <w:rFonts w:ascii="Courier New" w:cs="Courier New" w:eastAsia="Courier New" w:hAnsi="Courier New"/>
          <w:b/>
          <w:bCs/>
          <w:color w:val="2a2a2a"/>
          <w:sz w:val="18"/>
          <w:szCs w:val="18"/>
        </w:rPr>
        <w:t xml:space="preserve">§19.3  </w:t>
      </w:r>
      <w:r>
        <w:rPr>
          <w:rFonts w:ascii="Garamond" w:cs="Garamond" w:eastAsia="Garamond" w:hAnsi="Garamond"/>
          <w:b w:val="false"/>
          <w:bCs w:val="false"/>
          <w:i/>
          <w:iCs/>
          <w:color w:val="1B2A4A"/>
          <w:sz w:val="22"/>
          <w:szCs w:val="22"/>
        </w:rPr>
        <w:t xml:space="preserve">Caretaker Status</w:t>
      </w:r>
    </w:p>
    <w:p>
      <w:pPr>
        <w:spacing w:after="120" w:before="0"/>
        <w:ind w:left="431"/>
        <w:jc w:val="both"/>
      </w:pPr>
      <w:r>
        <w:rPr>
          <w:rFonts w:ascii="Garamond" w:cs="Garamond" w:eastAsia="Garamond" w:hAnsi="Garamond"/>
          <w:b w:val="false"/>
          <w:bCs w:val="false"/>
          <w:i w:val="false"/>
          <w:iCs w:val="false"/>
          <w:color w:val="2a2a2a"/>
          <w:sz w:val="22"/>
          <w:szCs w:val="22"/>
        </w:rPr>
        <w:t xml:space="preserve">All existing government officials serve as caretakers during the Transition Window — restricted to maintaining existing services only; no new permanent legislation. Legislation enacted in violation of this restriction is void; the joint Monitor panel's supervision includes monitoring for such violations and publishing findings to the NRS; any Inhabitant may challenge such legislation before a court of competent jurisdiction. Transition is supervised by a joint Monitor panel of one representative per Monitor; the panel dissolves automatically at the Transition Window's conclusion. During Phase 0, before Monitor Generals are constituted, the interim Elections Panel constitutes the panel from a pre-qualified pool established by the ratification convention; from Phase 2, each Monitor General appoints their representative to the panel for the remainder of the Transition Window. A Monitor General appointment supersedes any interim Elections Panel appointment for that Monitor's seat.</w:t>
      </w:r>
    </w:p>
    <w:p>
      <w:pPr>
        <w:spacing w:after="60" w:before="200"/>
        <w:ind w:left="431"/>
        <w:jc w:val="left"/>
      </w:pPr>
      <w:r>
        <w:rPr>
          <w:rFonts w:ascii="Courier New" w:cs="Courier New" w:eastAsia="Courier New" w:hAnsi="Courier New"/>
          <w:b/>
          <w:bCs/>
          <w:color w:val="2a2a2a"/>
          <w:sz w:val="18"/>
          <w:szCs w:val="18"/>
        </w:rPr>
        <w:t xml:space="preserve">§19.4  </w:t>
      </w:r>
      <w:r>
        <w:rPr>
          <w:rFonts w:ascii="Garamond" w:cs="Garamond" w:eastAsia="Garamond" w:hAnsi="Garamond"/>
          <w:b w:val="false"/>
          <w:bCs w:val="false"/>
          <w:i/>
          <w:iCs/>
          <w:color w:val="1B2A4A"/>
          <w:sz w:val="22"/>
          <w:szCs w:val="22"/>
        </w:rPr>
        <w:t xml:space="preserve">Pre-Constitutional Classified Documents</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Legislature must establish a Classification Review Commission within 90 days of Phase 4 activation. Where the Legislature fails to meet this deadline, the LM publishes a compliance finding to the NRS, and the LM's ongoing audit encompasses the unestablished Commission until it is created. The Commission applies constitutional classification criteria to predecessor classified material: legitimately classified material enters the standard classification framework from Day Zero; improperly classified material is immediately declassified and published to the NRS. Any Inhabitant may challenge a Commission determination before the SC.</w:t>
      </w:r>
    </w:p>
    <w:p>
      <w:pPr>
        <w:spacing w:after="60" w:before="200"/>
        <w:ind w:left="431"/>
        <w:jc w:val="left"/>
      </w:pPr>
      <w:r>
        <w:rPr>
          <w:rFonts w:ascii="Courier New" w:cs="Courier New" w:eastAsia="Courier New" w:hAnsi="Courier New"/>
          <w:b/>
          <w:bCs/>
          <w:color w:val="2a2a2a"/>
          <w:sz w:val="18"/>
          <w:szCs w:val="18"/>
        </w:rPr>
        <w:t xml:space="preserve">§19.5  </w:t>
      </w:r>
      <w:r>
        <w:rPr>
          <w:rFonts w:ascii="Garamond" w:cs="Garamond" w:eastAsia="Garamond" w:hAnsi="Garamond"/>
          <w:b w:val="false"/>
          <w:bCs w:val="false"/>
          <w:i/>
          <w:iCs/>
          <w:color w:val="1B2A4A"/>
          <w:sz w:val="22"/>
          <w:szCs w:val="22"/>
        </w:rPr>
        <w:t xml:space="preserve">Pre-Existing Obligations</w:t>
      </w:r>
    </w:p>
    <w:p>
      <w:pPr>
        <w:spacing w:after="120" w:before="0"/>
        <w:ind w:left="431"/>
        <w:jc w:val="both"/>
      </w:pPr>
      <w:r>
        <w:rPr>
          <w:rFonts w:ascii="Garamond" w:cs="Garamond" w:eastAsia="Garamond" w:hAnsi="Garamond"/>
          <w:b w:val="false"/>
          <w:bCs w:val="false"/>
          <w:i w:val="false"/>
          <w:iCs w:val="false"/>
          <w:color w:val="2a2a2a"/>
          <w:sz w:val="22"/>
          <w:szCs w:val="22"/>
        </w:rPr>
        <w:t xml:space="preserve">The Republic assumes the public debt obligations of its predecessor government as a constitutional matter — it does not inherit a clean slate. Active military operations of the prior government continue under existing authorization until the §2.2 military authorization framework can apply; the Legat Consul, once inaugurated, must assess each active operation against the authorized purposes under §14.1 and either link it to legislative authorization within 14 days or begin orderly cessation; operations not so linked within 60 days cease unless the Legislature grants a one-time authorization. Social insurance programs — retirement pensions, disability benefits, health coverage — continue uninterrupted during the Transition Window. All benefit obligations to persons who served in military or national service under the prior government are inherited and honored; the Legislature must pass a Veterans and National Service Benefits Act within the first budget cycle following Phase 4. The Republic is the legal continuation of the prior government as a matter of international law; all international obligations, financial commitments, treaty relationships, and contractual obligations of the prior government are assumed as successor sovereign. Where an assumed international obligation conflicts with this constitution, the Republic is bound to renegotiate or formally supersede the obligation through the treaty process under §3.6; until that process is complete, the obligation is honored to the minimum extent required by international law without requiring any constitutional officer to violate Article I or any non-derogable right under §1.19.b. The immediate nullification of laws conflicting with the Individual Sovereignty Floor creates constitutional disputes; the Legislature must establish an interim Constitutional Claims Court within Phase 2, with jurisdiction over all Article I claims arising from Day Zero nullification.</w:t>
      </w:r>
    </w:p>
    <w:p>
      <w:pPr>
        <w:spacing w:after="60" w:before="200"/>
        <w:ind w:left="431"/>
        <w:jc w:val="left"/>
      </w:pPr>
      <w:r>
        <w:rPr>
          <w:rFonts w:ascii="Courier New" w:cs="Courier New" w:eastAsia="Courier New" w:hAnsi="Courier New"/>
          <w:b/>
          <w:bCs/>
          <w:color w:val="2a2a2a"/>
          <w:sz w:val="18"/>
          <w:szCs w:val="18"/>
        </w:rPr>
        <w:t xml:space="preserve">§19.6  </w:t>
      </w:r>
      <w:r>
        <w:rPr>
          <w:rFonts w:ascii="Garamond" w:cs="Garamond" w:eastAsia="Garamond" w:hAnsi="Garamond"/>
          <w:b w:val="false"/>
          <w:bCs w:val="false"/>
          <w:i/>
          <w:iCs/>
          <w:color w:val="1B2A4A"/>
          <w:sz w:val="22"/>
          <w:szCs w:val="22"/>
        </w:rPr>
        <w:t xml:space="preserve">Transition Territories</w:t>
      </w:r>
    </w:p>
    <w:p>
      <w:pPr>
        <w:spacing w:after="120" w:before="0"/>
        <w:ind w:left="431"/>
        <w:jc w:val="both"/>
      </w:pPr>
      <w:r>
        <w:rPr>
          <w:rFonts w:ascii="Garamond" w:cs="Garamond" w:eastAsia="Garamond" w:hAnsi="Garamond"/>
          <w:b w:val="false"/>
          <w:bCs w:val="false"/>
          <w:i w:val="false"/>
          <w:iCs w:val="false"/>
          <w:color w:val="2a2a2a"/>
          <w:sz w:val="22"/>
          <w:szCs w:val="22"/>
        </w:rPr>
        <w:t xml:space="preserve">Territories or subdivisions meeting the Statehood Audit by Phase 2 end may petition to enter as State or Territory. Those failing the Baseline enter as Territory and may begin the Statehood Audit immediately. Any territory may choose Territory status by simple legislative vote regardless of whether it meets the Statehood Audit. Prior government states or territories may voluntarily subdivide during the Transition Window by vote of their existing legislative body; new subdivisions are treated as separate petitioning entities. Where a State fails the Phase 2 Statehood Audit, it enters as a Territory; its population retains all Article I rights and participates in first Assembly elections proportionally. All prior government territories that had not achieved statehood by Day Zero enter as Territories from Phase 4 activation without undergoing Phase 2 Statehood Audits; any capital district or special administrative region is assigned Territory status and follows the §15.2 path.</w:t>
      </w:r>
    </w:p>
    <w:p>
      <w:pPr>
        <w:spacing w:after="60" w:before="200"/>
        <w:ind w:left="431"/>
        <w:jc w:val="left"/>
      </w:pPr>
      <w:r>
        <w:rPr>
          <w:rFonts w:ascii="Courier New" w:cs="Courier New" w:eastAsia="Courier New" w:hAnsi="Courier New"/>
          <w:b/>
          <w:bCs/>
          <w:color w:val="2a2a2a"/>
          <w:sz w:val="18"/>
          <w:szCs w:val="18"/>
        </w:rPr>
        <w:t xml:space="preserve">§19.7  </w:t>
      </w:r>
      <w:r>
        <w:rPr>
          <w:rFonts w:ascii="Garamond" w:cs="Garamond" w:eastAsia="Garamond" w:hAnsi="Garamond"/>
          <w:b w:val="false"/>
          <w:bCs w:val="false"/>
          <w:i/>
          <w:iCs/>
          <w:color w:val="1B2A4A"/>
          <w:sz w:val="22"/>
          <w:szCs w:val="22"/>
        </w:rPr>
        <w:t xml:space="preserve">Transition Candidate Registers</w:t>
      </w:r>
    </w:p>
    <w:p>
      <w:pPr>
        <w:spacing w:after="120" w:before="0"/>
        <w:ind w:left="431"/>
        <w:jc w:val="both"/>
      </w:pPr>
      <w:r>
        <w:rPr>
          <w:rFonts w:ascii="Garamond" w:cs="Garamond" w:eastAsia="Garamond" w:hAnsi="Garamond"/>
          <w:b w:val="false"/>
          <w:bCs w:val="false"/>
          <w:i w:val="false"/>
          <w:iCs w:val="false"/>
          <w:color w:val="2a2a2a"/>
          <w:sz w:val="22"/>
          <w:szCs w:val="22"/>
        </w:rPr>
        <w:t xml:space="preserve">The joint Monitor panel assembles the initial Candidate Registers for all constitutionally established positions before Phase 3 elections can occur. The panel performs the register-assembly and qualification review function that permanent Monitors will assume after Phase 4; registers assembled by the panel carry full constitutional validity and the Legislature ratifies and continues them through the first budget cycle after Phase 4. The panel performs interim MA fiscal certification functions from Phase 4 activation until the first MA Director takes office; the first Civic Consul must nominate MA board members within 90 days of Phase 4 activation. Where the Civic Consul fails to meet this deadline, the LM publishes a compliance finding to the NRS, and the LM's ongoing audit encompasses the unfilled nomination until it is made.</w:t>
      </w:r>
    </w:p>
    <w:p>
      <w:pPr>
        <w:spacing w:after="60" w:before="200"/>
        <w:ind w:left="431"/>
        <w:jc w:val="left"/>
      </w:pPr>
      <w:r>
        <w:rPr>
          <w:rFonts w:ascii="Courier New" w:cs="Courier New" w:eastAsia="Courier New" w:hAnsi="Courier New"/>
          <w:b/>
          <w:bCs/>
          <w:color w:val="2a2a2a"/>
          <w:sz w:val="18"/>
          <w:szCs w:val="18"/>
        </w:rPr>
        <w:t xml:space="preserve">§19.8  </w:t>
      </w:r>
      <w:r>
        <w:rPr>
          <w:rFonts w:ascii="Garamond" w:cs="Garamond" w:eastAsia="Garamond" w:hAnsi="Garamond"/>
          <w:b w:val="false"/>
          <w:bCs w:val="false"/>
          <w:i/>
          <w:iCs/>
          <w:color w:val="1B2A4A"/>
          <w:sz w:val="22"/>
          <w:szCs w:val="22"/>
        </w:rPr>
        <w:t xml:space="preserve">Transitional Accountability Mechanism</w:t>
      </w:r>
    </w:p>
    <w:p>
      <w:pPr>
        <w:spacing w:after="120" w:before="0"/>
        <w:ind w:left="431"/>
        <w:jc w:val="both"/>
      </w:pPr>
      <w:r>
        <w:rPr>
          <w:rFonts w:ascii="Garamond" w:cs="Garamond" w:eastAsia="Garamond" w:hAnsi="Garamond"/>
          <w:b w:val="false"/>
          <w:bCs w:val="false"/>
          <w:i w:val="false"/>
          <w:iCs w:val="false"/>
          <w:color w:val="2a2a2a"/>
          <w:sz w:val="22"/>
          <w:szCs w:val="22"/>
        </w:rPr>
        <w:t xml:space="preserve">Where a ratifying polity’s predecessor government has documented constitutional violations, the Legislature may by statute passed by 2/3 of both chambers establish a Transitional Accountability Mechanism. Such a mechanism must be time-limited — not to exceed ten years in duration — non-criminal, and consistent with Article I in all its operations. The establishing statute defines the scope, procedures, and duration; no amendment may expand the scope without the same 2/3 majority; the NRS record is permanent. No new Mechanism may be established within ten years of the sunset of a prior one.</w:t>
      </w:r>
    </w:p>
    <w:p>
      <w:pPr>
        <w:spacing w:after="60" w:before="200"/>
        <w:ind w:left="431"/>
        <w:jc w:val="left"/>
      </w:pPr>
      <w:r>
        <w:rPr>
          <w:rFonts w:ascii="Courier New" w:cs="Courier New" w:eastAsia="Courier New" w:hAnsi="Courier New"/>
          <w:b/>
          <w:bCs/>
          <w:color w:val="2a2a2a"/>
          <w:sz w:val="18"/>
          <w:szCs w:val="18"/>
        </w:rPr>
        <w:t xml:space="preserve">§19.9  </w:t>
      </w:r>
      <w:r>
        <w:rPr>
          <w:rFonts w:ascii="Garamond" w:cs="Garamond" w:eastAsia="Garamond" w:hAnsi="Garamond"/>
          <w:b w:val="false"/>
          <w:bCs w:val="false"/>
          <w:i/>
          <w:iCs/>
          <w:color w:val="1B2A4A"/>
          <w:sz w:val="22"/>
          <w:szCs w:val="22"/>
        </w:rPr>
        <w:t xml:space="preserve">Required Statutory Agency Establishment</w:t>
      </w:r>
    </w:p>
    <w:p>
      <w:pPr>
        <w:spacing w:after="120" w:before="0"/>
        <w:ind w:left="431"/>
        <w:jc w:val="both"/>
      </w:pPr>
      <w:r>
        <w:rPr>
          <w:rFonts w:ascii="Garamond" w:cs="Garamond" w:eastAsia="Garamond" w:hAnsi="Garamond"/>
          <w:b w:val="false"/>
          <w:bCs w:val="false"/>
          <w:i w:val="false"/>
          <w:iCs w:val="false"/>
          <w:color w:val="2a2a2a"/>
          <w:sz w:val="22"/>
          <w:szCs w:val="22"/>
        </w:rPr>
        <w:t xml:space="preserve">Where this Constitution assigns a specific function to a statutory independent agency under §3.9, the Legislature must establish that agency within the following timeframes from Phase 4 activation: the civic proficiency assessment administrator under §5.1, within 180 days; the Census Bureau under §3.2, within 18 months; the Monetary Authority under §12.1, within 180 days. Where the Legislature fails to meet a deadline, §3.9 applies: the LM publishes a compliance finding to the NRS, and the responsible Monitor’s ongoing audit encompasses the unfilled mandate until the agency is established. The LM publishes a compliance finding to the NRS when any establishment deadline is missed and again when the agency becomes operational. The Legislature may not permanently delegate a constitutionally required statutory function to an Monitor in lieu of establishing the required agency. The Legislature must by statute establish the transition from any predecessor voting infrastructure to the constitutionally required NVS, ensuring no gap in democratic participation.</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XX — Associated Communities</w:t>
      </w:r>
    </w:p>
    <w:p>
      <w:pPr>
        <w:spacing w:after="60" w:before="200"/>
        <w:ind w:left="431"/>
        <w:jc w:val="left"/>
      </w:pPr>
      <w:r>
        <w:rPr>
          <w:rFonts w:ascii="Courier New" w:cs="Courier New" w:eastAsia="Courier New" w:hAnsi="Courier New"/>
          <w:b/>
          <w:bCs/>
          <w:color w:val="2a2a2a"/>
          <w:sz w:val="18"/>
          <w:szCs w:val="18"/>
        </w:rPr>
        <w:t xml:space="preserve">§20.1  </w:t>
      </w:r>
      <w:r>
        <w:rPr>
          <w:rFonts w:ascii="Garamond" w:cs="Garamond" w:eastAsia="Garamond" w:hAnsi="Garamond"/>
          <w:b w:val="false"/>
          <w:bCs w:val="false"/>
          <w:i/>
          <w:iCs/>
          <w:color w:val="1B2A4A"/>
          <w:sz w:val="22"/>
          <w:szCs w:val="22"/>
        </w:rPr>
        <w:t xml:space="preserve">Associated Community Status</w:t>
      </w:r>
    </w:p>
    <w:p>
      <w:pPr>
        <w:spacing w:after="120" w:before="0"/>
        <w:ind w:left="431"/>
        <w:jc w:val="both"/>
      </w:pPr>
      <w:r>
        <w:rPr>
          <w:rFonts w:ascii="Garamond" w:cs="Garamond" w:eastAsia="Garamond" w:hAnsi="Garamond"/>
          <w:b w:val="false"/>
          <w:bCs w:val="false"/>
          <w:i w:val="false"/>
          <w:iCs w:val="false"/>
          <w:color w:val="2a2a2a"/>
          <w:sz w:val="22"/>
          <w:szCs w:val="22"/>
        </w:rPr>
        <w:t xml:space="preserve">Exclusively for sovereign entities — not a form of State or Territory status, not transitional, not incorporation. Available to sovereign nations — those that have achieved full sovereignty through a status election under §16.7 or through the constitutional amendment process — and to independent nations outside the Republic seeking a defined relationship. Indigenous nations holding rights under Article XVI may not substitute an Article XX compact for their Article XVI compact relationship without first completing a status election under §16.7.a.</w:t>
      </w:r>
    </w:p>
    <w:p>
      <w:pPr>
        <w:spacing w:after="60" w:before="200"/>
        <w:ind w:left="431"/>
        <w:jc w:val="left"/>
      </w:pPr>
      <w:r>
        <w:rPr>
          <w:rFonts w:ascii="Courier New" w:cs="Courier New" w:eastAsia="Courier New" w:hAnsi="Courier New"/>
          <w:b/>
          <w:bCs/>
          <w:color w:val="2a2a2a"/>
          <w:sz w:val="18"/>
          <w:szCs w:val="18"/>
        </w:rPr>
        <w:t xml:space="preserve">§20.2  </w:t>
      </w:r>
      <w:r>
        <w:rPr>
          <w:rFonts w:ascii="Garamond" w:cs="Garamond" w:eastAsia="Garamond" w:hAnsi="Garamond"/>
          <w:b w:val="false"/>
          <w:bCs w:val="false"/>
          <w:i/>
          <w:iCs/>
          <w:color w:val="1B2A4A"/>
          <w:sz w:val="22"/>
          <w:szCs w:val="22"/>
        </w:rPr>
        <w:t xml:space="preserve">Compact Terms and Equal Sovereignty</w:t>
      </w:r>
    </w:p>
    <w:p>
      <w:pPr>
        <w:spacing w:after="120" w:before="0"/>
        <w:ind w:left="431"/>
        <w:jc w:val="both"/>
      </w:pPr>
      <w:r>
        <w:rPr>
          <w:rFonts w:ascii="Garamond" w:cs="Garamond" w:eastAsia="Garamond" w:hAnsi="Garamond"/>
          <w:b w:val="false"/>
          <w:bCs w:val="false"/>
          <w:i w:val="false"/>
          <w:iCs w:val="false"/>
          <w:color w:val="2a2a2a"/>
          <w:sz w:val="22"/>
          <w:szCs w:val="22"/>
        </w:rPr>
        <w:t xml:space="preserve">Equal parties; neither constitutionally superior. Observing delegates attend Assembly and Senate proceedings relevant to the compact — speaking rights, no vote, no quorum or threshold effect. The Republic may not impose its constitutional governance architecture on an Associated Community as a condition of the compact relationship. Minimum democratic legitimacy requirements applicable to States do not apply to Associated Communities.</w:t>
      </w:r>
    </w:p>
    <w:p>
      <w:pPr>
        <w:spacing w:after="60" w:before="200"/>
        <w:ind w:left="431"/>
        <w:jc w:val="left"/>
      </w:pPr>
      <w:r>
        <w:rPr>
          <w:rFonts w:ascii="Courier New" w:cs="Courier New" w:eastAsia="Courier New" w:hAnsi="Courier New"/>
          <w:b/>
          <w:bCs/>
          <w:color w:val="2a2a2a"/>
          <w:sz w:val="18"/>
          <w:szCs w:val="18"/>
        </w:rPr>
        <w:t xml:space="preserve">§20.3  </w:t>
      </w:r>
      <w:r>
        <w:rPr>
          <w:rFonts w:ascii="Garamond" w:cs="Garamond" w:eastAsia="Garamond" w:hAnsi="Garamond"/>
          <w:b w:val="false"/>
          <w:bCs w:val="false"/>
          <w:i/>
          <w:iCs/>
          <w:color w:val="1B2A4A"/>
          <w:sz w:val="22"/>
          <w:szCs w:val="22"/>
        </w:rPr>
        <w:t xml:space="preserve">Compact Conditions and Compliance</w:t>
      </w:r>
    </w:p>
    <w:p>
      <w:pPr>
        <w:spacing w:after="120" w:before="0"/>
        <w:ind w:left="431"/>
        <w:jc w:val="both"/>
      </w:pPr>
      <w:r>
        <w:rPr>
          <w:rFonts w:ascii="Garamond" w:cs="Garamond" w:eastAsia="Garamond" w:hAnsi="Garamond"/>
          <w:b w:val="false"/>
          <w:bCs w:val="false"/>
          <w:i w:val="false"/>
          <w:iCs w:val="false"/>
          <w:color w:val="2a2a2a"/>
          <w:sz w:val="22"/>
          <w:szCs w:val="22"/>
        </w:rPr>
        <w:t xml:space="preserve">No compact may be entered or ratified with any entity whose governance practices include, authorize, or systematically permit violations of any of the non-derogable rights established in §1.19.b, committed against any person within its jurisdiction. The JM conducts annual compliance reviews and publishes findings to the NRS. Where the JM finds systematic violations of §1.19.b rights or any party challenges a compact on those grounds, the compact is suspended pending review through the compact’s independent arbitration mechanism; the arbitration panel must issue a preliminary determination within 90 days of suspension; where no preliminary determination is issued within that period, the suspension lifts and the compact resumes pending the panel’s final determination. The arbitration panel may determine compact termination on confirmed violations without remediation within the period the compact specifies. Economic value of the compact relationship is not a factor in JM assessment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Compact suspension means the Associated Community's observer delegate participation rights are suspended for the duration of the review; all other compact obligations of both parties continue in effect pending the SC's determination.</w:t>
      </w:r>
    </w:p>
    <w:p>
      <w:pPr>
        <w:spacing w:after="60" w:before="200"/>
        <w:ind w:left="431"/>
        <w:jc w:val="left"/>
      </w:pPr>
      <w:r>
        <w:rPr>
          <w:rFonts w:ascii="Courier New" w:cs="Courier New" w:eastAsia="Courier New" w:hAnsi="Courier New"/>
          <w:b/>
          <w:bCs/>
          <w:color w:val="2a2a2a"/>
          <w:sz w:val="18"/>
          <w:szCs w:val="18"/>
        </w:rPr>
        <w:t xml:space="preserve">§20.4  </w:t>
      </w:r>
      <w:r>
        <w:rPr>
          <w:rFonts w:ascii="Garamond" w:cs="Garamond" w:eastAsia="Garamond" w:hAnsi="Garamond"/>
          <w:b w:val="false"/>
          <w:bCs w:val="false"/>
          <w:i/>
          <w:iCs/>
          <w:color w:val="1B2A4A"/>
          <w:sz w:val="22"/>
          <w:szCs w:val="22"/>
        </w:rPr>
        <w:t xml:space="preserve">Sovereign Mobility</w:t>
      </w:r>
    </w:p>
    <w:p>
      <w:pPr>
        <w:spacing w:after="120" w:before="0"/>
        <w:ind w:left="431"/>
        <w:jc w:val="both"/>
      </w:pPr>
      <w:r>
        <w:rPr>
          <w:rFonts w:ascii="Garamond" w:cs="Garamond" w:eastAsia="Garamond" w:hAnsi="Garamond"/>
          <w:b w:val="false"/>
          <w:bCs w:val="false"/>
          <w:i w:val="false"/>
          <w:iCs w:val="false"/>
          <w:color w:val="2a2a2a"/>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and the Republic may not impose conditions on or penalties for the decision to terminate. Compact termination takes effect on a date not less than 12 months from the date the Associated Community publishes written notice of termination to the NRS, to allow orderly transition of any services the compact provides. Where the Associated Community's highest governance authority issues a formal ruling within the 12-month period that the termination decision was invalid under the community's own governance law, the community may withdraw the termination notice; the Republic acknowledges the withdrawal and the compact continues.</w:t>
      </w:r>
    </w:p>
    <w:p>
      <w:pPr>
        <w:spacing w:after="60" w:before="200"/>
        <w:ind w:left="431"/>
        <w:jc w:val="left"/>
      </w:pPr>
      <w:r>
        <w:rPr>
          <w:rFonts w:ascii="Courier New" w:cs="Courier New" w:eastAsia="Courier New" w:hAnsi="Courier New"/>
          <w:b/>
          <w:bCs/>
          <w:color w:val="2a2a2a"/>
          <w:sz w:val="18"/>
          <w:szCs w:val="18"/>
        </w:rPr>
        <w:t xml:space="preserve">§20.5  </w:t>
      </w:r>
      <w:r>
        <w:rPr>
          <w:rFonts w:ascii="Garamond" w:cs="Garamond" w:eastAsia="Garamond" w:hAnsi="Garamond"/>
          <w:b w:val="false"/>
          <w:bCs w:val="false"/>
          <w:i/>
          <w:iCs/>
          <w:color w:val="1B2A4A"/>
          <w:sz w:val="22"/>
          <w:szCs w:val="22"/>
        </w:rPr>
        <w:t xml:space="preserve">Reciprocal Obligations and Review</w:t>
      </w:r>
    </w:p>
    <w:p>
      <w:pPr>
        <w:spacing w:after="120" w:before="0"/>
        <w:ind w:left="431"/>
        <w:jc w:val="both"/>
      </w:pPr>
      <w:r>
        <w:rPr>
          <w:rFonts w:ascii="Garamond" w:cs="Garamond" w:eastAsia="Garamond" w:hAnsi="Garamond"/>
          <w:b w:val="false"/>
          <w:bCs w:val="false"/>
          <w:i w:val="false"/>
          <w:iCs w:val="false"/>
          <w:color w:val="2a2a2a"/>
          <w:sz w:val="22"/>
          <w:szCs w:val="22"/>
        </w:rPr>
        <w:t xml:space="preserve">The compact must specify with particularity the reciprocal obligations of both parties and the review mechanism. The Associated Community holds obligations to the Republic as well as rights from it. Review must be scheduled at regular intervals defined in the compact; either party may request a review outside the schedule by providing written notice to the NRS.</w:t>
      </w:r>
    </w:p>
    <w:p>
      <w:pPr>
        <w:spacing w:after="60" w:before="200"/>
        <w:ind w:left="431"/>
        <w:jc w:val="left"/>
      </w:pPr>
      <w:r>
        <w:rPr>
          <w:rFonts w:ascii="Courier New" w:cs="Courier New" w:eastAsia="Courier New" w:hAnsi="Courier New"/>
          <w:b/>
          <w:bCs/>
          <w:color w:val="2a2a2a"/>
          <w:sz w:val="18"/>
          <w:szCs w:val="18"/>
        </w:rPr>
        <w:t xml:space="preserve">§20.6  </w:t>
      </w:r>
      <w:r>
        <w:rPr>
          <w:rFonts w:ascii="Garamond" w:cs="Garamond" w:eastAsia="Garamond" w:hAnsi="Garamond"/>
          <w:b w:val="false"/>
          <w:bCs w:val="false"/>
          <w:i/>
          <w:iCs/>
          <w:color w:val="1B2A4A"/>
          <w:sz w:val="22"/>
          <w:szCs w:val="22"/>
        </w:rPr>
        <w:t xml:space="preserve">Compact Ratification</w:t>
      </w:r>
    </w:p>
    <w:p>
      <w:pPr>
        <w:spacing w:after="120" w:before="0"/>
        <w:ind w:left="431"/>
        <w:jc w:val="both"/>
      </w:pPr>
      <w:r>
        <w:rPr>
          <w:rFonts w:ascii="Garamond" w:cs="Garamond" w:eastAsia="Garamond" w:hAnsi="Garamond"/>
          <w:b w:val="false"/>
          <w:bCs w:val="false"/>
          <w:i w:val="false"/>
          <w:iCs w:val="false"/>
          <w:color w:val="2a2a2a"/>
          <w:sz w:val="22"/>
          <w:szCs w:val="22"/>
        </w:rPr>
        <w:t xml:space="preserve">A compact with an Associated Community requires Senate ratification by 2/3 of full seated membership, consistent with the treaty ratification threshold under §3.6. Both executives must transmit the proposed compact to the Senate simultaneously with a joint assessment of its consistency with this Article. Under §9.1, either chamber may request a JM assessment of compact compliance before proceeding to ratification. A ratified compact takes effect on the date specified in its terms and is registered to the NRS as a public record. Where the executives cannot agree on a joint assessment, each may publish a separate assessment to the NRS; the Senate receives both and may proceed to ratification on that basis.</w:t>
      </w:r>
    </w:p>
    <w:p>
      <w:pPr>
        <w:spacing w:after="60" w:before="200"/>
        <w:ind w:left="431"/>
        <w:jc w:val="left"/>
      </w:pPr>
      <w:r>
        <w:rPr>
          <w:rFonts w:ascii="Courier New" w:cs="Courier New" w:eastAsia="Courier New" w:hAnsi="Courier New"/>
          <w:b/>
          <w:bCs/>
          <w:color w:val="2a2a2a"/>
          <w:sz w:val="18"/>
          <w:szCs w:val="18"/>
        </w:rPr>
        <w:t xml:space="preserve">§20.7  </w:t>
      </w:r>
      <w:r>
        <w:rPr>
          <w:rFonts w:ascii="Garamond" w:cs="Garamond" w:eastAsia="Garamond" w:hAnsi="Garamond"/>
          <w:b w:val="false"/>
          <w:bCs w:val="false"/>
          <w:i/>
          <w:iCs/>
          <w:color w:val="1B2A4A"/>
          <w:sz w:val="22"/>
          <w:szCs w:val="22"/>
        </w:rPr>
        <w:t xml:space="preserve">Compact Continuity</w:t>
      </w:r>
    </w:p>
    <w:p>
      <w:pPr>
        <w:spacing w:after="120" w:before="0"/>
        <w:ind w:left="431"/>
        <w:jc w:val="both"/>
      </w:pPr>
      <w:r>
        <w:rPr>
          <w:rFonts w:ascii="Garamond" w:cs="Garamond" w:eastAsia="Garamond" w:hAnsi="Garamond"/>
          <w:b w:val="false"/>
          <w:bCs w:val="false"/>
          <w:i w:val="false"/>
          <w:iCs w:val="false"/>
          <w:color w:val="2a2a2a"/>
          <w:sz w:val="22"/>
          <w:szCs w:val="22"/>
        </w:rPr>
        <w:t xml:space="preserve">Compacts in force at the time of any government transition continue without interruption and bind successive governments of the Republic. No election result, change in the Republic's internal constitutional arrangements, or government transition affects the validity or standing of a compact in force. A new government may initiate renegotiation of a compact through the process the compact specifies but may not unilaterally suspend, modify, or withdraw from a compact pending renegotiation.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2026-06-24T23:09:59.688Z</dcterms:created>
  <dcterms:modified xsi:type="dcterms:W3CDTF">2026-06-24T23:09:59.689Z</dcterms:modified>
</cp:coreProperties>
</file>

<file path=docProps/custom.xml><?xml version="1.0" encoding="utf-8"?>
<Properties xmlns="http://schemas.openxmlformats.org/officeDocument/2006/custom-properties" xmlns:vt="http://schemas.openxmlformats.org/officeDocument/2006/docPropsVTypes"/>
</file>